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F7732B" w:rsidRDefault="009E2A17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 w:rsidRPr="00F7732B">
        <w:rPr>
          <w:rFonts w:cs="Arial"/>
          <w:b/>
          <w:bCs/>
          <w:smallCaps/>
          <w:spacing w:val="40"/>
          <w:sz w:val="28"/>
          <w:szCs w:val="28"/>
        </w:rPr>
        <w:t>Polní experiment</w:t>
      </w:r>
      <w:r w:rsidR="0045155D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F7732B" w:rsidRPr="00F7732B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561DF6">
        <w:rPr>
          <w:rFonts w:cs="Arial"/>
          <w:b/>
          <w:bCs/>
          <w:smallCaps/>
          <w:spacing w:val="40"/>
          <w:sz w:val="28"/>
          <w:szCs w:val="28"/>
        </w:rPr>
        <w:tab/>
      </w:r>
      <w:proofErr w:type="gramStart"/>
      <w:r w:rsidR="0014409B">
        <w:rPr>
          <w:rFonts w:cs="Arial"/>
          <w:b/>
          <w:bCs/>
          <w:smallCaps/>
          <w:spacing w:val="40"/>
          <w:sz w:val="28"/>
          <w:szCs w:val="28"/>
        </w:rPr>
        <w:t>4</w:t>
      </w:r>
      <w:r w:rsidR="00692AF2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–</w:t>
      </w:r>
      <w:r w:rsidR="00E73F50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6E4B56" w:rsidRPr="00F7732B">
        <w:rPr>
          <w:rFonts w:cs="Arial"/>
          <w:b/>
          <w:bCs/>
          <w:smallCaps/>
          <w:spacing w:val="40"/>
          <w:sz w:val="28"/>
          <w:szCs w:val="28"/>
        </w:rPr>
        <w:t>u</w:t>
      </w:r>
      <w:proofErr w:type="gramEnd"/>
      <w:r w:rsidR="006E4B56" w:rsidRPr="00F7732B">
        <w:rPr>
          <w:rFonts w:cs="Arial"/>
          <w:b/>
          <w:bCs/>
          <w:smallCaps/>
          <w:spacing w:val="40"/>
          <w:sz w:val="28"/>
          <w:szCs w:val="28"/>
        </w:rPr>
        <w:t xml:space="preserve"> letiště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744F63" w:rsidTr="0059765A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4A4DA1" w:rsidRDefault="00971FE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bCs/>
                <w:sz w:val="21"/>
                <w:szCs w:val="21"/>
              </w:rPr>
              <w:t>AgroExperiment</w:t>
            </w:r>
            <w:proofErr w:type="spellEnd"/>
            <w:r w:rsidR="009E2A17">
              <w:rPr>
                <w:rFonts w:cs="Arial"/>
                <w:b/>
                <w:bCs/>
                <w:sz w:val="21"/>
                <w:szCs w:val="21"/>
              </w:rPr>
              <w:t xml:space="preserve"> s.r.o.</w:t>
            </w:r>
          </w:p>
        </w:tc>
      </w:tr>
      <w:tr w:rsidR="00B150A0" w:rsidRPr="00744F63" w:rsidTr="0059765A">
        <w:tc>
          <w:tcPr>
            <w:tcW w:w="1384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9E2A17" w:rsidRDefault="00971FE4" w:rsidP="00971FE4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Nyklovice 78</w:t>
            </w:r>
            <w:r w:rsidR="009E2A17" w:rsidRPr="009E2A17">
              <w:rPr>
                <w:rFonts w:cs="Arial"/>
                <w:sz w:val="21"/>
                <w:szCs w:val="21"/>
              </w:rPr>
              <w:t>, 59</w:t>
            </w:r>
            <w:r>
              <w:rPr>
                <w:rFonts w:cs="Arial"/>
                <w:sz w:val="21"/>
                <w:szCs w:val="21"/>
              </w:rPr>
              <w:t>2</w:t>
            </w:r>
            <w:r w:rsidR="009E2A17" w:rsidRPr="009E2A17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65</w:t>
            </w:r>
            <w:r w:rsidR="009E2A17" w:rsidRPr="009E2A17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Nyklovice</w:t>
            </w:r>
          </w:p>
        </w:tc>
      </w:tr>
      <w:tr w:rsidR="00B150A0" w:rsidRPr="00744F63" w:rsidTr="0059765A">
        <w:tc>
          <w:tcPr>
            <w:tcW w:w="1384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B150A0" w:rsidRPr="009E2A17" w:rsidRDefault="00971FE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DFDFD"/>
              </w:rPr>
              <w:t>1</w:t>
            </w:r>
            <w:bookmarkStart w:id="0" w:name="_GoBack"/>
            <w:r>
              <w:rPr>
                <w:sz w:val="21"/>
                <w:szCs w:val="21"/>
                <w:shd w:val="clear" w:color="auto" w:fill="FDFDFD"/>
              </w:rPr>
              <w:t>9338287</w:t>
            </w:r>
            <w:bookmarkEnd w:id="0"/>
          </w:p>
        </w:tc>
        <w:tc>
          <w:tcPr>
            <w:tcW w:w="578" w:type="dxa"/>
            <w:vAlign w:val="center"/>
          </w:tcPr>
          <w:p w:rsidR="00B150A0" w:rsidRPr="009E2A17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150A0" w:rsidRPr="009E2A17" w:rsidRDefault="009E2A17" w:rsidP="00971FE4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CZ</w:t>
            </w:r>
            <w:r w:rsidR="00971FE4">
              <w:rPr>
                <w:rFonts w:cs="Arial"/>
                <w:sz w:val="21"/>
                <w:szCs w:val="21"/>
              </w:rPr>
              <w:t>19338287</w:t>
            </w:r>
          </w:p>
        </w:tc>
      </w:tr>
      <w:tr w:rsidR="009E2A17" w:rsidRPr="00744F63" w:rsidTr="0059765A">
        <w:tc>
          <w:tcPr>
            <w:tcW w:w="1384" w:type="dxa"/>
            <w:vAlign w:val="center"/>
          </w:tcPr>
          <w:p w:rsidR="009E2A17" w:rsidRPr="009E2A17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9E2A17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9E2A17" w:rsidRPr="009E2A17" w:rsidRDefault="00C44E18" w:rsidP="00B46764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>
              <w:rPr>
                <w:sz w:val="21"/>
                <w:szCs w:val="21"/>
                <w:shd w:val="clear" w:color="auto" w:fill="FDFDFD"/>
              </w:rPr>
              <w:t xml:space="preserve">Ing. </w:t>
            </w:r>
            <w:r w:rsidR="00B46764">
              <w:rPr>
                <w:sz w:val="21"/>
                <w:szCs w:val="21"/>
                <w:shd w:val="clear" w:color="auto" w:fill="FDFDFD"/>
              </w:rPr>
              <w:t>Zdeňkem Trojanem, jednatelem</w:t>
            </w:r>
          </w:p>
        </w:tc>
        <w:tc>
          <w:tcPr>
            <w:tcW w:w="578" w:type="dxa"/>
            <w:vAlign w:val="center"/>
          </w:tcPr>
          <w:p w:rsidR="009E2A17" w:rsidRPr="004A4DA1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9E2A17" w:rsidRDefault="009E2A17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proofErr w:type="gramStart"/>
            <w:r w:rsidR="00320EF5">
              <w:rPr>
                <w:rFonts w:cs="Arial"/>
                <w:sz w:val="21"/>
                <w:szCs w:val="21"/>
              </w:rPr>
              <w:t>603  00</w:t>
            </w:r>
            <w:proofErr w:type="gramEnd"/>
            <w:r w:rsidR="00320EF5">
              <w:rPr>
                <w:rFonts w:cs="Arial"/>
                <w:sz w:val="21"/>
                <w:szCs w:val="21"/>
              </w:rPr>
              <w:t xml:space="preserve">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320EF5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>
              <w:rPr>
                <w:rFonts w:cs="Arial"/>
                <w:sz w:val="21"/>
                <w:szCs w:val="21"/>
              </w:rPr>
              <w:t xml:space="preserve">, </w:t>
            </w:r>
            <w:r w:rsidR="00320EF5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>
        <w:rPr>
          <w:sz w:val="21"/>
          <w:szCs w:val="21"/>
        </w:rPr>
        <w:t xml:space="preserve"> zhotoviteli dohodnutou</w:t>
      </w:r>
      <w:r w:rsidRPr="00864591">
        <w:rPr>
          <w:sz w:val="21"/>
          <w:szCs w:val="21"/>
        </w:rPr>
        <w:t xml:space="preserve"> cenu.</w:t>
      </w:r>
    </w:p>
    <w:p w:rsidR="00B150A0" w:rsidRPr="00C5099F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Dílem je</w:t>
      </w:r>
      <w:r w:rsidR="00627323">
        <w:rPr>
          <w:sz w:val="21"/>
          <w:szCs w:val="21"/>
        </w:rPr>
        <w:t xml:space="preserve"> provedení prací na</w:t>
      </w:r>
      <w:r w:rsidR="00BE41A1" w:rsidRPr="00320EF5">
        <w:rPr>
          <w:sz w:val="21"/>
          <w:szCs w:val="21"/>
        </w:rPr>
        <w:t xml:space="preserve"> </w:t>
      </w:r>
      <w:r w:rsidR="009E2A17" w:rsidRPr="00320EF5">
        <w:rPr>
          <w:color w:val="000000"/>
          <w:sz w:val="21"/>
          <w:szCs w:val="21"/>
          <w:shd w:val="clear" w:color="auto" w:fill="FDFDFD"/>
        </w:rPr>
        <w:t>polní</w:t>
      </w:r>
      <w:r w:rsidR="00627323">
        <w:rPr>
          <w:color w:val="000000"/>
          <w:sz w:val="21"/>
          <w:szCs w:val="21"/>
          <w:shd w:val="clear" w:color="auto" w:fill="FDFDFD"/>
        </w:rPr>
        <w:t>m</w:t>
      </w:r>
      <w:r w:rsidR="009E2A17" w:rsidRPr="00320EF5">
        <w:rPr>
          <w:color w:val="000000"/>
          <w:sz w:val="21"/>
          <w:szCs w:val="21"/>
          <w:shd w:val="clear" w:color="auto" w:fill="FDFDFD"/>
        </w:rPr>
        <w:t xml:space="preserve"> experiment</w:t>
      </w:r>
      <w:r w:rsidR="00627323">
        <w:rPr>
          <w:color w:val="000000"/>
          <w:sz w:val="21"/>
          <w:szCs w:val="21"/>
          <w:shd w:val="clear" w:color="auto" w:fill="FDFDFD"/>
        </w:rPr>
        <w:t>u</w:t>
      </w:r>
      <w:r w:rsidR="009E2A17" w:rsidRPr="00320EF5">
        <w:rPr>
          <w:color w:val="000000"/>
          <w:sz w:val="21"/>
          <w:szCs w:val="21"/>
          <w:shd w:val="clear" w:color="auto" w:fill="FDFDFD"/>
        </w:rPr>
        <w:t xml:space="preserve"> na plodinách pšenice</w:t>
      </w:r>
      <w:r w:rsidR="006E4B56">
        <w:rPr>
          <w:color w:val="000000"/>
          <w:sz w:val="21"/>
          <w:szCs w:val="21"/>
          <w:shd w:val="clear" w:color="auto" w:fill="FDFDFD"/>
        </w:rPr>
        <w:t xml:space="preserve"> ozimá</w:t>
      </w:r>
      <w:r w:rsidR="009E2A17" w:rsidRPr="00320EF5">
        <w:rPr>
          <w:color w:val="000000"/>
          <w:sz w:val="21"/>
          <w:szCs w:val="21"/>
          <w:shd w:val="clear" w:color="auto" w:fill="FDFDFD"/>
        </w:rPr>
        <w:t>,</w:t>
      </w:r>
      <w:r w:rsidR="00B46764">
        <w:rPr>
          <w:color w:val="000000"/>
          <w:sz w:val="21"/>
          <w:szCs w:val="21"/>
          <w:shd w:val="clear" w:color="auto" w:fill="FDFDFD"/>
        </w:rPr>
        <w:t xml:space="preserve"> žito</w:t>
      </w:r>
      <w:r w:rsidR="006E4B56">
        <w:rPr>
          <w:color w:val="000000"/>
          <w:sz w:val="21"/>
          <w:szCs w:val="21"/>
          <w:shd w:val="clear" w:color="auto" w:fill="FDFDFD"/>
        </w:rPr>
        <w:t xml:space="preserve"> ozimé</w:t>
      </w:r>
      <w:r w:rsidR="00B46764">
        <w:rPr>
          <w:color w:val="000000"/>
          <w:sz w:val="21"/>
          <w:szCs w:val="21"/>
          <w:shd w:val="clear" w:color="auto" w:fill="FDFDFD"/>
        </w:rPr>
        <w:t>,</w:t>
      </w:r>
      <w:r w:rsidR="00B77134">
        <w:rPr>
          <w:color w:val="000000"/>
          <w:sz w:val="21"/>
          <w:szCs w:val="21"/>
          <w:shd w:val="clear" w:color="auto" w:fill="FDFDFD"/>
        </w:rPr>
        <w:t xml:space="preserve"> řepka ozimá, ječmen jarní, bob</w:t>
      </w:r>
      <w:r w:rsidR="006E4B56">
        <w:rPr>
          <w:color w:val="000000"/>
          <w:sz w:val="21"/>
          <w:szCs w:val="21"/>
          <w:shd w:val="clear" w:color="auto" w:fill="FDFDFD"/>
        </w:rPr>
        <w:t>,</w:t>
      </w:r>
      <w:r w:rsidR="00B46764">
        <w:rPr>
          <w:color w:val="000000"/>
          <w:sz w:val="21"/>
          <w:szCs w:val="21"/>
          <w:shd w:val="clear" w:color="auto" w:fill="FDFDFD"/>
        </w:rPr>
        <w:t xml:space="preserve"> a</w:t>
      </w:r>
      <w:r w:rsidR="006E4B56">
        <w:rPr>
          <w:color w:val="000000"/>
          <w:sz w:val="21"/>
          <w:szCs w:val="21"/>
          <w:shd w:val="clear" w:color="auto" w:fill="FDFDFD"/>
        </w:rPr>
        <w:t xml:space="preserve"> to</w:t>
      </w:r>
      <w:r w:rsidR="00B46764">
        <w:rPr>
          <w:color w:val="000000"/>
          <w:sz w:val="21"/>
          <w:szCs w:val="21"/>
          <w:shd w:val="clear" w:color="auto" w:fill="FDFDFD"/>
        </w:rPr>
        <w:t xml:space="preserve"> </w:t>
      </w:r>
      <w:r w:rsidR="006E4B56">
        <w:rPr>
          <w:color w:val="000000"/>
          <w:sz w:val="21"/>
          <w:szCs w:val="21"/>
          <w:shd w:val="clear" w:color="auto" w:fill="FDFDFD"/>
        </w:rPr>
        <w:t>celkem ve 3 variantách experimentu</w:t>
      </w:r>
      <w:r w:rsidR="00627323">
        <w:rPr>
          <w:color w:val="000000"/>
          <w:sz w:val="21"/>
          <w:szCs w:val="21"/>
          <w:shd w:val="clear" w:color="auto" w:fill="FDFDFD"/>
        </w:rPr>
        <w:t>, přičemž výstupem z těchto prací budou</w:t>
      </w:r>
      <w:r w:rsidR="00CF353B">
        <w:rPr>
          <w:color w:val="000000"/>
          <w:sz w:val="21"/>
          <w:szCs w:val="21"/>
          <w:shd w:val="clear" w:color="auto" w:fill="FDFDFD"/>
        </w:rPr>
        <w:t xml:space="preserve"> podrobné</w:t>
      </w:r>
      <w:r w:rsidR="00627323">
        <w:rPr>
          <w:color w:val="000000"/>
          <w:sz w:val="21"/>
          <w:szCs w:val="21"/>
          <w:shd w:val="clear" w:color="auto" w:fill="FDFDFD"/>
        </w:rPr>
        <w:t xml:space="preserve"> záznamy z experimentu a vzešlé plodiny</w:t>
      </w:r>
      <w:r w:rsidR="00B46764">
        <w:rPr>
          <w:color w:val="000000"/>
          <w:sz w:val="21"/>
          <w:szCs w:val="21"/>
          <w:shd w:val="clear" w:color="auto" w:fill="FDFDFD"/>
        </w:rPr>
        <w:t>.</w:t>
      </w:r>
    </w:p>
    <w:p w:rsidR="00B150A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9E51FE" w:rsidRDefault="009E51FE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6F6BBE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analýzy</w:t>
      </w:r>
    </w:p>
    <w:p w:rsidR="00B150A0" w:rsidRPr="00320EF5" w:rsidRDefault="0045155D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Polní experiment se bude skládat z následujících částí:</w:t>
      </w:r>
    </w:p>
    <w:p w:rsidR="0045155D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Podmítka</w:t>
      </w:r>
    </w:p>
    <w:p w:rsidR="009777BC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Orba</w:t>
      </w:r>
    </w:p>
    <w:p w:rsidR="0045155D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Smykování</w:t>
      </w:r>
    </w:p>
    <w:p w:rsidR="0045155D" w:rsidRPr="00320EF5" w:rsidRDefault="006E4B56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Příprava setí dle běžných standardů a u no-</w:t>
      </w:r>
      <w:proofErr w:type="spellStart"/>
      <w:r>
        <w:rPr>
          <w:sz w:val="21"/>
          <w:szCs w:val="21"/>
        </w:rPr>
        <w:t>till</w:t>
      </w:r>
      <w:proofErr w:type="spellEnd"/>
      <w:r>
        <w:rPr>
          <w:sz w:val="21"/>
          <w:szCs w:val="21"/>
        </w:rPr>
        <w:t xml:space="preserve"> úprava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proofErr w:type="gramStart"/>
      <w:r>
        <w:rPr>
          <w:sz w:val="21"/>
          <w:szCs w:val="21"/>
        </w:rPr>
        <w:lastRenderedPageBreak/>
        <w:t>S</w:t>
      </w:r>
      <w:r w:rsidRPr="006E4B56">
        <w:rPr>
          <w:sz w:val="21"/>
          <w:szCs w:val="21"/>
        </w:rPr>
        <w:t>etí - kombinace</w:t>
      </w:r>
      <w:proofErr w:type="gramEnd"/>
      <w:r w:rsidRPr="006E4B56">
        <w:rPr>
          <w:sz w:val="21"/>
          <w:szCs w:val="21"/>
        </w:rPr>
        <w:t xml:space="preserve"> standard i no-til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proofErr w:type="gramStart"/>
      <w:r>
        <w:rPr>
          <w:sz w:val="21"/>
          <w:szCs w:val="21"/>
        </w:rPr>
        <w:t>M</w:t>
      </w:r>
      <w:r w:rsidRPr="006E4B56">
        <w:rPr>
          <w:sz w:val="21"/>
          <w:szCs w:val="21"/>
        </w:rPr>
        <w:t>ulčování - rovnoměrně</w:t>
      </w:r>
      <w:proofErr w:type="gramEnd"/>
      <w:r w:rsidRPr="006E4B56">
        <w:rPr>
          <w:sz w:val="21"/>
          <w:szCs w:val="21"/>
        </w:rPr>
        <w:t xml:space="preserve"> na celé parcele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6E4B56">
        <w:rPr>
          <w:sz w:val="21"/>
          <w:szCs w:val="21"/>
        </w:rPr>
        <w:t>kl</w:t>
      </w:r>
      <w:r w:rsidR="002C2A49">
        <w:rPr>
          <w:sz w:val="21"/>
          <w:szCs w:val="21"/>
        </w:rPr>
        <w:t>izeň (provedení sklizně nejméně</w:t>
      </w:r>
      <w:r w:rsidRPr="006E4B56">
        <w:rPr>
          <w:sz w:val="21"/>
          <w:szCs w:val="21"/>
        </w:rPr>
        <w:t xml:space="preserve"> 4 neovlivněných ploch každá nejméně 10 m</w:t>
      </w:r>
      <w:r w:rsidRPr="00D23B9D">
        <w:rPr>
          <w:sz w:val="21"/>
          <w:szCs w:val="21"/>
          <w:vertAlign w:val="superscript"/>
        </w:rPr>
        <w:t>2</w:t>
      </w:r>
      <w:r w:rsidRPr="006E4B56">
        <w:rPr>
          <w:sz w:val="21"/>
          <w:szCs w:val="21"/>
        </w:rPr>
        <w:t xml:space="preserve"> na každou parcelu; následné posečení celého pokusu a rovnoměrné rozložení zbytků na plochu </w:t>
      </w:r>
      <w:proofErr w:type="gramStart"/>
      <w:r w:rsidRPr="006E4B56">
        <w:rPr>
          <w:sz w:val="21"/>
          <w:szCs w:val="21"/>
        </w:rPr>
        <w:t>parcely - strojně</w:t>
      </w:r>
      <w:proofErr w:type="gramEnd"/>
      <w:r w:rsidRPr="006E4B56">
        <w:rPr>
          <w:sz w:val="21"/>
          <w:szCs w:val="21"/>
        </w:rPr>
        <w:t>/ručně)</w:t>
      </w:r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H</w:t>
      </w:r>
      <w:r w:rsidRPr="006E4B56">
        <w:rPr>
          <w:sz w:val="21"/>
          <w:szCs w:val="21"/>
        </w:rPr>
        <w:t>nojení dle obvyklých dávek</w:t>
      </w:r>
      <w:r w:rsidR="00561DF6">
        <w:rPr>
          <w:sz w:val="21"/>
          <w:szCs w:val="21"/>
        </w:rPr>
        <w:t xml:space="preserve"> a aplikace </w:t>
      </w:r>
      <w:proofErr w:type="spellStart"/>
      <w:r w:rsidR="00561DF6">
        <w:rPr>
          <w:sz w:val="21"/>
          <w:szCs w:val="21"/>
        </w:rPr>
        <w:t>biouhlu</w:t>
      </w:r>
      <w:proofErr w:type="spellEnd"/>
    </w:p>
    <w:p w:rsid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 w:rsidR="00B77134">
        <w:rPr>
          <w:sz w:val="21"/>
          <w:szCs w:val="21"/>
        </w:rPr>
        <w:t xml:space="preserve">esticidy dle potřeby </w:t>
      </w:r>
      <w:r w:rsidRPr="006E4B56">
        <w:rPr>
          <w:sz w:val="21"/>
          <w:szCs w:val="21"/>
        </w:rPr>
        <w:t>obvyklých dávek</w:t>
      </w:r>
    </w:p>
    <w:p w:rsidR="006E4B56" w:rsidRPr="006E4B56" w:rsidRDefault="006E4B56" w:rsidP="006E4B56">
      <w:pPr>
        <w:pStyle w:val="ListParagraph1"/>
        <w:numPr>
          <w:ilvl w:val="3"/>
          <w:numId w:val="11"/>
        </w:numPr>
        <w:rPr>
          <w:sz w:val="21"/>
          <w:szCs w:val="21"/>
        </w:rPr>
      </w:pPr>
      <w:proofErr w:type="gramStart"/>
      <w:r>
        <w:rPr>
          <w:sz w:val="21"/>
          <w:szCs w:val="21"/>
        </w:rPr>
        <w:t>P</w:t>
      </w:r>
      <w:r w:rsidRPr="006E4B56">
        <w:rPr>
          <w:sz w:val="21"/>
          <w:szCs w:val="21"/>
        </w:rPr>
        <w:t>ozorování</w:t>
      </w:r>
      <w:r>
        <w:rPr>
          <w:sz w:val="21"/>
          <w:szCs w:val="21"/>
        </w:rPr>
        <w:t xml:space="preserve"> </w:t>
      </w:r>
      <w:r w:rsidRPr="006E4B56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6E4B56">
        <w:rPr>
          <w:sz w:val="21"/>
          <w:szCs w:val="21"/>
        </w:rPr>
        <w:t>základní</w:t>
      </w:r>
      <w:proofErr w:type="gramEnd"/>
      <w:r w:rsidRPr="006E4B56">
        <w:rPr>
          <w:sz w:val="21"/>
          <w:szCs w:val="21"/>
        </w:rPr>
        <w:t xml:space="preserve"> agronomický dozor a záznamy několikrát týdně</w:t>
      </w:r>
    </w:p>
    <w:p w:rsidR="00B150A0" w:rsidRPr="00FF0E9B" w:rsidRDefault="00B150A0" w:rsidP="006E4B56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>ními vědeckými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</w:t>
      </w:r>
      <w:r w:rsidR="00D23B9D">
        <w:rPr>
          <w:sz w:val="21"/>
          <w:szCs w:val="21"/>
        </w:rPr>
        <w:t>m</w:t>
      </w:r>
      <w:r w:rsidRPr="00D55759">
        <w:rPr>
          <w:sz w:val="21"/>
          <w:szCs w:val="21"/>
        </w:rPr>
        <w:t xml:space="preserve"> odborné péče, přičemž šetří práva třetích osob a veřejné zdroje. Zhotovitel naplňuje tuto smlouvu prostřednictvím náležitě kvalifikovaných a odborně způsobilých osob.</w:t>
      </w:r>
    </w:p>
    <w:p w:rsidR="00B150A0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9E51FE" w:rsidRPr="00EC32AB" w:rsidRDefault="009E51FE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E066AA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>
        <w:rPr>
          <w:sz w:val="21"/>
          <w:szCs w:val="21"/>
        </w:rPr>
        <w:t>Úplné a b</w:t>
      </w:r>
      <w:r w:rsidR="00C96089">
        <w:rPr>
          <w:sz w:val="21"/>
          <w:szCs w:val="21"/>
        </w:rPr>
        <w:t xml:space="preserve">ezvadné dílo bude odevzdáno </w:t>
      </w:r>
      <w:r w:rsidR="00C96089" w:rsidRPr="00E066AA">
        <w:rPr>
          <w:b/>
          <w:sz w:val="21"/>
          <w:szCs w:val="21"/>
        </w:rPr>
        <w:t xml:space="preserve">do </w:t>
      </w:r>
      <w:r w:rsidR="00561DF6">
        <w:rPr>
          <w:b/>
          <w:sz w:val="21"/>
          <w:szCs w:val="21"/>
        </w:rPr>
        <w:t>20</w:t>
      </w:r>
      <w:r w:rsidR="00CF353B">
        <w:rPr>
          <w:b/>
          <w:sz w:val="21"/>
          <w:szCs w:val="21"/>
        </w:rPr>
        <w:t xml:space="preserve">. </w:t>
      </w:r>
      <w:r w:rsidR="00F7732B">
        <w:rPr>
          <w:b/>
          <w:sz w:val="21"/>
          <w:szCs w:val="21"/>
        </w:rPr>
        <w:t>1</w:t>
      </w:r>
      <w:r w:rsidR="000D6CF6">
        <w:rPr>
          <w:b/>
          <w:sz w:val="21"/>
          <w:szCs w:val="21"/>
        </w:rPr>
        <w:t>2</w:t>
      </w:r>
      <w:r w:rsidR="00320EF5">
        <w:rPr>
          <w:b/>
          <w:sz w:val="21"/>
          <w:szCs w:val="21"/>
        </w:rPr>
        <w:t xml:space="preserve">. </w:t>
      </w:r>
      <w:r w:rsidR="007B19F9">
        <w:rPr>
          <w:b/>
          <w:sz w:val="21"/>
          <w:szCs w:val="21"/>
        </w:rPr>
        <w:t>202</w:t>
      </w:r>
      <w:r w:rsidR="00B77134">
        <w:rPr>
          <w:b/>
          <w:sz w:val="21"/>
          <w:szCs w:val="21"/>
        </w:rPr>
        <w:t>4</w:t>
      </w:r>
      <w:r w:rsidRPr="00E066AA">
        <w:rPr>
          <w:b/>
          <w:sz w:val="21"/>
          <w:szCs w:val="21"/>
        </w:rPr>
        <w:t>.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plnění </w:t>
      </w:r>
      <w:r>
        <w:rPr>
          <w:sz w:val="21"/>
          <w:szCs w:val="21"/>
        </w:rPr>
        <w:t>je</w:t>
      </w:r>
      <w:r w:rsidR="00D23B9D">
        <w:rPr>
          <w:sz w:val="21"/>
          <w:szCs w:val="21"/>
        </w:rPr>
        <w:t xml:space="preserve"> experimentální</w:t>
      </w:r>
      <w:r>
        <w:rPr>
          <w:sz w:val="21"/>
          <w:szCs w:val="21"/>
        </w:rPr>
        <w:t xml:space="preserve"> </w:t>
      </w:r>
      <w:r w:rsidR="00D23B9D">
        <w:rPr>
          <w:sz w:val="21"/>
          <w:szCs w:val="21"/>
        </w:rPr>
        <w:t xml:space="preserve">pracoviště objednatele, které se nachází na části pozemku </w:t>
      </w:r>
      <w:proofErr w:type="spellStart"/>
      <w:r w:rsidR="00D23B9D">
        <w:rPr>
          <w:sz w:val="21"/>
          <w:szCs w:val="21"/>
        </w:rPr>
        <w:t>parc</w:t>
      </w:r>
      <w:proofErr w:type="spellEnd"/>
      <w:r w:rsidR="00D23B9D">
        <w:rPr>
          <w:sz w:val="21"/>
          <w:szCs w:val="21"/>
        </w:rPr>
        <w:t xml:space="preserve">. č. 127/1, kat. </w:t>
      </w:r>
      <w:proofErr w:type="spellStart"/>
      <w:r w:rsidR="00D23B9D">
        <w:rPr>
          <w:sz w:val="21"/>
          <w:szCs w:val="21"/>
        </w:rPr>
        <w:t>úz</w:t>
      </w:r>
      <w:proofErr w:type="spellEnd"/>
      <w:r w:rsidR="00D23B9D">
        <w:rPr>
          <w:sz w:val="21"/>
          <w:szCs w:val="21"/>
        </w:rPr>
        <w:t xml:space="preserve">. </w:t>
      </w:r>
      <w:proofErr w:type="spellStart"/>
      <w:r w:rsidR="00D23B9D">
        <w:rPr>
          <w:sz w:val="21"/>
          <w:szCs w:val="21"/>
        </w:rPr>
        <w:t>Domanínek</w:t>
      </w:r>
      <w:proofErr w:type="spellEnd"/>
      <w:r w:rsidR="00D23B9D">
        <w:rPr>
          <w:sz w:val="21"/>
          <w:szCs w:val="21"/>
        </w:rPr>
        <w:t>, obec Bystřice nad Pernštejnem.</w:t>
      </w:r>
    </w:p>
    <w:p w:rsidR="00B150A0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9E51FE" w:rsidRPr="00D05B15" w:rsidRDefault="009E51FE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Pr="00692AF2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92AF2">
        <w:rPr>
          <w:sz w:val="21"/>
          <w:szCs w:val="21"/>
        </w:rPr>
        <w:t>Byla ujednána cena za plnění této smlouvy</w:t>
      </w:r>
      <w:r w:rsidR="00B150A0" w:rsidRPr="00692AF2">
        <w:rPr>
          <w:sz w:val="21"/>
          <w:szCs w:val="21"/>
        </w:rPr>
        <w:t xml:space="preserve">: </w:t>
      </w:r>
      <w:r w:rsidR="00B77134">
        <w:rPr>
          <w:b/>
          <w:sz w:val="21"/>
          <w:szCs w:val="21"/>
        </w:rPr>
        <w:t>409</w:t>
      </w:r>
      <w:r w:rsidR="00F7732B" w:rsidRPr="00971FE4">
        <w:rPr>
          <w:b/>
          <w:sz w:val="21"/>
          <w:szCs w:val="21"/>
        </w:rPr>
        <w:t>.</w:t>
      </w:r>
      <w:r w:rsidR="00971FE4" w:rsidRPr="00971FE4">
        <w:rPr>
          <w:b/>
          <w:sz w:val="21"/>
          <w:szCs w:val="21"/>
        </w:rPr>
        <w:t>1</w:t>
      </w:r>
      <w:r w:rsidR="00B77134">
        <w:rPr>
          <w:b/>
          <w:sz w:val="21"/>
          <w:szCs w:val="21"/>
        </w:rPr>
        <w:t>64</w:t>
      </w:r>
      <w:r w:rsidR="00B150A0" w:rsidRPr="00692AF2">
        <w:rPr>
          <w:b/>
          <w:bCs/>
          <w:sz w:val="21"/>
          <w:szCs w:val="21"/>
        </w:rPr>
        <w:t xml:space="preserve"> Kč</w:t>
      </w:r>
      <w:r w:rsidR="0045155D" w:rsidRPr="00692AF2">
        <w:rPr>
          <w:b/>
          <w:bCs/>
          <w:sz w:val="21"/>
          <w:szCs w:val="21"/>
        </w:rPr>
        <w:t xml:space="preserve"> bez DPH</w:t>
      </w:r>
      <w:r w:rsidR="00C96089" w:rsidRPr="00692AF2">
        <w:rPr>
          <w:sz w:val="21"/>
          <w:szCs w:val="21"/>
        </w:rPr>
        <w:t>.</w:t>
      </w:r>
    </w:p>
    <w:p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</w:t>
      </w:r>
      <w:r w:rsidR="00D23B9D">
        <w:rPr>
          <w:sz w:val="21"/>
          <w:szCs w:val="21"/>
        </w:rPr>
        <w:t xml:space="preserve"> v podobě </w:t>
      </w:r>
      <w:proofErr w:type="spellStart"/>
      <w:r w:rsidR="00D23B9D">
        <w:rPr>
          <w:sz w:val="21"/>
          <w:szCs w:val="21"/>
        </w:rPr>
        <w:t>excelové</w:t>
      </w:r>
      <w:proofErr w:type="spellEnd"/>
      <w:r w:rsidR="00D23B9D">
        <w:rPr>
          <w:sz w:val="21"/>
          <w:szCs w:val="21"/>
        </w:rPr>
        <w:t xml:space="preserve"> tabulky</w:t>
      </w:r>
      <w:r>
        <w:rPr>
          <w:sz w:val="21"/>
          <w:szCs w:val="21"/>
        </w:rPr>
        <w:t>.</w:t>
      </w:r>
    </w:p>
    <w:p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Stane-li se zhotovitel nespolehlivým plátcem DPH dle § </w:t>
      </w:r>
      <w:proofErr w:type="gramStart"/>
      <w:r w:rsidRPr="00D8535F">
        <w:rPr>
          <w:sz w:val="21"/>
          <w:szCs w:val="21"/>
        </w:rPr>
        <w:t>160a</w:t>
      </w:r>
      <w:proofErr w:type="gramEnd"/>
      <w:r w:rsidRPr="00D8535F">
        <w:rPr>
          <w:sz w:val="21"/>
          <w:szCs w:val="21"/>
        </w:rPr>
        <w:t xml:space="preserve">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</w:t>
      </w:r>
      <w:proofErr w:type="gramStart"/>
      <w:r w:rsidRPr="00D8535F">
        <w:rPr>
          <w:sz w:val="21"/>
          <w:szCs w:val="21"/>
        </w:rPr>
        <w:t>106a</w:t>
      </w:r>
      <w:proofErr w:type="gramEnd"/>
      <w:r w:rsidRPr="00D8535F">
        <w:rPr>
          <w:sz w:val="21"/>
          <w:szCs w:val="21"/>
        </w:rPr>
        <w:t xml:space="preserve"> zákona o DPH.</w:t>
      </w:r>
    </w:p>
    <w:p w:rsidR="008F4642" w:rsidRPr="00D8535F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8F4642" w:rsidRPr="00D8535F" w:rsidRDefault="008F4642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:rsidR="008F4642" w:rsidRPr="008F4642" w:rsidRDefault="00627323" w:rsidP="008F4642">
      <w:pPr>
        <w:pStyle w:val="ListParagraph1"/>
        <w:numPr>
          <w:ilvl w:val="3"/>
          <w:numId w:val="11"/>
        </w:numPr>
        <w:ind w:left="823"/>
        <w:rPr>
          <w:sz w:val="21"/>
          <w:szCs w:val="21"/>
        </w:rPr>
      </w:pPr>
      <w:r>
        <w:rPr>
          <w:sz w:val="21"/>
          <w:szCs w:val="21"/>
        </w:rPr>
        <w:t>v případě jakékoliv pochybnosti</w:t>
      </w:r>
      <w:r w:rsidR="008F4642" w:rsidRPr="00D8535F">
        <w:rPr>
          <w:sz w:val="21"/>
          <w:szCs w:val="21"/>
        </w:rPr>
        <w:t xml:space="preserve"> objednatele o tom, zda zhotovitel nespolehlivým plátcem DPH je či nikoliv.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C5099F" w:rsidRPr="00C5099F" w:rsidRDefault="00B150A0" w:rsidP="002C2A4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lastRenderedPageBreak/>
        <w:t>Cena díla bude uhra</w:t>
      </w:r>
      <w:r w:rsidR="00CF353B">
        <w:rPr>
          <w:sz w:val="21"/>
          <w:szCs w:val="21"/>
        </w:rPr>
        <w:t xml:space="preserve">zena na základě </w:t>
      </w:r>
      <w:r w:rsidR="002C2A49">
        <w:rPr>
          <w:sz w:val="21"/>
          <w:szCs w:val="21"/>
        </w:rPr>
        <w:t>jediné faktury s</w:t>
      </w:r>
      <w:r w:rsidR="00C5099F" w:rsidRPr="00C5099F">
        <w:rPr>
          <w:sz w:val="21"/>
          <w:szCs w:val="21"/>
        </w:rPr>
        <w:t xml:space="preserve"> nál</w:t>
      </w:r>
      <w:r w:rsidR="002C2A49">
        <w:rPr>
          <w:sz w:val="21"/>
          <w:szCs w:val="21"/>
        </w:rPr>
        <w:t>ežitostmi</w:t>
      </w:r>
      <w:r w:rsidR="00B50AF1">
        <w:rPr>
          <w:sz w:val="21"/>
          <w:szCs w:val="21"/>
        </w:rPr>
        <w:t xml:space="preserve"> daňového dokladu</w:t>
      </w:r>
      <w:r w:rsidR="00C5099F" w:rsidRPr="00C5099F">
        <w:rPr>
          <w:sz w:val="21"/>
          <w:szCs w:val="21"/>
        </w:rPr>
        <w:t>.</w:t>
      </w:r>
    </w:p>
    <w:p w:rsidR="00B150A0" w:rsidRPr="00202E2F" w:rsidRDefault="00B150A0" w:rsidP="00C5099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9E51FE" w:rsidRDefault="009E51FE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320EF5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 w:rsidRPr="00320EF5">
        <w:rPr>
          <w:sz w:val="21"/>
          <w:szCs w:val="21"/>
        </w:rPr>
        <w:t xml:space="preserve">objednatele je </w:t>
      </w:r>
      <w:r w:rsidR="00D23B9D">
        <w:rPr>
          <w:sz w:val="21"/>
          <w:szCs w:val="21"/>
        </w:rPr>
        <w:t xml:space="preserve">prof. Mgr. </w:t>
      </w:r>
      <w:r w:rsidR="0059765A" w:rsidRPr="00320EF5">
        <w:rPr>
          <w:sz w:val="21"/>
          <w:szCs w:val="21"/>
        </w:rPr>
        <w:t xml:space="preserve">Ing. </w:t>
      </w:r>
      <w:r w:rsidR="00D23B9D">
        <w:rPr>
          <w:sz w:val="21"/>
          <w:szCs w:val="21"/>
        </w:rPr>
        <w:t>Miroslav Trnka, Ph.D</w:t>
      </w:r>
      <w:r w:rsidR="00E066AA" w:rsidRPr="00320EF5">
        <w:rPr>
          <w:sz w:val="21"/>
          <w:szCs w:val="21"/>
        </w:rPr>
        <w:t xml:space="preserve">. </w:t>
      </w:r>
      <w:r w:rsidRPr="00320EF5">
        <w:rPr>
          <w:sz w:val="21"/>
          <w:szCs w:val="21"/>
        </w:rPr>
        <w:t xml:space="preserve">Tento zástupce objednatele může za objednatele v souvislosti s touto </w:t>
      </w:r>
      <w:proofErr w:type="gramStart"/>
      <w:r w:rsidRPr="00320EF5">
        <w:rPr>
          <w:sz w:val="21"/>
          <w:szCs w:val="21"/>
        </w:rPr>
        <w:t>smlouvou</w:t>
      </w:r>
      <w:proofErr w:type="gramEnd"/>
      <w:r w:rsidRPr="00320EF5">
        <w:rPr>
          <w:sz w:val="21"/>
          <w:szCs w:val="21"/>
        </w:rPr>
        <w:t xml:space="preserve"> jakkoliv jednat, nemůže však smlouvu ani měnit, ani ukončit.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320EF5">
        <w:rPr>
          <w:sz w:val="21"/>
          <w:szCs w:val="21"/>
        </w:rPr>
        <w:t>Zástupcem zhotovitele je</w:t>
      </w:r>
      <w:r w:rsidRPr="00320EF5">
        <w:t xml:space="preserve"> </w:t>
      </w:r>
      <w:r w:rsidR="00E066AA" w:rsidRPr="00320EF5">
        <w:rPr>
          <w:sz w:val="21"/>
          <w:szCs w:val="21"/>
        </w:rPr>
        <w:t xml:space="preserve">Ing. </w:t>
      </w:r>
      <w:r w:rsidR="0059765A" w:rsidRPr="00320EF5">
        <w:rPr>
          <w:sz w:val="21"/>
          <w:szCs w:val="21"/>
        </w:rPr>
        <w:t>Vojtěch Heger</w:t>
      </w:r>
      <w:r w:rsidR="006A53A4" w:rsidRPr="00320EF5">
        <w:rPr>
          <w:sz w:val="21"/>
          <w:szCs w:val="21"/>
        </w:rPr>
        <w:t>.</w:t>
      </w:r>
      <w:r w:rsidRPr="00320EF5">
        <w:rPr>
          <w:sz w:val="21"/>
          <w:szCs w:val="21"/>
        </w:rPr>
        <w:t xml:space="preserve"> Tento</w:t>
      </w:r>
      <w:r w:rsidRPr="00AD6C1C">
        <w:rPr>
          <w:sz w:val="21"/>
          <w:szCs w:val="21"/>
        </w:rPr>
        <w:t xml:space="preserve"> zástupce zhotovitele může za zhotovitele v souvislosti s touto </w:t>
      </w:r>
      <w:proofErr w:type="gramStart"/>
      <w:r w:rsidRPr="00AD6C1C">
        <w:rPr>
          <w:sz w:val="21"/>
          <w:szCs w:val="21"/>
        </w:rPr>
        <w:t>smlouvou</w:t>
      </w:r>
      <w:proofErr w:type="gramEnd"/>
      <w:r w:rsidRPr="00AD6C1C">
        <w:rPr>
          <w:sz w:val="21"/>
          <w:szCs w:val="21"/>
        </w:rPr>
        <w:t xml:space="preserve">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9E51FE" w:rsidRDefault="009E51FE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F7732B">
        <w:rPr>
          <w:sz w:val="21"/>
          <w:szCs w:val="21"/>
        </w:rPr>
        <w:t>tní smluvní pokutu ve výši 8</w:t>
      </w:r>
      <w:r w:rsidR="00CA3542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  <w:r w:rsidR="009479A3">
        <w:rPr>
          <w:sz w:val="21"/>
          <w:szCs w:val="21"/>
        </w:rPr>
        <w:t xml:space="preserve"> Tato smluvní pokuta nebude uplatněna, pokud dojde k prodlení na straně zhotovitele z důvodu zásahu vyšší moci.</w:t>
      </w:r>
    </w:p>
    <w:p w:rsidR="008F4642" w:rsidRPr="008F4642" w:rsidRDefault="008F4642" w:rsidP="008F464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sz w:val="21"/>
          <w:szCs w:val="21"/>
        </w:rPr>
        <w:t>106a</w:t>
      </w:r>
      <w:proofErr w:type="gramEnd"/>
      <w:r w:rsidRPr="00806BB0">
        <w:rPr>
          <w:sz w:val="21"/>
          <w:szCs w:val="21"/>
        </w:rPr>
        <w:t xml:space="preserve">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sz w:val="21"/>
          <w:szCs w:val="21"/>
        </w:rPr>
        <w:t>přiměřenou</w:t>
      </w:r>
      <w:proofErr w:type="gramEnd"/>
      <w:r w:rsidRPr="006F6BBE">
        <w:rPr>
          <w:sz w:val="21"/>
          <w:szCs w:val="21"/>
        </w:rPr>
        <w:t xml:space="preserve">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9E51FE" w:rsidRDefault="009E51FE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lastRenderedPageBreak/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Default="00B150A0" w:rsidP="002C2A4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C44DEB" w:rsidRDefault="00C44DEB" w:rsidP="00C44DEB">
      <w:pPr>
        <w:pStyle w:val="ListParagraph1"/>
        <w:ind w:left="425" w:firstLine="0"/>
        <w:rPr>
          <w:sz w:val="21"/>
          <w:szCs w:val="21"/>
        </w:rPr>
      </w:pPr>
    </w:p>
    <w:p w:rsidR="009E51FE" w:rsidRPr="002C2A49" w:rsidRDefault="009E51FE" w:rsidP="00C44DEB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 xml:space="preserve">. Objednatel je oprávněn uzavřít </w:t>
      </w:r>
      <w:proofErr w:type="spellStart"/>
      <w:r w:rsidRPr="001A372A">
        <w:rPr>
          <w:sz w:val="21"/>
          <w:szCs w:val="21"/>
        </w:rPr>
        <w:t>podlicenční</w:t>
      </w:r>
      <w:proofErr w:type="spellEnd"/>
      <w:r w:rsidRPr="001A372A">
        <w:rPr>
          <w:sz w:val="21"/>
          <w:szCs w:val="21"/>
        </w:rPr>
        <w:t xml:space="preserve">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 xml:space="preserve">557 (pravidlo </w:t>
      </w:r>
      <w:proofErr w:type="spellStart"/>
      <w:r w:rsidRPr="00761540">
        <w:rPr>
          <w:sz w:val="21"/>
          <w:szCs w:val="21"/>
        </w:rPr>
        <w:t>contra</w:t>
      </w:r>
      <w:proofErr w:type="spellEnd"/>
      <w:r w:rsidRPr="00761540">
        <w:rPr>
          <w:sz w:val="21"/>
          <w:szCs w:val="21"/>
        </w:rPr>
        <w:t xml:space="preserve"> </w:t>
      </w:r>
      <w:proofErr w:type="spellStart"/>
      <w:r w:rsidRPr="00761540">
        <w:rPr>
          <w:sz w:val="21"/>
          <w:szCs w:val="21"/>
        </w:rPr>
        <w:t>proferentem</w:t>
      </w:r>
      <w:proofErr w:type="spellEnd"/>
      <w:r w:rsidRPr="00761540">
        <w:rPr>
          <w:sz w:val="21"/>
          <w:szCs w:val="21"/>
        </w:rPr>
        <w:t>).</w:t>
      </w:r>
    </w:p>
    <w:p w:rsidR="009339DD" w:rsidRDefault="00B150A0" w:rsidP="004313BC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C44DEB" w:rsidRDefault="00C44DEB" w:rsidP="00C44DEB">
      <w:pPr>
        <w:pStyle w:val="ListParagraph1"/>
        <w:ind w:left="425" w:firstLine="0"/>
        <w:rPr>
          <w:sz w:val="21"/>
          <w:szCs w:val="21"/>
        </w:rPr>
      </w:pPr>
    </w:p>
    <w:p w:rsidR="009E51FE" w:rsidRPr="004313BC" w:rsidRDefault="009E51FE" w:rsidP="00C44DEB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320EF5" w:rsidRPr="00320EF5" w:rsidRDefault="00320EF5" w:rsidP="00653E83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9339DD" w:rsidRDefault="009339DD" w:rsidP="00D23B9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D23B9D" w:rsidRPr="00D23B9D">
        <w:rPr>
          <w:sz w:val="21"/>
          <w:szCs w:val="21"/>
        </w:rPr>
        <w:t>Cenová n</w:t>
      </w:r>
      <w:r w:rsidR="0099103B">
        <w:rPr>
          <w:sz w:val="21"/>
          <w:szCs w:val="21"/>
        </w:rPr>
        <w:t>abídka velký experiment 202</w:t>
      </w:r>
      <w:r w:rsidR="004313BC">
        <w:rPr>
          <w:sz w:val="21"/>
          <w:szCs w:val="21"/>
        </w:rPr>
        <w:t xml:space="preserve">3-2024 – práce </w:t>
      </w:r>
      <w:proofErr w:type="spellStart"/>
      <w:r w:rsidR="004313BC">
        <w:rPr>
          <w:sz w:val="21"/>
          <w:szCs w:val="21"/>
        </w:rPr>
        <w:t>technikou+</w:t>
      </w:r>
      <w:r w:rsidR="0099103B">
        <w:rPr>
          <w:sz w:val="21"/>
          <w:szCs w:val="21"/>
        </w:rPr>
        <w:t>pozorování</w:t>
      </w:r>
      <w:proofErr w:type="spellEnd"/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CA3542" w:rsidRPr="002C2A49" w:rsidRDefault="00692AF2" w:rsidP="002C2A49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Tato smlouva nabývá účinnosti okamžikem jejího </w:t>
      </w:r>
      <w:r w:rsidR="002C2A49">
        <w:rPr>
          <w:sz w:val="21"/>
          <w:szCs w:val="21"/>
        </w:rPr>
        <w:t>zveřejnění v</w:t>
      </w:r>
      <w:r>
        <w:rPr>
          <w:sz w:val="21"/>
          <w:szCs w:val="21"/>
        </w:rPr>
        <w:t xml:space="preserve"> registru smluv.</w:t>
      </w: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744F63">
        <w:tc>
          <w:tcPr>
            <w:tcW w:w="4606" w:type="dxa"/>
            <w:vAlign w:val="center"/>
          </w:tcPr>
          <w:p w:rsidR="00B150A0" w:rsidRPr="0043636B" w:rsidRDefault="00237C4C" w:rsidP="00D23B9D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 Nyklovicích</w:t>
            </w:r>
            <w:r w:rsidR="00D23B9D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B150A0" w:rsidRPr="0043636B" w:rsidRDefault="004F663A" w:rsidP="00F7732B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43636B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</w:p>
        </w:tc>
      </w:tr>
      <w:tr w:rsidR="00B150A0" w:rsidRPr="00744F63">
        <w:trPr>
          <w:trHeight w:val="811"/>
        </w:trPr>
        <w:tc>
          <w:tcPr>
            <w:tcW w:w="4606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744F63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C44E18" w:rsidP="004449C0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Ing. </w:t>
            </w:r>
            <w:r w:rsidR="004449C0">
              <w:rPr>
                <w:rFonts w:cs="Arial"/>
                <w:sz w:val="21"/>
                <w:szCs w:val="21"/>
              </w:rPr>
              <w:t>Zdeněk Trojan</w:t>
            </w:r>
          </w:p>
        </w:tc>
        <w:tc>
          <w:tcPr>
            <w:tcW w:w="5000" w:type="dxa"/>
            <w:vAlign w:val="center"/>
          </w:tcPr>
          <w:p w:rsidR="00B150A0" w:rsidRPr="004A4DA1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 V. Marek</w:t>
            </w:r>
            <w:r w:rsidR="008047CA">
              <w:rPr>
                <w:rFonts w:cs="Arial"/>
                <w:sz w:val="21"/>
                <w:szCs w:val="21"/>
              </w:rPr>
              <w:t>,</w:t>
            </w:r>
            <w:r w:rsidRPr="004A4DA1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4449C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B150A0" w:rsidRPr="004A4DA1" w:rsidRDefault="00320EF5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>
        <w:tc>
          <w:tcPr>
            <w:tcW w:w="4606" w:type="dxa"/>
            <w:vAlign w:val="center"/>
          </w:tcPr>
          <w:p w:rsidR="00B150A0" w:rsidRPr="004A4DA1" w:rsidRDefault="00971FE4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proofErr w:type="spellStart"/>
            <w:r>
              <w:rPr>
                <w:rFonts w:cs="Arial"/>
                <w:sz w:val="21"/>
                <w:szCs w:val="21"/>
              </w:rPr>
              <w:t>AgroExperiment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 s.r.o.</w:t>
            </w:r>
          </w:p>
        </w:tc>
        <w:tc>
          <w:tcPr>
            <w:tcW w:w="5000" w:type="dxa"/>
            <w:vAlign w:val="center"/>
          </w:tcPr>
          <w:p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C44DEB" w:rsidRPr="00D23B9D" w:rsidRDefault="00C44DEB" w:rsidP="00C44DEB">
      <w:pPr>
        <w:spacing w:before="0" w:after="0"/>
        <w:ind w:left="0" w:firstLine="0"/>
        <w:jc w:val="left"/>
        <w:rPr>
          <w:rFonts w:eastAsiaTheme="majorEastAsia"/>
          <w:b/>
          <w:bCs/>
          <w:sz w:val="21"/>
          <w:szCs w:val="21"/>
        </w:rPr>
      </w:pPr>
    </w:p>
    <w:sectPr w:rsidR="00C44DEB" w:rsidRPr="00D23B9D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42" w:rsidRDefault="00E77B42" w:rsidP="00E837B7">
      <w:pPr>
        <w:spacing w:before="0" w:after="0"/>
      </w:pPr>
      <w:r>
        <w:separator/>
      </w:r>
    </w:p>
  </w:endnote>
  <w:endnote w:type="continuationSeparator" w:id="0">
    <w:p w:rsidR="00E77B42" w:rsidRDefault="00E77B42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0D7A9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0D7A93" w:rsidRPr="006F6BBE">
      <w:rPr>
        <w:sz w:val="21"/>
        <w:szCs w:val="21"/>
      </w:rPr>
      <w:fldChar w:fldCharType="separate"/>
    </w:r>
    <w:r w:rsidR="00B446F5">
      <w:rPr>
        <w:noProof/>
        <w:sz w:val="21"/>
        <w:szCs w:val="21"/>
      </w:rPr>
      <w:t>2</w:t>
    </w:r>
    <w:r w:rsidR="000D7A9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0D7A93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0D7A93" w:rsidRPr="006F6BBE">
      <w:rPr>
        <w:sz w:val="21"/>
        <w:szCs w:val="21"/>
      </w:rPr>
      <w:fldChar w:fldCharType="separate"/>
    </w:r>
    <w:r w:rsidR="00B446F5">
      <w:rPr>
        <w:noProof/>
        <w:sz w:val="21"/>
        <w:szCs w:val="21"/>
      </w:rPr>
      <w:t>5</w:t>
    </w:r>
    <w:r w:rsidR="000D7A93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0D7A93">
      <w:fldChar w:fldCharType="begin"/>
    </w:r>
    <w:r w:rsidR="00EC356A">
      <w:instrText xml:space="preserve"> PAGE </w:instrText>
    </w:r>
    <w:r w:rsidR="000D7A93">
      <w:fldChar w:fldCharType="separate"/>
    </w:r>
    <w:r w:rsidR="005215D5">
      <w:rPr>
        <w:noProof/>
      </w:rPr>
      <w:t>1</w:t>
    </w:r>
    <w:r w:rsidR="000D7A93">
      <w:rPr>
        <w:noProof/>
      </w:rPr>
      <w:fldChar w:fldCharType="end"/>
    </w:r>
    <w:r w:rsidRPr="00606B8A">
      <w:t xml:space="preserve"> (celkem </w:t>
    </w:r>
    <w:r w:rsidR="000D7A93">
      <w:rPr>
        <w:noProof/>
      </w:rPr>
      <w:fldChar w:fldCharType="begin"/>
    </w:r>
    <w:r w:rsidR="00177D02">
      <w:rPr>
        <w:noProof/>
      </w:rPr>
      <w:instrText xml:space="preserve"> NUMPAGES </w:instrText>
    </w:r>
    <w:r w:rsidR="000D7A93">
      <w:rPr>
        <w:noProof/>
      </w:rPr>
      <w:fldChar w:fldCharType="separate"/>
    </w:r>
    <w:r w:rsidR="005215D5">
      <w:rPr>
        <w:noProof/>
      </w:rPr>
      <w:t>1</w:t>
    </w:r>
    <w:r w:rsidR="000D7A93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42" w:rsidRDefault="00E77B42" w:rsidP="00E837B7">
      <w:pPr>
        <w:spacing w:before="0" w:after="0"/>
      </w:pPr>
      <w:r>
        <w:separator/>
      </w:r>
    </w:p>
  </w:footnote>
  <w:footnote w:type="continuationSeparator" w:id="0">
    <w:p w:rsidR="00E77B42" w:rsidRDefault="00E77B42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Pr="00C96089" w:rsidRDefault="009E2A1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Polní experiment</w:t>
    </w:r>
    <w:r w:rsidR="00320EF5">
      <w:rPr>
        <w:b/>
        <w:sz w:val="21"/>
        <w:szCs w:val="21"/>
      </w:rPr>
      <w:t xml:space="preserve"> </w:t>
    </w:r>
    <w:proofErr w:type="gramStart"/>
    <w:r w:rsidR="00F7732B">
      <w:rPr>
        <w:b/>
        <w:sz w:val="21"/>
        <w:szCs w:val="21"/>
      </w:rPr>
      <w:t>202</w:t>
    </w:r>
    <w:r w:rsidR="00B446F5">
      <w:rPr>
        <w:b/>
        <w:sz w:val="21"/>
        <w:szCs w:val="21"/>
      </w:rPr>
      <w:t>4</w:t>
    </w:r>
    <w:r w:rsidR="006016C6">
      <w:rPr>
        <w:b/>
        <w:sz w:val="21"/>
        <w:szCs w:val="21"/>
      </w:rPr>
      <w:t xml:space="preserve"> – </w:t>
    </w:r>
    <w:r w:rsidR="006E4B56">
      <w:rPr>
        <w:b/>
        <w:sz w:val="21"/>
        <w:szCs w:val="21"/>
      </w:rPr>
      <w:t>u</w:t>
    </w:r>
    <w:proofErr w:type="gramEnd"/>
    <w:r w:rsidR="006E4B56">
      <w:rPr>
        <w:b/>
        <w:sz w:val="21"/>
        <w:szCs w:val="21"/>
      </w:rPr>
      <w:t xml:space="preserve"> letiště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8B1E964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5A26"/>
    <w:rsid w:val="00016A93"/>
    <w:rsid w:val="0001708A"/>
    <w:rsid w:val="0003258B"/>
    <w:rsid w:val="00032BC1"/>
    <w:rsid w:val="00041A90"/>
    <w:rsid w:val="0005326E"/>
    <w:rsid w:val="0006055A"/>
    <w:rsid w:val="000608FD"/>
    <w:rsid w:val="00061533"/>
    <w:rsid w:val="00065E1F"/>
    <w:rsid w:val="000667A0"/>
    <w:rsid w:val="00067109"/>
    <w:rsid w:val="00071989"/>
    <w:rsid w:val="00072E53"/>
    <w:rsid w:val="00084DE4"/>
    <w:rsid w:val="00085079"/>
    <w:rsid w:val="00090B69"/>
    <w:rsid w:val="00091839"/>
    <w:rsid w:val="000A0E63"/>
    <w:rsid w:val="000A3581"/>
    <w:rsid w:val="000B0562"/>
    <w:rsid w:val="000B0991"/>
    <w:rsid w:val="000B146D"/>
    <w:rsid w:val="000B2F72"/>
    <w:rsid w:val="000B7DFF"/>
    <w:rsid w:val="000D0649"/>
    <w:rsid w:val="000D6CF6"/>
    <w:rsid w:val="000D7A93"/>
    <w:rsid w:val="000E161F"/>
    <w:rsid w:val="000E7F4B"/>
    <w:rsid w:val="000F0997"/>
    <w:rsid w:val="000F1D6F"/>
    <w:rsid w:val="000F1EB2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4409B"/>
    <w:rsid w:val="001467D3"/>
    <w:rsid w:val="00150233"/>
    <w:rsid w:val="00152172"/>
    <w:rsid w:val="00154999"/>
    <w:rsid w:val="001576F7"/>
    <w:rsid w:val="001740D5"/>
    <w:rsid w:val="0017523F"/>
    <w:rsid w:val="00175453"/>
    <w:rsid w:val="00177D02"/>
    <w:rsid w:val="00184A58"/>
    <w:rsid w:val="00195560"/>
    <w:rsid w:val="0019664E"/>
    <w:rsid w:val="001A372A"/>
    <w:rsid w:val="001B445F"/>
    <w:rsid w:val="001C2981"/>
    <w:rsid w:val="001E5E39"/>
    <w:rsid w:val="001F250B"/>
    <w:rsid w:val="001F5F10"/>
    <w:rsid w:val="001F7D3B"/>
    <w:rsid w:val="00200E68"/>
    <w:rsid w:val="00202E2F"/>
    <w:rsid w:val="00206064"/>
    <w:rsid w:val="002062E3"/>
    <w:rsid w:val="00213072"/>
    <w:rsid w:val="00216366"/>
    <w:rsid w:val="002218A9"/>
    <w:rsid w:val="002266F4"/>
    <w:rsid w:val="00232848"/>
    <w:rsid w:val="00234892"/>
    <w:rsid w:val="00237C4C"/>
    <w:rsid w:val="0024072D"/>
    <w:rsid w:val="0025320E"/>
    <w:rsid w:val="002769BD"/>
    <w:rsid w:val="00277399"/>
    <w:rsid w:val="00282329"/>
    <w:rsid w:val="00283F9B"/>
    <w:rsid w:val="00290C01"/>
    <w:rsid w:val="00293780"/>
    <w:rsid w:val="002A10CE"/>
    <w:rsid w:val="002A4BE0"/>
    <w:rsid w:val="002A58CF"/>
    <w:rsid w:val="002B054C"/>
    <w:rsid w:val="002B4F24"/>
    <w:rsid w:val="002C2A49"/>
    <w:rsid w:val="002D0A82"/>
    <w:rsid w:val="002D1D3E"/>
    <w:rsid w:val="002D38ED"/>
    <w:rsid w:val="002E182F"/>
    <w:rsid w:val="002E74B0"/>
    <w:rsid w:val="002F5DC3"/>
    <w:rsid w:val="00312AC3"/>
    <w:rsid w:val="00313536"/>
    <w:rsid w:val="00320EF5"/>
    <w:rsid w:val="0032134F"/>
    <w:rsid w:val="00322F8C"/>
    <w:rsid w:val="003271F6"/>
    <w:rsid w:val="00332790"/>
    <w:rsid w:val="00335949"/>
    <w:rsid w:val="00357108"/>
    <w:rsid w:val="00360184"/>
    <w:rsid w:val="0036166F"/>
    <w:rsid w:val="00382692"/>
    <w:rsid w:val="00382D22"/>
    <w:rsid w:val="003A5567"/>
    <w:rsid w:val="003A6B41"/>
    <w:rsid w:val="003B0321"/>
    <w:rsid w:val="003B0B43"/>
    <w:rsid w:val="003C06A9"/>
    <w:rsid w:val="003C4D77"/>
    <w:rsid w:val="003C74B6"/>
    <w:rsid w:val="003D1381"/>
    <w:rsid w:val="003E6BE8"/>
    <w:rsid w:val="003F693D"/>
    <w:rsid w:val="00406A52"/>
    <w:rsid w:val="00414754"/>
    <w:rsid w:val="004149F8"/>
    <w:rsid w:val="0041559E"/>
    <w:rsid w:val="0041647C"/>
    <w:rsid w:val="004218BE"/>
    <w:rsid w:val="004313BC"/>
    <w:rsid w:val="0043636B"/>
    <w:rsid w:val="0044129E"/>
    <w:rsid w:val="004449C0"/>
    <w:rsid w:val="0044619D"/>
    <w:rsid w:val="004476EA"/>
    <w:rsid w:val="00447A94"/>
    <w:rsid w:val="0045155D"/>
    <w:rsid w:val="004555CD"/>
    <w:rsid w:val="004640C0"/>
    <w:rsid w:val="00473442"/>
    <w:rsid w:val="00474362"/>
    <w:rsid w:val="00486593"/>
    <w:rsid w:val="00486D0C"/>
    <w:rsid w:val="00492D59"/>
    <w:rsid w:val="004A4DA1"/>
    <w:rsid w:val="004B6607"/>
    <w:rsid w:val="004C7423"/>
    <w:rsid w:val="004E240E"/>
    <w:rsid w:val="004E2BB5"/>
    <w:rsid w:val="004F663A"/>
    <w:rsid w:val="004F6C29"/>
    <w:rsid w:val="004F78B5"/>
    <w:rsid w:val="00501564"/>
    <w:rsid w:val="00506F22"/>
    <w:rsid w:val="00517DEC"/>
    <w:rsid w:val="005211CC"/>
    <w:rsid w:val="005215D5"/>
    <w:rsid w:val="00544E72"/>
    <w:rsid w:val="00550C35"/>
    <w:rsid w:val="0055351E"/>
    <w:rsid w:val="0055374D"/>
    <w:rsid w:val="00561DF6"/>
    <w:rsid w:val="00563B34"/>
    <w:rsid w:val="005675F2"/>
    <w:rsid w:val="0057367C"/>
    <w:rsid w:val="00575F0C"/>
    <w:rsid w:val="00576AC1"/>
    <w:rsid w:val="005921F3"/>
    <w:rsid w:val="00594EC9"/>
    <w:rsid w:val="0059765A"/>
    <w:rsid w:val="005A0801"/>
    <w:rsid w:val="005A194C"/>
    <w:rsid w:val="005A2C26"/>
    <w:rsid w:val="005A5AFA"/>
    <w:rsid w:val="005B2405"/>
    <w:rsid w:val="005B6773"/>
    <w:rsid w:val="005C35C4"/>
    <w:rsid w:val="005C3B19"/>
    <w:rsid w:val="005C6AF7"/>
    <w:rsid w:val="005D2A3F"/>
    <w:rsid w:val="005D529A"/>
    <w:rsid w:val="005F2A58"/>
    <w:rsid w:val="006016C6"/>
    <w:rsid w:val="00606B8A"/>
    <w:rsid w:val="00610288"/>
    <w:rsid w:val="00625764"/>
    <w:rsid w:val="00627323"/>
    <w:rsid w:val="0063402F"/>
    <w:rsid w:val="00641F89"/>
    <w:rsid w:val="00647399"/>
    <w:rsid w:val="006517A0"/>
    <w:rsid w:val="00653E83"/>
    <w:rsid w:val="00655FED"/>
    <w:rsid w:val="00665831"/>
    <w:rsid w:val="00684134"/>
    <w:rsid w:val="00692AF2"/>
    <w:rsid w:val="00695CC2"/>
    <w:rsid w:val="006975AB"/>
    <w:rsid w:val="006A53A4"/>
    <w:rsid w:val="006A62FE"/>
    <w:rsid w:val="006B0B76"/>
    <w:rsid w:val="006B6CBB"/>
    <w:rsid w:val="006C2F2A"/>
    <w:rsid w:val="006C30B5"/>
    <w:rsid w:val="006C36B3"/>
    <w:rsid w:val="006C6BFB"/>
    <w:rsid w:val="006D37FA"/>
    <w:rsid w:val="006D532D"/>
    <w:rsid w:val="006D62AC"/>
    <w:rsid w:val="006E4B56"/>
    <w:rsid w:val="006F29AC"/>
    <w:rsid w:val="006F451E"/>
    <w:rsid w:val="006F6BBE"/>
    <w:rsid w:val="006F76A3"/>
    <w:rsid w:val="006F77A8"/>
    <w:rsid w:val="00700E21"/>
    <w:rsid w:val="007072A6"/>
    <w:rsid w:val="00713011"/>
    <w:rsid w:val="0072229D"/>
    <w:rsid w:val="00723C1C"/>
    <w:rsid w:val="007269DC"/>
    <w:rsid w:val="007366D1"/>
    <w:rsid w:val="00744F63"/>
    <w:rsid w:val="0075196D"/>
    <w:rsid w:val="00751A33"/>
    <w:rsid w:val="00760543"/>
    <w:rsid w:val="00761540"/>
    <w:rsid w:val="00773026"/>
    <w:rsid w:val="00773DE2"/>
    <w:rsid w:val="00776499"/>
    <w:rsid w:val="00776652"/>
    <w:rsid w:val="00777B9A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9F9"/>
    <w:rsid w:val="007B1BE9"/>
    <w:rsid w:val="007B6A66"/>
    <w:rsid w:val="007D091C"/>
    <w:rsid w:val="007D768E"/>
    <w:rsid w:val="007E1586"/>
    <w:rsid w:val="007E2723"/>
    <w:rsid w:val="007E3554"/>
    <w:rsid w:val="007E79D1"/>
    <w:rsid w:val="007F7F85"/>
    <w:rsid w:val="008047CA"/>
    <w:rsid w:val="00820ED6"/>
    <w:rsid w:val="00823977"/>
    <w:rsid w:val="00825909"/>
    <w:rsid w:val="00827435"/>
    <w:rsid w:val="00834787"/>
    <w:rsid w:val="008377CD"/>
    <w:rsid w:val="008430F0"/>
    <w:rsid w:val="00843501"/>
    <w:rsid w:val="00847C32"/>
    <w:rsid w:val="00860B64"/>
    <w:rsid w:val="008615F7"/>
    <w:rsid w:val="00864591"/>
    <w:rsid w:val="00875AD4"/>
    <w:rsid w:val="008822F5"/>
    <w:rsid w:val="0089045A"/>
    <w:rsid w:val="008A1898"/>
    <w:rsid w:val="008A1E03"/>
    <w:rsid w:val="008C1255"/>
    <w:rsid w:val="008C513F"/>
    <w:rsid w:val="008C69B2"/>
    <w:rsid w:val="008D127B"/>
    <w:rsid w:val="008D12E1"/>
    <w:rsid w:val="008E31F1"/>
    <w:rsid w:val="008E673F"/>
    <w:rsid w:val="008E72BE"/>
    <w:rsid w:val="008F2712"/>
    <w:rsid w:val="008F4642"/>
    <w:rsid w:val="0090102A"/>
    <w:rsid w:val="00901736"/>
    <w:rsid w:val="00901E0F"/>
    <w:rsid w:val="00916BCC"/>
    <w:rsid w:val="00922CCA"/>
    <w:rsid w:val="009261BD"/>
    <w:rsid w:val="0093265E"/>
    <w:rsid w:val="009339DD"/>
    <w:rsid w:val="0094492F"/>
    <w:rsid w:val="009479A3"/>
    <w:rsid w:val="00952B2B"/>
    <w:rsid w:val="0096087B"/>
    <w:rsid w:val="00971FE4"/>
    <w:rsid w:val="00972329"/>
    <w:rsid w:val="0097358E"/>
    <w:rsid w:val="009777BC"/>
    <w:rsid w:val="0099103B"/>
    <w:rsid w:val="00991BDD"/>
    <w:rsid w:val="009A1DEC"/>
    <w:rsid w:val="009B0C68"/>
    <w:rsid w:val="009B449A"/>
    <w:rsid w:val="009B556D"/>
    <w:rsid w:val="009D18E7"/>
    <w:rsid w:val="009E2A17"/>
    <w:rsid w:val="009E4287"/>
    <w:rsid w:val="009E51FE"/>
    <w:rsid w:val="00A00214"/>
    <w:rsid w:val="00A11249"/>
    <w:rsid w:val="00A127B9"/>
    <w:rsid w:val="00A17C78"/>
    <w:rsid w:val="00A2142F"/>
    <w:rsid w:val="00A358AC"/>
    <w:rsid w:val="00A74B67"/>
    <w:rsid w:val="00A82B36"/>
    <w:rsid w:val="00A832E1"/>
    <w:rsid w:val="00A926D7"/>
    <w:rsid w:val="00A9561E"/>
    <w:rsid w:val="00AB3DA3"/>
    <w:rsid w:val="00AB4B83"/>
    <w:rsid w:val="00AC65A0"/>
    <w:rsid w:val="00AD1574"/>
    <w:rsid w:val="00AD564B"/>
    <w:rsid w:val="00AD6C1C"/>
    <w:rsid w:val="00AF7BFD"/>
    <w:rsid w:val="00B024CF"/>
    <w:rsid w:val="00B113DB"/>
    <w:rsid w:val="00B123F1"/>
    <w:rsid w:val="00B150A0"/>
    <w:rsid w:val="00B15B66"/>
    <w:rsid w:val="00B15EAA"/>
    <w:rsid w:val="00B22AA3"/>
    <w:rsid w:val="00B26E87"/>
    <w:rsid w:val="00B3113C"/>
    <w:rsid w:val="00B34634"/>
    <w:rsid w:val="00B423C6"/>
    <w:rsid w:val="00B446F5"/>
    <w:rsid w:val="00B45A72"/>
    <w:rsid w:val="00B46764"/>
    <w:rsid w:val="00B47478"/>
    <w:rsid w:val="00B50AF1"/>
    <w:rsid w:val="00B51A40"/>
    <w:rsid w:val="00B5522F"/>
    <w:rsid w:val="00B608FB"/>
    <w:rsid w:val="00B60EA0"/>
    <w:rsid w:val="00B60F92"/>
    <w:rsid w:val="00B61BCA"/>
    <w:rsid w:val="00B64EFD"/>
    <w:rsid w:val="00B7110A"/>
    <w:rsid w:val="00B719FC"/>
    <w:rsid w:val="00B74C17"/>
    <w:rsid w:val="00B77134"/>
    <w:rsid w:val="00B84FE2"/>
    <w:rsid w:val="00BA125B"/>
    <w:rsid w:val="00BC0496"/>
    <w:rsid w:val="00BC596E"/>
    <w:rsid w:val="00BC7A71"/>
    <w:rsid w:val="00BD5F66"/>
    <w:rsid w:val="00BD7AD1"/>
    <w:rsid w:val="00BE2F06"/>
    <w:rsid w:val="00BE41A1"/>
    <w:rsid w:val="00BF4939"/>
    <w:rsid w:val="00C00D60"/>
    <w:rsid w:val="00C3247A"/>
    <w:rsid w:val="00C43690"/>
    <w:rsid w:val="00C44DEB"/>
    <w:rsid w:val="00C44E18"/>
    <w:rsid w:val="00C459DF"/>
    <w:rsid w:val="00C5099F"/>
    <w:rsid w:val="00C54A0D"/>
    <w:rsid w:val="00C6492A"/>
    <w:rsid w:val="00C66490"/>
    <w:rsid w:val="00C71278"/>
    <w:rsid w:val="00C7705E"/>
    <w:rsid w:val="00C83B9B"/>
    <w:rsid w:val="00C86BA0"/>
    <w:rsid w:val="00C91979"/>
    <w:rsid w:val="00C96089"/>
    <w:rsid w:val="00C97C03"/>
    <w:rsid w:val="00CA22A8"/>
    <w:rsid w:val="00CA2907"/>
    <w:rsid w:val="00CA3542"/>
    <w:rsid w:val="00CA5A4C"/>
    <w:rsid w:val="00CA63FD"/>
    <w:rsid w:val="00CB2FA9"/>
    <w:rsid w:val="00CC3782"/>
    <w:rsid w:val="00CD250E"/>
    <w:rsid w:val="00CD4B3B"/>
    <w:rsid w:val="00CD4F26"/>
    <w:rsid w:val="00CD5343"/>
    <w:rsid w:val="00CE3DDD"/>
    <w:rsid w:val="00CF02F0"/>
    <w:rsid w:val="00CF353B"/>
    <w:rsid w:val="00CF6186"/>
    <w:rsid w:val="00D00DF8"/>
    <w:rsid w:val="00D022FE"/>
    <w:rsid w:val="00D05A8A"/>
    <w:rsid w:val="00D05B15"/>
    <w:rsid w:val="00D2218E"/>
    <w:rsid w:val="00D22DB2"/>
    <w:rsid w:val="00D23B9D"/>
    <w:rsid w:val="00D36E39"/>
    <w:rsid w:val="00D404AC"/>
    <w:rsid w:val="00D47938"/>
    <w:rsid w:val="00D55759"/>
    <w:rsid w:val="00D643DA"/>
    <w:rsid w:val="00D64432"/>
    <w:rsid w:val="00D76AF0"/>
    <w:rsid w:val="00D83DFC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E52F3"/>
    <w:rsid w:val="00DE5A99"/>
    <w:rsid w:val="00DE748F"/>
    <w:rsid w:val="00DF22BF"/>
    <w:rsid w:val="00E03F3D"/>
    <w:rsid w:val="00E066AA"/>
    <w:rsid w:val="00E154A6"/>
    <w:rsid w:val="00E17104"/>
    <w:rsid w:val="00E17210"/>
    <w:rsid w:val="00E17F49"/>
    <w:rsid w:val="00E25CFA"/>
    <w:rsid w:val="00E36BDE"/>
    <w:rsid w:val="00E375DC"/>
    <w:rsid w:val="00E403AB"/>
    <w:rsid w:val="00E46D1A"/>
    <w:rsid w:val="00E548B1"/>
    <w:rsid w:val="00E5688A"/>
    <w:rsid w:val="00E62B25"/>
    <w:rsid w:val="00E64697"/>
    <w:rsid w:val="00E7063B"/>
    <w:rsid w:val="00E70F60"/>
    <w:rsid w:val="00E73F50"/>
    <w:rsid w:val="00E75285"/>
    <w:rsid w:val="00E77B42"/>
    <w:rsid w:val="00E8036B"/>
    <w:rsid w:val="00E837B7"/>
    <w:rsid w:val="00E83B01"/>
    <w:rsid w:val="00E83B9E"/>
    <w:rsid w:val="00E913EA"/>
    <w:rsid w:val="00E972E7"/>
    <w:rsid w:val="00EA13EF"/>
    <w:rsid w:val="00EC32AB"/>
    <w:rsid w:val="00EC356A"/>
    <w:rsid w:val="00EC35B4"/>
    <w:rsid w:val="00ED5992"/>
    <w:rsid w:val="00EE06CF"/>
    <w:rsid w:val="00F02F2D"/>
    <w:rsid w:val="00F03F9C"/>
    <w:rsid w:val="00F05BC8"/>
    <w:rsid w:val="00F06D9F"/>
    <w:rsid w:val="00F13677"/>
    <w:rsid w:val="00F13692"/>
    <w:rsid w:val="00F1387A"/>
    <w:rsid w:val="00F17054"/>
    <w:rsid w:val="00F17E52"/>
    <w:rsid w:val="00F356FA"/>
    <w:rsid w:val="00F40C46"/>
    <w:rsid w:val="00F416AE"/>
    <w:rsid w:val="00F43C3D"/>
    <w:rsid w:val="00F43EB4"/>
    <w:rsid w:val="00F515D4"/>
    <w:rsid w:val="00F51721"/>
    <w:rsid w:val="00F57D05"/>
    <w:rsid w:val="00F641CA"/>
    <w:rsid w:val="00F665B1"/>
    <w:rsid w:val="00F715DC"/>
    <w:rsid w:val="00F74936"/>
    <w:rsid w:val="00F7732B"/>
    <w:rsid w:val="00F81B68"/>
    <w:rsid w:val="00F83476"/>
    <w:rsid w:val="00F900D0"/>
    <w:rsid w:val="00F9199E"/>
    <w:rsid w:val="00F94CC7"/>
    <w:rsid w:val="00FA1EDF"/>
    <w:rsid w:val="00FA7027"/>
    <w:rsid w:val="00FB1436"/>
    <w:rsid w:val="00FB236F"/>
    <w:rsid w:val="00FC4953"/>
    <w:rsid w:val="00FC52C7"/>
    <w:rsid w:val="00FC5904"/>
    <w:rsid w:val="00FD1ED5"/>
    <w:rsid w:val="00FD3295"/>
    <w:rsid w:val="00FD59EA"/>
    <w:rsid w:val="00FE003D"/>
    <w:rsid w:val="00FE42D6"/>
    <w:rsid w:val="00FE6829"/>
    <w:rsid w:val="00FE7746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004861-7132-44DC-9F4F-CC81BAF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Tereza Kučerová</cp:lastModifiedBy>
  <cp:revision>2</cp:revision>
  <cp:lastPrinted>2023-07-19T11:41:00Z</cp:lastPrinted>
  <dcterms:created xsi:type="dcterms:W3CDTF">2024-06-07T17:38:00Z</dcterms:created>
  <dcterms:modified xsi:type="dcterms:W3CDTF">2024-06-07T17:38:00Z</dcterms:modified>
</cp:coreProperties>
</file>