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</w:p>
    <w:p w:rsidR="00665B2F" w:rsidRPr="00EE2DE9" w:rsidRDefault="00665B2F" w:rsidP="00665B2F">
      <w:pPr>
        <w:pStyle w:val="Zkladntext"/>
        <w:spacing w:before="120"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:rsidR="00665B2F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  <w:r w:rsidRPr="00EE2DE9">
        <w:rPr>
          <w:sz w:val="22"/>
          <w:szCs w:val="24"/>
        </w:rPr>
        <w:t>(pozn. je třeba upravit dle označení smluvních stran v daném případě)</w:t>
      </w:r>
    </w:p>
    <w:p w:rsidR="00B51C38" w:rsidRPr="00EE2DE9" w:rsidRDefault="00B51C38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Základní škola Rakovského v Praze 12, Rakovského 3136/1, 143 00 Praha 4 - Modřany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  <w:r w:rsidRPr="00EE2DE9">
        <w:rPr>
          <w:sz w:val="22"/>
          <w:szCs w:val="24"/>
        </w:rPr>
        <w:t>(pozn. je třeba upravit dle označení smluvních stran v daném případě)</w:t>
      </w:r>
    </w:p>
    <w:p w:rsidR="00665B2F" w:rsidRPr="00B51C38" w:rsidRDefault="00B51C38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B51C38">
        <w:rPr>
          <w:sz w:val="22"/>
          <w:szCs w:val="24"/>
        </w:rPr>
        <w:t xml:space="preserve">Chata </w:t>
      </w:r>
      <w:proofErr w:type="spellStart"/>
      <w:r w:rsidRPr="00B51C38">
        <w:rPr>
          <w:sz w:val="22"/>
          <w:szCs w:val="24"/>
        </w:rPr>
        <w:t>Ra</w:t>
      </w:r>
      <w:r>
        <w:rPr>
          <w:sz w:val="22"/>
          <w:szCs w:val="24"/>
        </w:rPr>
        <w:t>t</w:t>
      </w:r>
      <w:r w:rsidRPr="00B51C38">
        <w:rPr>
          <w:sz w:val="22"/>
          <w:szCs w:val="24"/>
        </w:rPr>
        <w:t>mírov</w:t>
      </w:r>
      <w:proofErr w:type="spellEnd"/>
      <w:r w:rsidRPr="00B51C38">
        <w:rPr>
          <w:sz w:val="22"/>
          <w:szCs w:val="24"/>
        </w:rPr>
        <w:t xml:space="preserve"> s.r.o., Blažejov 101, 378 52 Blažejov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B51C38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B51C38">
        <w:rPr>
          <w:rFonts w:ascii="Times New Roman" w:hAnsi="Times New Roman" w:cs="Times New Roman"/>
          <w:szCs w:val="24"/>
        </w:rPr>
        <w:t>Smluvní</w:t>
      </w:r>
      <w:r w:rsidR="00B51C38" w:rsidRPr="00B51C38">
        <w:rPr>
          <w:rFonts w:ascii="Times New Roman" w:hAnsi="Times New Roman" w:cs="Times New Roman"/>
          <w:szCs w:val="24"/>
        </w:rPr>
        <w:t xml:space="preserve"> strany uzavřely dne </w:t>
      </w:r>
      <w:proofErr w:type="gramStart"/>
      <w:r w:rsidR="00B51C38" w:rsidRPr="00B51C38">
        <w:rPr>
          <w:rFonts w:ascii="Times New Roman" w:hAnsi="Times New Roman" w:cs="Times New Roman"/>
          <w:szCs w:val="24"/>
        </w:rPr>
        <w:t>17.4.2024</w:t>
      </w:r>
      <w:proofErr w:type="gramEnd"/>
      <w:r w:rsidR="00B51C38" w:rsidRPr="00B51C38">
        <w:rPr>
          <w:rFonts w:ascii="Times New Roman" w:hAnsi="Times New Roman" w:cs="Times New Roman"/>
          <w:szCs w:val="24"/>
        </w:rPr>
        <w:t xml:space="preserve"> smlouvu S10/2024, jejímž předmětem bylo pobyt a strava pro žáky školy</w:t>
      </w:r>
      <w:r w:rsidR="00B51C38">
        <w:rPr>
          <w:rFonts w:ascii="Times New Roman" w:hAnsi="Times New Roman" w:cs="Times New Roman"/>
          <w:szCs w:val="24"/>
        </w:rPr>
        <w:t>.</w:t>
      </w:r>
    </w:p>
    <w:p w:rsidR="00665B2F" w:rsidRPr="00B51C38" w:rsidRDefault="00B51C38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665B2F" w:rsidRPr="00B51C38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665B2F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40184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0184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401849">
        <w:rPr>
          <w:rFonts w:ascii="Times New Roman" w:hAnsi="Times New Roman" w:cs="Times New Roman"/>
          <w:szCs w:val="24"/>
        </w:rPr>
        <w:t xml:space="preserve">, která tvoří pro tyto účely přílohu této smlouvy. </w:t>
      </w:r>
    </w:p>
    <w:p w:rsidR="00665B2F" w:rsidRPr="0040184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0184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</w:t>
      </w:r>
      <w:r w:rsidR="004F755C">
        <w:rPr>
          <w:rFonts w:ascii="Times New Roman" w:hAnsi="Times New Roman" w:cs="Times New Roman"/>
          <w:szCs w:val="24"/>
        </w:rPr>
        <w:t>smluv dle smlouvy uvedené v čl. </w:t>
      </w:r>
      <w:r w:rsidRPr="00EE2DE9">
        <w:rPr>
          <w:rFonts w:ascii="Times New Roman" w:hAnsi="Times New Roman" w:cs="Times New Roman"/>
          <w:szCs w:val="24"/>
        </w:rPr>
        <w:t>I. odst.</w:t>
      </w:r>
      <w:r w:rsidR="004F755C">
        <w:rPr>
          <w:rFonts w:ascii="Times New Roman" w:hAnsi="Times New Roman" w:cs="Times New Roman"/>
          <w:szCs w:val="24"/>
        </w:rPr>
        <w:t> </w:t>
      </w:r>
      <w:r w:rsidRPr="00EE2DE9">
        <w:rPr>
          <w:rFonts w:ascii="Times New Roman" w:hAnsi="Times New Roman" w:cs="Times New Roman"/>
          <w:szCs w:val="24"/>
        </w:rPr>
        <w:t>1 této smlouvy, se tímto zavazuje druhé smluvní straně k neprodlenému zveřejnění této smlouvy a</w:t>
      </w:r>
      <w:r w:rsidR="003C173A">
        <w:rPr>
          <w:rFonts w:ascii="Times New Roman" w:hAnsi="Times New Roman" w:cs="Times New Roman"/>
          <w:szCs w:val="24"/>
        </w:rPr>
        <w:t> </w:t>
      </w:r>
      <w:r w:rsidRPr="00EE2DE9">
        <w:rPr>
          <w:rFonts w:ascii="Times New Roman" w:hAnsi="Times New Roman" w:cs="Times New Roman"/>
          <w:szCs w:val="24"/>
        </w:rPr>
        <w:t>její kompletní přílohy v registru sm</w:t>
      </w:r>
      <w:r w:rsidR="003C173A">
        <w:rPr>
          <w:rFonts w:ascii="Times New Roman" w:hAnsi="Times New Roman" w:cs="Times New Roman"/>
          <w:szCs w:val="24"/>
        </w:rPr>
        <w:t>luv v souladu s ustanovením § </w:t>
      </w:r>
      <w:r>
        <w:rPr>
          <w:rFonts w:ascii="Times New Roman" w:hAnsi="Times New Roman" w:cs="Times New Roman"/>
          <w:szCs w:val="24"/>
        </w:rPr>
        <w:t>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665B2F" w:rsidRPr="00EE2DE9" w:rsidRDefault="00665B2F" w:rsidP="00665B2F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665B2F" w:rsidRPr="00EE2DE9" w:rsidRDefault="00665B2F" w:rsidP="003C173A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665B2F" w:rsidRPr="00EE2DE9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5B2F" w:rsidRDefault="00B51C3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Smlouva č.S10/2024 ze dne </w:t>
      </w:r>
      <w:proofErr w:type="gramStart"/>
      <w:r>
        <w:rPr>
          <w:rFonts w:ascii="Times New Roman" w:hAnsi="Times New Roman" w:cs="Times New Roman"/>
          <w:szCs w:val="24"/>
        </w:rPr>
        <w:t>17.4.2024</w:t>
      </w:r>
      <w:proofErr w:type="gramEnd"/>
    </w:p>
    <w:p w:rsidR="00B51C38" w:rsidRPr="0075220E" w:rsidRDefault="00B51C38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Dodatek č. 1 smlouvy S10/2024 </w:t>
      </w:r>
      <w:proofErr w:type="gramStart"/>
      <w:r>
        <w:rPr>
          <w:rFonts w:ascii="Times New Roman" w:hAnsi="Times New Roman" w:cs="Times New Roman"/>
          <w:szCs w:val="24"/>
        </w:rPr>
        <w:t>7.6.2024</w:t>
      </w:r>
      <w:proofErr w:type="gramEnd"/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401849" w:rsidRDefault="00401849" w:rsidP="00665B2F">
      <w:pPr>
        <w:spacing w:before="120" w:after="0" w:line="240" w:lineRule="auto"/>
      </w:pPr>
    </w:p>
    <w:p w:rsidR="00401849" w:rsidRDefault="00401849" w:rsidP="00665B2F">
      <w:pPr>
        <w:spacing w:before="120" w:after="0" w:line="240" w:lineRule="auto"/>
      </w:pPr>
    </w:p>
    <w:p w:rsidR="00401849" w:rsidRDefault="00401849" w:rsidP="00665B2F">
      <w:pPr>
        <w:spacing w:before="120" w:after="0" w:line="240" w:lineRule="auto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>
        <w:tab/>
      </w:r>
      <w:r>
        <w:tab/>
      </w:r>
      <w:r>
        <w:tab/>
      </w:r>
      <w:r>
        <w:tab/>
      </w:r>
    </w:p>
    <w:p w:rsidR="00401849" w:rsidRDefault="00401849" w:rsidP="00665B2F">
      <w:pPr>
        <w:spacing w:before="120" w:after="0" w:line="240" w:lineRule="auto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  <w:bookmarkStart w:id="0" w:name="_GoBack"/>
      <w:bookmarkEnd w:id="0"/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Default="00665B2F" w:rsidP="00665B2F">
      <w:pPr>
        <w:spacing w:before="120" w:after="0" w:line="240" w:lineRule="auto"/>
      </w:pPr>
    </w:p>
    <w:p w:rsidR="00665B2F" w:rsidRPr="00E813D5" w:rsidRDefault="00665B2F" w:rsidP="00665B2F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145415</wp:posOffset>
                </wp:positionV>
                <wp:extent cx="48482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2F96914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1.45pt" to="38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9A0673" w:rsidRDefault="00665B2F"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  <w:sectPr w:rsidR="009A0673" w:rsidSect="0075220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AE" w:rsidRDefault="00451CAE" w:rsidP="00665B2F">
      <w:pPr>
        <w:spacing w:after="0" w:line="240" w:lineRule="auto"/>
      </w:pPr>
      <w:r>
        <w:separator/>
      </w:r>
    </w:p>
  </w:endnote>
  <w:endnote w:type="continuationSeparator" w:id="0">
    <w:p w:rsidR="00451CAE" w:rsidRDefault="00451CAE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AE" w:rsidRDefault="00451CAE" w:rsidP="00665B2F">
      <w:pPr>
        <w:spacing w:after="0" w:line="240" w:lineRule="auto"/>
      </w:pPr>
      <w:r>
        <w:separator/>
      </w:r>
    </w:p>
  </w:footnote>
  <w:footnote w:type="continuationSeparator" w:id="0">
    <w:p w:rsidR="00451CAE" w:rsidRDefault="00451CAE" w:rsidP="00665B2F">
      <w:pPr>
        <w:spacing w:after="0" w:line="240" w:lineRule="auto"/>
      </w:pPr>
      <w:r>
        <w:continuationSeparator/>
      </w:r>
    </w:p>
  </w:footnote>
  <w:footnote w:id="1">
    <w:p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97"/>
    <w:rsid w:val="002605D2"/>
    <w:rsid w:val="002B12A4"/>
    <w:rsid w:val="003C173A"/>
    <w:rsid w:val="00401849"/>
    <w:rsid w:val="00415B6B"/>
    <w:rsid w:val="00451CAE"/>
    <w:rsid w:val="004F755C"/>
    <w:rsid w:val="00665B2F"/>
    <w:rsid w:val="00941C97"/>
    <w:rsid w:val="009A0673"/>
    <w:rsid w:val="00A464EF"/>
    <w:rsid w:val="00B51C38"/>
    <w:rsid w:val="00D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Sláma Tomáš (Praha 12)</dc:creator>
  <cp:lastModifiedBy>Lenka Králová</cp:lastModifiedBy>
  <cp:revision>5</cp:revision>
  <dcterms:created xsi:type="dcterms:W3CDTF">2024-06-07T10:46:00Z</dcterms:created>
  <dcterms:modified xsi:type="dcterms:W3CDTF">2024-06-07T10:51:00Z</dcterms:modified>
</cp:coreProperties>
</file>