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-5.048933pt;width:595.1pt;height:846.75pt;mso-position-horizontal-relative:page;mso-position-vertical-relative:page;z-index:-8032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65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w w:val="107"/>
                      <w:sz w:val="34"/>
                    </w:rPr>
                    <w:t>r</w:t>
                  </w:r>
                </w:p>
                <w:p>
                  <w:pPr>
                    <w:spacing w:line="187" w:lineRule="exact" w:before="184"/>
                    <w:ind w:left="1022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0"/>
                    </w:rPr>
                    <w:t>VI,</w:t>
                  </w:r>
                  <w:r>
                    <w:rPr>
                      <w:position w:val="-9"/>
                      <w:sz w:val="19"/>
                    </w:rPr>
                    <w:t>v&gt;</w:t>
                  </w:r>
                </w:p>
                <w:p>
                  <w:pPr>
                    <w:pStyle w:val="BodyText"/>
                    <w:spacing w:line="105" w:lineRule="auto" w:before="52"/>
                    <w:ind w:left="1000" w:right="10682" w:firstLine="7"/>
                  </w:pPr>
                  <w:r>
                    <w:rPr>
                      <w:w w:val="72"/>
                      <w:position w:val="-8"/>
                    </w:rPr>
                    <w:t>c</w:t>
                  </w:r>
                  <w:r>
                    <w:rPr>
                      <w:spacing w:val="-130"/>
                      <w:w w:val="72"/>
                      <w:position w:val="-8"/>
                    </w:rPr>
                    <w:t>c</w:t>
                  </w:r>
                  <w:r>
                    <w:rPr>
                      <w:w w:val="49"/>
                    </w:rPr>
                    <w:t>•'J- </w:t>
                  </w:r>
                  <w:r>
                    <w:rPr>
                      <w:w w:val="72"/>
                    </w:rPr>
                    <w:t>cc</w:t>
                  </w:r>
                </w:p>
                <w:p>
                  <w:pPr>
                    <w:spacing w:line="157" w:lineRule="exact" w:before="0"/>
                    <w:ind w:left="100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-125"/>
                      <w:w w:val="177"/>
                      <w:sz w:val="14"/>
                    </w:rPr>
                    <w:t>o</w:t>
                  </w:r>
                  <w:r>
                    <w:rPr>
                      <w:w w:val="117"/>
                      <w:position w:val="-9"/>
                      <w:sz w:val="19"/>
                    </w:rPr>
                    <w:t>o</w:t>
                  </w:r>
                </w:p>
                <w:p>
                  <w:pPr>
                    <w:tabs>
                      <w:tab w:pos="748" w:val="left" w:leader="none"/>
                    </w:tabs>
                    <w:spacing w:line="129" w:lineRule="exact" w:before="0"/>
                    <w:ind w:left="352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20"/>
                    </w:rPr>
                    <w:t>3</w:t>
                    <w:tab/>
                    <w:t>cc</w:t>
                  </w:r>
                  <w:r>
                    <w:rPr>
                      <w:spacing w:val="-18"/>
                      <w:sz w:val="20"/>
                    </w:rPr>
                    <w:t> </w:t>
                  </w:r>
                  <w:r>
                    <w:rPr>
                      <w:position w:val="-1"/>
                      <w:sz w:val="19"/>
                    </w:rPr>
                    <w:t>o</w:t>
                  </w:r>
                </w:p>
                <w:p>
                  <w:pPr>
                    <w:spacing w:line="107" w:lineRule="exact" w:before="0"/>
                    <w:ind w:left="346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=&gt; </w:t>
                  </w:r>
                  <w:r>
                    <w:rPr>
                      <w:w w:val="200"/>
                      <w:sz w:val="14"/>
                    </w:rPr>
                    <w:t>^ </w:t>
                  </w:r>
                  <w:r>
                    <w:rPr>
                      <w:w w:val="150"/>
                      <w:sz w:val="14"/>
                    </w:rPr>
                    <w:t>&lt;</w:t>
                  </w:r>
                </w:p>
                <w:p>
                  <w:pPr>
                    <w:spacing w:line="152" w:lineRule="exact" w:before="0"/>
                    <w:ind w:left="337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=: o</w:t>
                  </w:r>
                </w:p>
                <w:p>
                  <w:pPr>
                    <w:spacing w:line="196" w:lineRule="exact" w:before="108"/>
                    <w:ind w:left="1663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Správa Krkonošského národního parku</w:t>
                  </w:r>
                </w:p>
                <w:p>
                  <w:pPr>
                    <w:pStyle w:val="BodyText"/>
                    <w:tabs>
                      <w:tab w:pos="1662" w:val="left" w:leader="none"/>
                    </w:tabs>
                    <w:spacing w:line="243" w:lineRule="exact"/>
                    <w:ind w:left="972"/>
                  </w:pPr>
                  <w:r>
                    <w:rPr>
                      <w:position w:val="5"/>
                    </w:rPr>
                    <w:t>Q</w:t>
                    <w:tab/>
                  </w:r>
                  <w:r>
                    <w:rPr/>
                    <w:t>se sídlem Dobrovského 3, 543 01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Vrchlabí</w:t>
                  </w:r>
                </w:p>
                <w:p>
                  <w:pPr>
                    <w:pStyle w:val="BodyText"/>
                    <w:tabs>
                      <w:tab w:pos="1655" w:val="left" w:leader="none"/>
                    </w:tabs>
                    <w:spacing w:line="167" w:lineRule="exact"/>
                    <w:ind w:left="720"/>
                  </w:pPr>
                  <w:r>
                    <w:rPr>
                      <w:position w:val="1"/>
                    </w:rPr>
                    <w:t>—</w:t>
                  </w:r>
                  <w:r>
                    <w:rPr>
                      <w:spacing w:val="-2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■n</w:t>
                    <w:tab/>
                  </w:r>
                  <w:r>
                    <w:rPr/>
                    <w:t>zastoupená PhDr. Robinem Bóhnischem,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ředitelem</w:t>
                  </w:r>
                </w:p>
                <w:p>
                  <w:pPr>
                    <w:pStyle w:val="BodyText"/>
                    <w:spacing w:line="108" w:lineRule="exact"/>
                    <w:ind w:left="749"/>
                  </w:pPr>
                  <w:r>
                    <w:rPr>
                      <w:w w:val="71"/>
                    </w:rPr>
                    <w:t>~</w:t>
                  </w:r>
                </w:p>
                <w:p>
                  <w:pPr>
                    <w:pStyle w:val="BodyText"/>
                    <w:tabs>
                      <w:tab w:pos="1662" w:val="left" w:leader="none"/>
                    </w:tabs>
                    <w:spacing w:line="144" w:lineRule="exact"/>
                    <w:ind w:left="935"/>
                  </w:pPr>
                  <w:r>
                    <w:rPr>
                      <w:w w:val="105"/>
                      <w:position w:val="-2"/>
                      <w:sz w:val="10"/>
                    </w:rPr>
                    <w:t>00</w:t>
                    <w:tab/>
                  </w:r>
                  <w:r>
                    <w:rPr/>
                    <w:t>IČO: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00088455</w:t>
                  </w:r>
                </w:p>
                <w:p>
                  <w:pPr>
                    <w:tabs>
                      <w:tab w:pos="1662" w:val="left" w:leader="none"/>
                    </w:tabs>
                    <w:spacing w:line="179" w:lineRule="exact" w:before="0"/>
                    <w:ind w:left="734" w:right="0" w:firstLine="0"/>
                    <w:jc w:val="left"/>
                    <w:rPr>
                      <w:sz w:val="19"/>
                    </w:rPr>
                  </w:pPr>
                  <w:r>
                    <w:rPr>
                      <w:i/>
                      <w:position w:val="5"/>
                      <w:sz w:val="13"/>
                    </w:rPr>
                    <w:t>X</w:t>
                  </w:r>
                  <w:r>
                    <w:rPr>
                      <w:i/>
                      <w:spacing w:val="31"/>
                      <w:position w:val="5"/>
                      <w:sz w:val="13"/>
                    </w:rPr>
                    <w:t> </w:t>
                  </w:r>
                  <w:r>
                    <w:rPr>
                      <w:position w:val="5"/>
                      <w:sz w:val="20"/>
                    </w:rPr>
                    <w:t>00</w:t>
                    <w:tab/>
                  </w:r>
                  <w:r>
                    <w:rPr>
                      <w:sz w:val="19"/>
                    </w:rPr>
                    <w:t>DIČ: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CZ00088455</w:t>
                  </w:r>
                </w:p>
                <w:p>
                  <w:pPr>
                    <w:spacing w:line="79" w:lineRule="exact" w:before="0"/>
                    <w:ind w:left="69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40"/>
                      <w:sz w:val="16"/>
                    </w:rPr>
                    <w:t>•° </w:t>
                  </w:r>
                  <w:r>
                    <w:rPr>
                      <w:w w:val="145"/>
                      <w:sz w:val="16"/>
                    </w:rPr>
                    <w:t>o</w:t>
                  </w:r>
                </w:p>
                <w:p>
                  <w:pPr>
                    <w:pStyle w:val="BodyText"/>
                    <w:tabs>
                      <w:tab w:pos="1641" w:val="left" w:leader="none"/>
                    </w:tabs>
                    <w:spacing w:line="137" w:lineRule="exact"/>
                    <w:ind w:left="914"/>
                  </w:pPr>
                  <w:r>
                    <w:rPr>
                      <w:w w:val="145"/>
                      <w:position w:val="6"/>
                      <w:sz w:val="16"/>
                    </w:rPr>
                    <w:t>o</w:t>
                    <w:tab/>
                  </w:r>
                  <w:r>
                    <w:rPr>
                      <w:w w:val="105"/>
                    </w:rPr>
                    <w:t>jako</w:t>
                  </w:r>
                  <w:r>
                    <w:rPr>
                      <w:spacing w:val="-3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pronajímatel</w:t>
                  </w:r>
                  <w:r>
                    <w:rPr>
                      <w:spacing w:val="-3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(dále</w:t>
                  </w:r>
                  <w:r>
                    <w:rPr>
                      <w:spacing w:val="-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jen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„pronajímatel"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„Správa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KRNAP")</w:t>
                  </w:r>
                </w:p>
                <w:p>
                  <w:pPr>
                    <w:spacing w:line="94" w:lineRule="exact" w:before="0"/>
                    <w:ind w:left="914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63"/>
                      <w:sz w:val="16"/>
                    </w:rPr>
                    <w:t>o</w:t>
                  </w:r>
                </w:p>
                <w:p>
                  <w:pPr>
                    <w:pStyle w:val="BodyText"/>
                    <w:spacing w:line="202" w:lineRule="exact"/>
                    <w:ind w:left="1649"/>
                  </w:pPr>
                  <w:r>
                    <w:rPr>
                      <w:w w:val="155"/>
                    </w:rPr>
                    <w:t>-</w:t>
                  </w:r>
                  <w:r>
                    <w:rPr>
                      <w:spacing w:val="-53"/>
                      <w:w w:val="155"/>
                    </w:rPr>
                    <w:t> </w:t>
                  </w:r>
                  <w:r>
                    <w:rPr>
                      <w:w w:val="110"/>
                    </w:rPr>
                    <w:t>na straně jedné </w:t>
                  </w:r>
                  <w:r>
                    <w:rPr>
                      <w:w w:val="155"/>
                    </w:rPr>
                    <w:t>-</w:t>
                  </w:r>
                </w:p>
                <w:p>
                  <w:pPr>
                    <w:pStyle w:val="BodyText"/>
                    <w:spacing w:before="62"/>
                    <w:ind w:left="1656"/>
                  </w:pPr>
                  <w:r>
                    <w:rPr>
                      <w:w w:val="89"/>
                    </w:rPr>
                    <w:t>a</w:t>
                  </w:r>
                </w:p>
                <w:p>
                  <w:pPr>
                    <w:spacing w:line="217" w:lineRule="exact" w:before="54"/>
                    <w:ind w:left="165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Ing. Milan Ficek</w:t>
                  </w:r>
                </w:p>
                <w:p>
                  <w:pPr>
                    <w:pStyle w:val="BodyText"/>
                    <w:spacing w:line="217" w:lineRule="exact"/>
                    <w:ind w:left="1656"/>
                  </w:pPr>
                  <w:r>
                    <w:rPr/>
                    <w:t>r. č.: 67</w:t>
                  </w:r>
                </w:p>
                <w:p>
                  <w:pPr>
                    <w:pStyle w:val="BodyText"/>
                    <w:tabs>
                      <w:tab w:pos="5399" w:val="left" w:leader="none"/>
                    </w:tabs>
                    <w:spacing w:line="217" w:lineRule="exact" w:before="5"/>
                    <w:ind w:left="1649"/>
                  </w:pPr>
                  <w:r>
                    <w:rPr/>
                    <w:t>trvalé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bydliště:</w:t>
                    <w:tab/>
                    <w:t>Praha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spacing w:line="217" w:lineRule="exact"/>
                    <w:ind w:left="1641"/>
                  </w:pPr>
                  <w:r>
                    <w:rPr/>
                    <w:t>jako nájemce (dále jen „nájemce")</w:t>
                  </w:r>
                </w:p>
                <w:p>
                  <w:pPr>
                    <w:pStyle w:val="BodyText"/>
                    <w:spacing w:before="12"/>
                    <w:ind w:left="1649"/>
                  </w:pPr>
                  <w:r>
                    <w:rPr>
                      <w:w w:val="110"/>
                    </w:rPr>
                    <w:t>- na straně druhé </w:t>
                  </w:r>
                  <w:r>
                    <w:rPr>
                      <w:w w:val="155"/>
                    </w:rPr>
                    <w:t>-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spacing w:line="216" w:lineRule="exact"/>
                    <w:ind w:left="1649" w:right="1463" w:firstLine="7"/>
                  </w:pPr>
                  <w:r>
                    <w:rPr/>
                    <w:t>uzavírají podle ustanovení § 2201 a násl. zákona č. 89/2012 Sb. (dále jen „NOZ"), a podle § 27 zákona č. 219/2000 Sb., ve znění pozdějších změn a doplňků, tuto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2125" w:right="2009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NÁJEMNÍ</w:t>
                  </w:r>
                  <w:r>
                    <w:rPr>
                      <w:b/>
                      <w:spacing w:val="56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SMLOUVU</w:t>
                  </w:r>
                </w:p>
                <w:p>
                  <w:pPr>
                    <w:spacing w:before="29"/>
                    <w:ind w:left="2125" w:right="200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č.  SMLN-22-64/2024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1"/>
                    <w:ind w:left="2125" w:right="2032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90"/>
                      <w:sz w:val="19"/>
                    </w:rPr>
                    <w:t>ČI. I</w:t>
                  </w:r>
                </w:p>
                <w:p>
                  <w:pPr>
                    <w:pStyle w:val="BodyText"/>
                    <w:spacing w:line="216" w:lineRule="exact" w:before="18"/>
                    <w:ind w:left="1656" w:right="1648" w:hanging="1"/>
                  </w:pPr>
                  <w:r>
                    <w:rPr/>
                    <w:t>Pronajímatel  je  podle  zákona  č.  219/2000  Sb.,  ve  znění  pozdějších   změn   a   doplňků,   příslušný hospodařit s následující nemovitou věcí, která je vlastnictvím České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republiky</w:t>
                  </w:r>
                </w:p>
                <w:p>
                  <w:pPr>
                    <w:tabs>
                      <w:tab w:pos="3081" w:val="left" w:leader="none"/>
                      <w:tab w:pos="4470" w:val="left" w:leader="none"/>
                      <w:tab w:pos="6810" w:val="left" w:leader="none"/>
                      <w:tab w:pos="9712" w:val="left" w:leader="none"/>
                    </w:tabs>
                    <w:spacing w:before="81"/>
                    <w:ind w:left="172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obec</w:t>
                    <w:tab/>
                    <w:t>kat.</w:t>
                  </w:r>
                  <w:r>
                    <w:rPr>
                      <w:b/>
                      <w:spacing w:val="9"/>
                      <w:w w:val="105"/>
                      <w:sz w:val="16"/>
                    </w:rPr>
                    <w:t> </w:t>
                  </w:r>
                  <w:r>
                    <w:rPr>
                      <w:b/>
                      <w:w w:val="105"/>
                      <w:sz w:val="16"/>
                    </w:rPr>
                    <w:t>území</w:t>
                    <w:tab/>
                    <w:t>druh evidence   </w:t>
                  </w:r>
                  <w:r>
                    <w:rPr>
                      <w:b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b/>
                      <w:w w:val="105"/>
                      <w:sz w:val="16"/>
                    </w:rPr>
                    <w:t>parcela</w:t>
                  </w:r>
                  <w:r>
                    <w:rPr>
                      <w:b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č.</w:t>
                    <w:tab/>
                  </w:r>
                  <w:r>
                    <w:rPr>
                      <w:b/>
                      <w:w w:val="105"/>
                      <w:sz w:val="16"/>
                    </w:rPr>
                    <w:t>výměra [m2] </w:t>
                  </w:r>
                  <w:r>
                    <w:rPr>
                      <w:b/>
                      <w:spacing w:val="36"/>
                      <w:w w:val="105"/>
                      <w:sz w:val="16"/>
                    </w:rPr>
                    <w:t> </w:t>
                  </w:r>
                  <w:r>
                    <w:rPr>
                      <w:b/>
                      <w:w w:val="105"/>
                      <w:sz w:val="16"/>
                    </w:rPr>
                    <w:t>druh</w:t>
                  </w:r>
                  <w:r>
                    <w:rPr>
                      <w:b/>
                      <w:spacing w:val="9"/>
                      <w:w w:val="105"/>
                      <w:sz w:val="16"/>
                    </w:rPr>
                    <w:t> </w:t>
                  </w:r>
                  <w:r>
                    <w:rPr>
                      <w:b/>
                      <w:w w:val="105"/>
                      <w:sz w:val="16"/>
                    </w:rPr>
                    <w:t>pozemku</w:t>
                    <w:tab/>
                    <w:t>LVč.</w:t>
                  </w:r>
                </w:p>
                <w:p>
                  <w:pPr>
                    <w:spacing w:line="137" w:lineRule="exact" w:before="23"/>
                    <w:ind w:left="1728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Rokytnice   nad</w:t>
                  </w:r>
                </w:p>
                <w:p>
                  <w:pPr>
                    <w:tabs>
                      <w:tab w:pos="3088" w:val="left" w:leader="none"/>
                      <w:tab w:pos="4945" w:val="left" w:leader="none"/>
                      <w:tab w:pos="5809" w:val="left" w:leader="none"/>
                      <w:tab w:pos="7429" w:val="left" w:leader="none"/>
                      <w:tab w:pos="10044" w:val="right" w:leader="none"/>
                    </w:tabs>
                    <w:spacing w:line="237" w:lineRule="exact" w:before="0"/>
                    <w:ind w:left="1721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8"/>
                      <w:sz w:val="16"/>
                    </w:rPr>
                    <w:t>Jizerou</w:t>
                    <w:tab/>
                  </w:r>
                  <w:r>
                    <w:rPr>
                      <w:w w:val="105"/>
                      <w:position w:val="1"/>
                      <w:sz w:val="16"/>
                    </w:rPr>
                    <w:t>Dolní</w:t>
                  </w:r>
                  <w:r>
                    <w:rPr>
                      <w:spacing w:val="13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w w:val="105"/>
                      <w:position w:val="1"/>
                      <w:sz w:val="16"/>
                    </w:rPr>
                    <w:t>Rokytnice</w:t>
                    <w:tab/>
                    <w:t>KN</w:t>
                    <w:tab/>
                  </w:r>
                  <w:r>
                    <w:rPr>
                      <w:w w:val="105"/>
                      <w:sz w:val="16"/>
                    </w:rPr>
                    <w:t>2831/1</w:t>
                    <w:tab/>
                  </w:r>
                  <w:r>
                    <w:rPr>
                      <w:w w:val="105"/>
                      <w:position w:val="1"/>
                      <w:sz w:val="16"/>
                    </w:rPr>
                    <w:t>1660   trvalý</w:t>
                  </w:r>
                  <w:r>
                    <w:rPr>
                      <w:spacing w:val="-11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w w:val="105"/>
                      <w:position w:val="1"/>
                      <w:sz w:val="16"/>
                    </w:rPr>
                    <w:t>travní</w:t>
                  </w:r>
                  <w:r>
                    <w:rPr>
                      <w:spacing w:val="-7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w w:val="105"/>
                      <w:position w:val="1"/>
                      <w:sz w:val="16"/>
                    </w:rPr>
                    <w:t>porost</w:t>
                  </w:r>
                  <w:r>
                    <w:rPr>
                      <w:rFonts w:ascii="Times New Roman" w:hAnsi="Times New Roman"/>
                      <w:w w:val="105"/>
                      <w:position w:val="1"/>
                      <w:sz w:val="16"/>
                    </w:rPr>
                    <w:tab/>
                  </w:r>
                  <w:r>
                    <w:rPr>
                      <w:w w:val="105"/>
                      <w:position w:val="1"/>
                      <w:sz w:val="16"/>
                    </w:rPr>
                    <w:t>877</w:t>
                  </w:r>
                </w:p>
                <w:p>
                  <w:pPr>
                    <w:spacing w:line="142" w:lineRule="exact" w:before="29"/>
                    <w:ind w:left="1728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Rokytnice   nad</w:t>
                  </w:r>
                </w:p>
                <w:p>
                  <w:pPr>
                    <w:tabs>
                      <w:tab w:pos="3088" w:val="left" w:leader="none"/>
                      <w:tab w:pos="4945" w:val="left" w:leader="none"/>
                      <w:tab w:pos="5802" w:val="left" w:leader="none"/>
                      <w:tab w:pos="7516" w:val="left" w:leader="none"/>
                      <w:tab w:pos="10044" w:val="right" w:leader="none"/>
                    </w:tabs>
                    <w:spacing w:line="242" w:lineRule="exact" w:before="0"/>
                    <w:ind w:left="1721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9"/>
                      <w:sz w:val="16"/>
                    </w:rPr>
                    <w:t>Jizerou</w:t>
                    <w:tab/>
                  </w:r>
                  <w:r>
                    <w:rPr>
                      <w:w w:val="105"/>
                      <w:sz w:val="16"/>
                    </w:rPr>
                    <w:t>Dolní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Rokytnice</w:t>
                    <w:tab/>
                    <w:t>KN</w:t>
                    <w:tab/>
                    <w:t>2834/2</w:t>
                    <w:tab/>
                    <w:t>384   trvalý</w:t>
                  </w:r>
                  <w:r>
                    <w:rPr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travní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porost</w:t>
                  </w:r>
                  <w:r>
                    <w:rPr>
                      <w:rFonts w:ascii="Times New Roman" w:hAnsi="Times New Roman"/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877</w:t>
                  </w:r>
                </w:p>
                <w:p>
                  <w:pPr>
                    <w:pStyle w:val="BodyText"/>
                    <w:tabs>
                      <w:tab w:pos="5449" w:val="left" w:leader="none"/>
                      <w:tab w:pos="9798" w:val="left" w:leader="none"/>
                    </w:tabs>
                    <w:spacing w:line="216" w:lineRule="exact" w:before="75"/>
                    <w:ind w:left="1656" w:right="1537" w:hanging="7"/>
                  </w:pPr>
                  <w:r>
                    <w:rPr/>
                    <w:t>a   je   zapsána    u 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Katastrálního 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úřadu</w:t>
                    <w:tab/>
                    <w:t>pro   Liberecký   kraj,  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katastrálního 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pracoviště</w:t>
                    <w:tab/>
                  </w:r>
                  <w:r>
                    <w:rPr>
                      <w:w w:val="95"/>
                    </w:rPr>
                    <w:t>Semily </w:t>
                  </w:r>
                  <w:r>
                    <w:rPr/>
                    <w:t>na výše uvedeném listu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vlastnictví.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2125" w:right="2039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ČI. II</w:t>
                  </w:r>
                </w:p>
                <w:p>
                  <w:pPr>
                    <w:pStyle w:val="BodyText"/>
                    <w:spacing w:before="13"/>
                    <w:ind w:left="2326" w:right="1544" w:hanging="497"/>
                    <w:jc w:val="both"/>
                  </w:pPr>
                  <w:r>
                    <w:rPr/>
                    <w:t>1)    Pronajímatel  přenechává  nájemci  níže specifikovaný  pozemek  uvedeného v čl. I do užívání  za účelem:  přístup    k objektu    a   zázemí    domu,    a nájemce se zavazuje platit    nájemné a užívat tento pozemek v souladu se zákonem a touto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smlouvou.</w:t>
                  </w:r>
                </w:p>
                <w:p>
                  <w:pPr>
                    <w:pStyle w:val="BodyText"/>
                    <w:tabs>
                      <w:tab w:pos="2339" w:val="left" w:leader="none"/>
                    </w:tabs>
                    <w:spacing w:line="244" w:lineRule="auto"/>
                    <w:ind w:left="2339" w:right="1552" w:hanging="526"/>
                  </w:pPr>
                  <w:r>
                    <w:rPr/>
                    <w:t>2)</w:t>
                    <w:tab/>
                    <w:t>Pronajímaný pozemek  (dále jen  „pozemek") je vyznačen  na situačním zákresu v příloze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č.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I,</w:t>
                  </w:r>
                  <w:r>
                    <w:rPr>
                      <w:w w:val="76"/>
                    </w:rPr>
                    <w:t> </w:t>
                  </w:r>
                  <w:r>
                    <w:rPr/>
                    <w:t>která je nedílnou součástí této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smlouvy.</w:t>
                  </w:r>
                </w:p>
                <w:p>
                  <w:pPr>
                    <w:pStyle w:val="BodyText"/>
                    <w:spacing w:line="244" w:lineRule="auto"/>
                    <w:ind w:left="2326" w:right="1543" w:hanging="504"/>
                    <w:jc w:val="both"/>
                  </w:pPr>
                  <w:r>
                    <w:rPr/>
                    <w:t>3)      Stav  pozemku je nájemci  ke  dni  podpisu  této  smlouvy  znám, je  odpovídající jeho  umístění a předchozímu užívání, a splňuje účel nájmu.</w:t>
                  </w:r>
                </w:p>
                <w:p>
                  <w:pPr>
                    <w:pStyle w:val="BodyText"/>
                    <w:tabs>
                      <w:tab w:pos="2340" w:val="left" w:leader="none"/>
                    </w:tabs>
                    <w:spacing w:line="212" w:lineRule="exact" w:before="3"/>
                    <w:ind w:left="1806"/>
                  </w:pPr>
                  <w:r>
                    <w:rPr/>
                    <w:t>4)</w:t>
                    <w:tab/>
                    <w:t>Pronajímatel přenechává nájemci pozemek ve stavu způsobilém k ujednanému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užívání.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1"/>
                    <w:ind w:left="2125" w:right="2046"/>
                    <w:jc w:val="center"/>
                  </w:pPr>
                  <w:r>
                    <w:rPr/>
                    <w:t>Čl. Ill</w:t>
                  </w:r>
                </w:p>
                <w:p>
                  <w:pPr>
                    <w:pStyle w:val="BodyText"/>
                    <w:spacing w:line="244" w:lineRule="auto" w:before="13"/>
                    <w:ind w:left="2333" w:right="1543" w:hanging="512"/>
                    <w:jc w:val="both"/>
                  </w:pPr>
                  <w:r>
                    <w:rPr/>
                    <w:t>1) Nájemce nesmí přenechat pronajatý pozemek  nebo jeho části  do podnájmu  a nesmí  měnit kulturu pozemku zapsanou v katastru nemovitostí bez předchozího písemného souhlasu pronajímatele.</w:t>
                  </w:r>
                </w:p>
                <w:p>
                  <w:pPr>
                    <w:pStyle w:val="BodyText"/>
                    <w:tabs>
                      <w:tab w:pos="2324" w:val="left" w:leader="none"/>
                    </w:tabs>
                    <w:spacing w:line="211" w:lineRule="exact"/>
                    <w:ind w:left="1814"/>
                  </w:pPr>
                  <w:r>
                    <w:rPr/>
                    <w:t>2)</w:t>
                    <w:tab/>
                    <w:t>Tato smlouva není právním titulem pro zřízení jakékoliv nové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stavby.</w:t>
                  </w:r>
                </w:p>
                <w:p>
                  <w:pPr>
                    <w:pStyle w:val="BodyText"/>
                    <w:tabs>
                      <w:tab w:pos="2340" w:val="left" w:leader="none"/>
                    </w:tabs>
                    <w:spacing w:line="217" w:lineRule="exact"/>
                    <w:ind w:left="1814"/>
                  </w:pPr>
                  <w:r>
                    <w:rPr/>
                    <w:t>3)</w:t>
                    <w:tab/>
                    <w:t>Nájemce je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povinen:</w:t>
                  </w:r>
                </w:p>
                <w:p>
                  <w:pPr>
                    <w:pStyle w:val="BodyText"/>
                    <w:spacing w:before="4"/>
                    <w:ind w:left="2051"/>
                  </w:pPr>
                  <w:r>
                    <w:rPr/>
                    <w:t>a)  užívat pozemek v souladu s dohodnutým účelem nájmu,</w:t>
                  </w:r>
                </w:p>
                <w:p>
                  <w:pPr>
                    <w:pStyle w:val="BodyText"/>
                    <w:spacing w:line="247" w:lineRule="auto" w:before="4"/>
                    <w:ind w:left="2318" w:right="1552" w:hanging="267"/>
                    <w:jc w:val="both"/>
                  </w:pPr>
                  <w:r>
                    <w:rPr/>
                    <w:t>b) v případě výskytu invazních či expanzních druhů (např. lupina mnoholistá, šťovík tupolistý) musí dojít k jejich pravidelné likvidaci tak, aby nedošlo k tvorbě semen,</w:t>
                  </w:r>
                </w:p>
                <w:p>
                  <w:pPr>
                    <w:pStyle w:val="BodyText"/>
                    <w:spacing w:line="237" w:lineRule="auto"/>
                    <w:ind w:left="2318" w:right="1552" w:hanging="273"/>
                    <w:jc w:val="both"/>
                  </w:pPr>
                  <w:r>
                    <w:rPr/>
                    <w:t>c)  v  případě  ukončení  nájmu  uvést  pozemek  do  stavu  ve  kterém  se  nacházel,  pokud  se   s pronajímatelem nedohodne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jinak,</w:t>
                  </w:r>
                </w:p>
                <w:p>
                  <w:pPr>
                    <w:pStyle w:val="BodyText"/>
                    <w:spacing w:before="12"/>
                    <w:ind w:left="2311" w:right="1556" w:hanging="266"/>
                    <w:jc w:val="both"/>
                  </w:pPr>
                  <w:r>
                    <w:rPr/>
                    <w:t>d) umožnit pronajímateli na jeho žádost vstup na předmět nájmu za účelem kontroly, zda je užíván v souladu s touto smlouvou; den, kdy pronajímatel hodlá provést kontrolu, bude nájemci oznámen písemně alespoň 7 dnů předem; v případě nutné potřeby je pronajímatel oprávněn kontrolu provést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v nepřítomnosti nájemce,</w:t>
                  </w:r>
                </w:p>
                <w:p>
                  <w:pPr>
                    <w:pStyle w:val="BodyText"/>
                    <w:spacing w:line="216" w:lineRule="exact" w:before="9"/>
                    <w:ind w:left="2318" w:right="1558" w:hanging="273"/>
                    <w:jc w:val="both"/>
                  </w:pPr>
                  <w:r>
                    <w:rPr/>
                    <w:t>e) užívat pozemek tak, aby pronajímateli nevznikla žádná škoda. Pokud nájemce svým jednáním škodu způsobí, zavazuje se vzniklou škodu uhradit v jejím plném rozsahu,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spacing w:before="1"/>
                    <w:ind w:left="2125" w:right="2060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w w:val="95"/>
                      <w:sz w:val="15"/>
                    </w:rPr>
                    <w:t>strana </w:t>
                  </w:r>
                  <w:r>
                    <w:rPr>
                      <w:i/>
                      <w:w w:val="90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8008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367;top:230;width:540;height:878" type="#_x0000_t75" stroked="false">
              <v:imagedata r:id="rId6" o:title=""/>
            </v:shape>
            <v:shape style="position:absolute;left:965;top:1296;width:166;height:230" type="#_x0000_t75" stroked="false">
              <v:imagedata r:id="rId7" o:title=""/>
            </v:shape>
            <v:shape style="position:absolute;left:166;top:2700;width:281;height:770" type="#_x0000_t75" stroked="false">
              <v:imagedata r:id="rId8" o:title=""/>
            </v:shape>
            <v:shape style="position:absolute;left:2271;top:3739;width:3039;height:483" coordorigin="2271,3739" coordsize="3039,483" path="m5309,3962l3060,3962,3060,3739,2271,3739,2271,3999,2918,3999,2918,4222,5309,4222,5309,3962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368"/>
        <w:gridCol w:w="1342"/>
        <w:gridCol w:w="982"/>
        <w:gridCol w:w="1163"/>
        <w:gridCol w:w="1663"/>
        <w:gridCol w:w="784"/>
      </w:tblGrid>
      <w:tr>
        <w:trPr>
          <w:trHeight w:val="193" w:hRule="exact"/>
        </w:trPr>
        <w:tc>
          <w:tcPr>
            <w:tcW w:w="1486" w:type="dxa"/>
          </w:tcPr>
          <w:p>
            <w:pPr/>
          </w:p>
        </w:tc>
        <w:tc>
          <w:tcPr>
            <w:tcW w:w="1368" w:type="dxa"/>
          </w:tcPr>
          <w:p>
            <w:pPr/>
          </w:p>
        </w:tc>
        <w:tc>
          <w:tcPr>
            <w:tcW w:w="1342" w:type="dxa"/>
          </w:tcPr>
          <w:p>
            <w:pPr/>
          </w:p>
        </w:tc>
        <w:tc>
          <w:tcPr>
            <w:tcW w:w="982" w:type="dxa"/>
          </w:tcPr>
          <w:p>
            <w:pPr/>
          </w:p>
        </w:tc>
        <w:tc>
          <w:tcPr>
            <w:tcW w:w="1163" w:type="dxa"/>
          </w:tcPr>
          <w:p>
            <w:pPr/>
          </w:p>
        </w:tc>
        <w:tc>
          <w:tcPr>
            <w:tcW w:w="1663" w:type="dxa"/>
          </w:tcPr>
          <w:p>
            <w:pPr/>
          </w:p>
        </w:tc>
        <w:tc>
          <w:tcPr>
            <w:tcW w:w="784" w:type="dxa"/>
          </w:tcPr>
          <w:p>
            <w:pPr/>
          </w:p>
        </w:tc>
      </w:tr>
      <w:tr>
        <w:trPr>
          <w:trHeight w:val="404" w:hRule="exact"/>
        </w:trPr>
        <w:tc>
          <w:tcPr>
            <w:tcW w:w="1486" w:type="dxa"/>
          </w:tcPr>
          <w:p>
            <w:pPr/>
          </w:p>
        </w:tc>
        <w:tc>
          <w:tcPr>
            <w:tcW w:w="1368" w:type="dxa"/>
          </w:tcPr>
          <w:p>
            <w:pPr/>
          </w:p>
        </w:tc>
        <w:tc>
          <w:tcPr>
            <w:tcW w:w="1342" w:type="dxa"/>
          </w:tcPr>
          <w:p>
            <w:pPr/>
          </w:p>
        </w:tc>
        <w:tc>
          <w:tcPr>
            <w:tcW w:w="982" w:type="dxa"/>
          </w:tcPr>
          <w:p>
            <w:pPr/>
          </w:p>
        </w:tc>
        <w:tc>
          <w:tcPr>
            <w:tcW w:w="1163" w:type="dxa"/>
          </w:tcPr>
          <w:p>
            <w:pPr/>
          </w:p>
        </w:tc>
        <w:tc>
          <w:tcPr>
            <w:tcW w:w="1663" w:type="dxa"/>
          </w:tcPr>
          <w:p>
            <w:pPr/>
          </w:p>
        </w:tc>
        <w:tc>
          <w:tcPr>
            <w:tcW w:w="784" w:type="dxa"/>
          </w:tcPr>
          <w:p>
            <w:pPr/>
          </w:p>
        </w:tc>
      </w:tr>
      <w:tr>
        <w:trPr>
          <w:trHeight w:val="395" w:hRule="exact"/>
        </w:trPr>
        <w:tc>
          <w:tcPr>
            <w:tcW w:w="1486" w:type="dxa"/>
          </w:tcPr>
          <w:p>
            <w:pPr/>
          </w:p>
        </w:tc>
        <w:tc>
          <w:tcPr>
            <w:tcW w:w="1368" w:type="dxa"/>
          </w:tcPr>
          <w:p>
            <w:pPr/>
          </w:p>
        </w:tc>
        <w:tc>
          <w:tcPr>
            <w:tcW w:w="1342" w:type="dxa"/>
          </w:tcPr>
          <w:p>
            <w:pPr/>
          </w:p>
        </w:tc>
        <w:tc>
          <w:tcPr>
            <w:tcW w:w="982" w:type="dxa"/>
          </w:tcPr>
          <w:p>
            <w:pPr/>
          </w:p>
        </w:tc>
        <w:tc>
          <w:tcPr>
            <w:tcW w:w="1163" w:type="dxa"/>
          </w:tcPr>
          <w:p>
            <w:pPr/>
          </w:p>
        </w:tc>
        <w:tc>
          <w:tcPr>
            <w:tcW w:w="1663" w:type="dxa"/>
          </w:tcPr>
          <w:p>
            <w:pPr/>
          </w:p>
        </w:tc>
        <w:tc>
          <w:tcPr>
            <w:tcW w:w="784" w:type="dxa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420" w:right="1480"/>
        </w:sectPr>
      </w:pPr>
    </w:p>
    <w:p>
      <w:pPr>
        <w:pStyle w:val="BodyText"/>
        <w:ind w:right="-40"/>
        <w:rPr>
          <w:rFonts w:ascii="Times New Roman"/>
          <w:sz w:val="20"/>
        </w:rPr>
      </w:pPr>
      <w:r>
        <w:rPr/>
        <w:pict>
          <v:shape style="position:absolute;margin-left:0pt;margin-top:.000029pt;width:600.1pt;height:845.3pt;mso-position-horizontal-relative:page;mso-position-vertical-relative:page;z-index:-7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41"/>
                    <w:ind w:left="2404" w:right="1586" w:hanging="281"/>
                    <w:jc w:val="both"/>
                  </w:pPr>
                  <w:r>
                    <w:rPr/>
                    <w:t>f) nájemce je povinen, na požádání pracovníka Územního pracoviště Harrachov, v případě těžby, umožnit přístup přes pozemek k porostům,</w:t>
                  </w:r>
                </w:p>
                <w:p>
                  <w:pPr>
                    <w:pStyle w:val="BodyText"/>
                    <w:spacing w:line="217" w:lineRule="exact" w:before="11"/>
                    <w:ind w:left="2131"/>
                  </w:pPr>
                  <w:r>
                    <w:rPr/>
                    <w:t>g)  hradit náklady spojené s obvyklým udržováním pronajatého pozemku a drobné opravy na něm,</w:t>
                  </w:r>
                </w:p>
                <w:p>
                  <w:pPr>
                    <w:pStyle w:val="BodyText"/>
                    <w:spacing w:line="244" w:lineRule="auto"/>
                    <w:ind w:left="2383" w:right="1596" w:hanging="252"/>
                    <w:jc w:val="both"/>
                  </w:pPr>
                  <w:r>
                    <w:rPr>
                      <w:i/>
                    </w:rPr>
                    <w:t>h)  </w:t>
                  </w:r>
                  <w:r>
                    <w:rPr/>
                    <w:t>strpět  věcná   břemena,   resp.   služebnosti   spojená   s pozemkem   uvedeným   včl.   </w:t>
                  </w:r>
                  <w:r>
                    <w:rPr>
                      <w:w w:val="90"/>
                    </w:rPr>
                    <w:t>I, </w:t>
                  </w:r>
                  <w:r>
                    <w:rPr/>
                    <w:t>jakož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případná další omezení vyplývající z právních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předpisů,</w:t>
                  </w:r>
                </w:p>
                <w:p>
                  <w:pPr>
                    <w:pStyle w:val="BodyText"/>
                    <w:spacing w:line="216" w:lineRule="exact" w:before="7"/>
                    <w:ind w:left="2398" w:right="1589" w:hanging="267"/>
                    <w:jc w:val="both"/>
                  </w:pPr>
                  <w:r>
                    <w:rPr/>
                    <w:t>i)  neskladovat na předmětu nájmu žádné odpady nebo odpadky, a udržovat na předmětu nájmu  a v jeho okolí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pořádek,</w:t>
                  </w:r>
                </w:p>
                <w:p>
                  <w:pPr>
                    <w:pStyle w:val="BodyText"/>
                    <w:spacing w:line="247" w:lineRule="auto" w:before="1"/>
                    <w:ind w:left="2390" w:right="1581" w:hanging="280"/>
                    <w:jc w:val="both"/>
                  </w:pPr>
                  <w:r>
                    <w:rPr/>
                    <w:t>j)  nájemce je povinen, na požádání pracovníka Územního pracoviště Rezek, bezodkladně uvolnit v případě potřeby předmětu nájmu na dobu nezbytně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nutnou,</w:t>
                  </w:r>
                </w:p>
                <w:p>
                  <w:pPr>
                    <w:pStyle w:val="BodyText"/>
                    <w:spacing w:line="242" w:lineRule="auto"/>
                    <w:ind w:left="2390" w:right="1579" w:hanging="266"/>
                    <w:jc w:val="both"/>
                  </w:pPr>
                  <w:r>
                    <w:rPr>
                      <w:i/>
                    </w:rPr>
                    <w:t>k) </w:t>
                  </w:r>
                  <w:r>
                    <w:rPr/>
                    <w:t>za účelem výkonu povinností z titulů osoby příslušné hospodařit s majetkem státu, se nájemce zavazuje umožnit pronajímateli včetně dalších osob vstup na předmět nájmu dle potřeb pronajímatele. Pokud nebude technicky nebo organizačně možné toto umožnit v požadovaném termínu, zavazuje se nájemce s pronajímatelem dohodnout nejbližší možný termín. V případě nedodržení uvedené povinnosti, je pronajímatel oprávněn vypovědět tuto smlouvu dle čl. IV, odst. 2) písm. b.).</w:t>
                  </w:r>
                </w:p>
                <w:p>
                  <w:pPr>
                    <w:pStyle w:val="BodyText"/>
                    <w:tabs>
                      <w:tab w:pos="2412" w:val="left" w:leader="none"/>
                    </w:tabs>
                    <w:spacing w:line="216" w:lineRule="exact" w:before="17"/>
                    <w:ind w:left="2411" w:right="1591" w:hanging="533"/>
                  </w:pPr>
                  <w:r>
                    <w:rPr/>
                    <w:t>4)</w:t>
                    <w:tab/>
                    <w:tab/>
                    <w:t>Pronajímatel   nenese  žádnou   odpovědnost  za  jakékoliv  škody   nebo 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zranění 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způsobené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na majetku nájemce nebo třetím osobám při užívání předmětu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nájmu.</w:t>
                  </w:r>
                </w:p>
                <w:p>
                  <w:pPr>
                    <w:pStyle w:val="BodyText"/>
                    <w:tabs>
                      <w:tab w:pos="2412" w:val="left" w:leader="none"/>
                    </w:tabs>
                    <w:spacing w:line="216" w:lineRule="exact" w:before="6"/>
                    <w:ind w:left="2398" w:right="1591" w:hanging="512"/>
                  </w:pPr>
                  <w:r>
                    <w:rPr/>
                    <w:t>5)</w:t>
                    <w:tab/>
                    <w:tab/>
                    <w:t>Pronajímatel má vůči nájemci za přenechání předmětu  nájmu k  užívání  pro 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účel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vymezený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v této smlouvě právo na zaplacení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nájemného.</w:t>
                  </w:r>
                </w:p>
                <w:p>
                  <w:pPr>
                    <w:pStyle w:val="BodyText"/>
                    <w:spacing w:line="242" w:lineRule="auto" w:before="1"/>
                    <w:ind w:left="2390" w:right="1587" w:hanging="511"/>
                    <w:jc w:val="both"/>
                  </w:pPr>
                  <w:r>
                    <w:rPr/>
                    <w:t>6) Nájemce je povinen  bez zbytečného  odkladu  oznámit  pronajímateli  potřebu  nutných  oprav, které je povinen provést  pronajímatel  a  umožnit jejich  provedení,  jinak  nájemce  odpovídá za škodu,  která  nesplněním  této  povinnosti  vznikne.  Pokud   by   se   jednalo   o   vady nebo poškození podstatného charakteru, které by ztěžovaly užívání pozemku zásadním způsobem nebo by jeho užívání zcela znemožňovaly, má nájemce právo vůči pronajímateli uplatnit přiměřenou slevu z nájemného za dobu, po kterou vady či poškození předmětu pronájmu trvaly. Toto však platí, pokud tyto vady a poškození včas nahlásí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pronajímateli.</w:t>
                  </w:r>
                </w:p>
                <w:p>
                  <w:pPr>
                    <w:pStyle w:val="BodyText"/>
                    <w:tabs>
                      <w:tab w:pos="2405" w:val="left" w:leader="none"/>
                    </w:tabs>
                    <w:spacing w:line="244" w:lineRule="auto"/>
                    <w:ind w:left="2398" w:right="1596" w:hanging="519"/>
                  </w:pPr>
                  <w:r>
                    <w:rPr/>
                    <w:t>7)</w:t>
                    <w:tab/>
                    <w:tab/>
                    <w:t>Nájemce   nesmí   provádět   na   předmětu   nájmu   žádné   terénní   nebo 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stavební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úpravy</w:t>
                  </w:r>
                  <w:r>
                    <w:rPr>
                      <w:w w:val="98"/>
                    </w:rPr>
                    <w:t> </w:t>
                  </w:r>
                  <w:r>
                    <w:rPr/>
                    <w:t>ani podstatné změny bez souhlasu pronajímatele, a to ani na svůj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náklad.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0"/>
                    <w:ind w:left="5739" w:right="5636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IV</w:t>
                  </w:r>
                </w:p>
                <w:p>
                  <w:pPr>
                    <w:pStyle w:val="BodyText"/>
                    <w:tabs>
                      <w:tab w:pos="2389" w:val="left" w:leader="none"/>
                    </w:tabs>
                    <w:spacing w:line="217" w:lineRule="exact" w:before="19"/>
                    <w:ind w:left="1886"/>
                  </w:pPr>
                  <w:r>
                    <w:rPr/>
                    <w:t>1)</w:t>
                    <w:tab/>
                    <w:t>Tato smlouva se uzavírá na dobu určitou, a to od 01.01.2024 do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31.12.2031.</w:t>
                  </w:r>
                </w:p>
                <w:p>
                  <w:pPr>
                    <w:pStyle w:val="BodyText"/>
                    <w:tabs>
                      <w:tab w:pos="2396" w:val="left" w:leader="none"/>
                    </w:tabs>
                    <w:spacing w:line="216" w:lineRule="exact"/>
                    <w:ind w:left="1879"/>
                  </w:pPr>
                  <w:r>
                    <w:rPr/>
                    <w:t>2)</w:t>
                    <w:tab/>
                    <w:t>Právní vztah založený touto smlouvou může být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ukončen:</w:t>
                  </w:r>
                </w:p>
                <w:p>
                  <w:pPr>
                    <w:pStyle w:val="BodyText"/>
                    <w:spacing w:line="217" w:lineRule="exact"/>
                    <w:ind w:left="2383"/>
                  </w:pPr>
                  <w:r>
                    <w:rPr/>
                    <w:t>a)   Dohodou účastníků.</w:t>
                  </w:r>
                </w:p>
                <w:p>
                  <w:pPr>
                    <w:pStyle w:val="BodyText"/>
                    <w:spacing w:line="242" w:lineRule="auto" w:before="5"/>
                    <w:ind w:left="2722" w:right="1600" w:hanging="339"/>
                    <w:jc w:val="both"/>
                  </w:pPr>
                  <w:r>
                    <w:rPr/>
                    <w:t>b)  Výpovědí  pronajímatele, jestliže pronajímatel bude pronajatou  nemovitou věc potřebovat   k plnění funkcí státu nebo jiným úkolům v rámci své působnosti nebo stanoveného předmětu činnosti, nebo nebude-li pronájmem dosahováno účelnějšího nebo hospodárnějšího využití pronajaté nemovité věc při zachování hlavního účelu, ke kterému organizační složce slouží. Výpovědní doba v takovém případě činí 1 měsíc a počíná běžet prvním dnem následujícího kalendářního měsíce po doručení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výpovědi.</w:t>
                  </w:r>
                </w:p>
                <w:p>
                  <w:pPr>
                    <w:pStyle w:val="BodyText"/>
                    <w:spacing w:line="242" w:lineRule="auto" w:before="1"/>
                    <w:ind w:left="2722" w:right="1609" w:hanging="9"/>
                    <w:jc w:val="both"/>
                  </w:pPr>
                  <w:r>
                    <w:rPr/>
                    <w:t>Z  výše  uvedených  důvodů  je  pronajímatel  oprávněn  ukončit  tento  právní  vztah rovněž písemným oznámením, že odstupuje od smlouvy. Uplynutím 14 dnů po doručení písemného oznámení nájemci tato smlouva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zaniká.</w:t>
                  </w:r>
                </w:p>
                <w:p>
                  <w:pPr>
                    <w:pStyle w:val="BodyText"/>
                    <w:ind w:left="2713" w:right="1607" w:hanging="345"/>
                    <w:jc w:val="both"/>
                  </w:pPr>
                  <w:r>
                    <w:rPr/>
                    <w:t>c) Výpovědí jedné ze smluvních stran bez udání důvodu, výpovědní lhůta v tomto případě činí tři měsíce a začíná běžet prvním dnem kalendářního měsíce následujícího po doručení výpovědi druhé smluvní straně.</w:t>
                  </w:r>
                </w:p>
                <w:p>
                  <w:pPr>
                    <w:pStyle w:val="BodyText"/>
                    <w:spacing w:before="10"/>
                    <w:ind w:left="2713" w:right="1615" w:hanging="345"/>
                    <w:jc w:val="both"/>
                  </w:pPr>
                  <w:r>
                    <w:rPr/>
                    <w:t>d)  Jestliže nájemce porušuje zvlášť závažným způsobem své povinnosti,  pronajímatel může   v souladu s ustanovením § 2232 NOZ vypovědět nájem bez výpovědní doby, a to ke dni doručení výpovědi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nájemci.</w:t>
                  </w:r>
                </w:p>
                <w:p>
                  <w:pPr>
                    <w:pStyle w:val="BodyText"/>
                    <w:spacing w:before="4"/>
                    <w:ind w:left="2707" w:right="1616" w:hanging="338"/>
                    <w:jc w:val="both"/>
                  </w:pPr>
                  <w:r>
                    <w:rPr/>
                    <w:t>e) Při zániku nájmu je nájemce povinen předmět nájmu vyklidit, a to do 15-ti dnů ode dne zániku nájmu, a předat ho pronajímateli ve stavu v jakém se nacházel před realizací dočasné stavby uvedené včl. II, odst.1 a 2, s ohledem na běžné opotřebení při běžném užívání a na vady, které je povinen odstranit pronajímatel. O předání předmětu nájmu se strany zavazují sepsat zápis, v němž zachytí stav předávaného pozemku. Smluvní strany  si tímto sjednávají, že ustanovení § 2230 občanského zákoníku se na tuto smlouvu nevztahuje.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5739" w:right="5681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V</w:t>
                  </w:r>
                </w:p>
                <w:p>
                  <w:pPr>
                    <w:pStyle w:val="BodyText"/>
                    <w:tabs>
                      <w:tab w:pos="2383" w:val="left" w:leader="none"/>
                    </w:tabs>
                    <w:spacing w:before="5"/>
                    <w:ind w:left="1865"/>
                  </w:pPr>
                  <w:r>
                    <w:rPr/>
                    <w:t>1)</w:t>
                    <w:tab/>
                    <w:t>Nájemce je povinen platit pronajímateli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nájemné.</w:t>
                  </w:r>
                </w:p>
                <w:p>
                  <w:pPr>
                    <w:pStyle w:val="BodyText"/>
                    <w:tabs>
                      <w:tab w:pos="2375" w:val="left" w:leader="none"/>
                    </w:tabs>
                    <w:spacing w:line="216" w:lineRule="exact" w:before="9"/>
                    <w:ind w:left="2376" w:right="1615" w:hanging="518"/>
                  </w:pPr>
                  <w:r>
                    <w:rPr/>
                    <w:t>2)</w:t>
                    <w:tab/>
                    <w:t>Roční nájemné  se stanovuje dohodou ve výši  </w:t>
                  </w:r>
                  <w:r>
                    <w:rPr>
                      <w:b/>
                    </w:rPr>
                    <w:t>10 220,- Kč </w:t>
                  </w:r>
                  <w:r>
                    <w:rPr/>
                    <w:t>(slovy:  deset tisíc dvě  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stě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dvacet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korun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českých).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</w:rPr>
                  </w:pPr>
                </w:p>
                <w:p>
                  <w:pPr>
                    <w:spacing w:before="1"/>
                    <w:ind w:left="5739" w:right="5681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7621089" cy="10735056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089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010" w:h="1691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7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6803" w:val="left" w:leader="none"/>
                    </w:tabs>
                    <w:spacing w:line="242" w:lineRule="auto" w:before="1"/>
                    <w:ind w:left="2340" w:right="1529" w:hanging="511"/>
                    <w:jc w:val="both"/>
                  </w:pPr>
                  <w:r>
                    <w:rPr/>
                    <w:t>3)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Nájemné bude hrazeno </w:t>
                  </w:r>
                  <w:r>
                    <w:rPr>
                      <w:b/>
                      <w:w w:val="95"/>
                    </w:rPr>
                    <w:t>1 </w:t>
                  </w:r>
                  <w:r>
                    <w:rPr>
                      <w:b/>
                    </w:rPr>
                    <w:t>x ročně, </w:t>
                  </w:r>
                  <w:r>
                    <w:rPr/>
                    <w:t>a to na základě faktury vystavené Správou KRNAP a zaslané na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e-mailovou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adresu</w:t>
                    <w:tab/>
                  </w:r>
                  <w:r>
                    <w:rPr>
                      <w:w w:val="95"/>
                    </w:rPr>
                    <w:t>, </w:t>
                  </w:r>
                  <w:r>
                    <w:rPr/>
                    <w:t>s termínem splatnosti vždy</w:t>
                  </w:r>
                  <w:r>
                    <w:rPr>
                      <w:spacing w:val="-37"/>
                    </w:rPr>
                    <w:t> </w:t>
                  </w:r>
                  <w:r>
                    <w:rPr/>
                    <w:t>do 31.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června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daného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roku.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Zaplacením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rozumí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připsání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celé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platby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nájemného na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účet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line="242" w:lineRule="auto" w:before="2"/>
                    <w:ind w:left="2326" w:right="1537" w:hanging="512"/>
                    <w:jc w:val="both"/>
                  </w:pPr>
                  <w:r>
                    <w:rPr/>
                    <w:t>4)   Smluvní strany se dohodly na tom, že nájemné za kalendářní rok 2024 bude uhrazeno v plné   výši ročního nájemného stanoveného včl. V, odst. 2), což činí </w:t>
                  </w:r>
                  <w:r>
                    <w:rPr>
                      <w:b/>
                    </w:rPr>
                    <w:t>10 220,- Kč </w:t>
                  </w:r>
                  <w:r>
                    <w:rPr/>
                    <w:t>(slovy: deset tisíc  dvě stě dvacet korun českých), a bude uhrazeno na základě faktury vystavené pronajímatelem a zaslané na e-mailovou adresu nájemce s termínem splatnosti do 30 dní od nabytí účinnosti této smlouvy. Zaplacením se rozumí připsání placené částky na účet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line="242" w:lineRule="auto"/>
                    <w:ind w:left="2332" w:right="1537" w:hanging="511"/>
                    <w:jc w:val="both"/>
                  </w:pPr>
                  <w:r>
                    <w:rPr/>
                    <w:t>5) Výše nájemného bude každoročně zvyšována o míru inflace v České republice, vyjádřené přírůstkem průměrného ročního indexu spotřebitelských cen v  minulém  kalendářním  roce proti roku předminulému a vyhlášené Českým statistickým úřadem, nejméně však o růst obvyklého nájemného ze srovnatelného majetku v daném místě a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čase.</w:t>
                  </w:r>
                </w:p>
                <w:p>
                  <w:pPr>
                    <w:pStyle w:val="BodyText"/>
                    <w:spacing w:before="7"/>
                    <w:ind w:left="2333" w:right="1551" w:hanging="519"/>
                    <w:jc w:val="both"/>
                  </w:pPr>
                  <w:r>
                    <w:rPr/>
                    <w:t>6) Nezaplatí-li nájemce nájemné ani do splatnosti příštího nájemného považuje se to za porušení smlouvy zvlášť závažným způsobem, které zakládá právo  pronajímatele vypovědět  nájem  bez výpovědní doby (§ 2228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NOZ).</w:t>
                  </w:r>
                </w:p>
                <w:p>
                  <w:pPr>
                    <w:pStyle w:val="BodyText"/>
                    <w:spacing w:line="216" w:lineRule="exact" w:before="9"/>
                    <w:ind w:left="2326" w:right="1546" w:hanging="512"/>
                    <w:jc w:val="both"/>
                  </w:pPr>
                  <w:r>
                    <w:rPr/>
                    <w:t>7)  Pro případ předčasného ukončení nájmu bude zaplacené nájemné vypořádáno a odpovídající  část nájemci pronajímatelem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vrácena.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2125" w:right="2052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VI</w:t>
                  </w:r>
                </w:p>
                <w:p>
                  <w:pPr>
                    <w:pStyle w:val="BodyText"/>
                    <w:spacing w:line="216" w:lineRule="exact" w:before="24"/>
                    <w:ind w:left="2325" w:right="1545" w:hanging="504"/>
                    <w:jc w:val="both"/>
                  </w:pPr>
                  <w:r>
                    <w:rPr/>
                    <w:t>1) Smluvní strany se dohodly, že jakékoliv změny  a  doplňky  této  smlouvy jsou  možné  pouze formou oboustranných písemných dodatků k této smlouvě.</w:t>
                  </w:r>
                </w:p>
                <w:p>
                  <w:pPr>
                    <w:pStyle w:val="BodyText"/>
                    <w:spacing w:line="216" w:lineRule="exact" w:before="6"/>
                    <w:ind w:left="2326" w:right="1559" w:hanging="519"/>
                    <w:jc w:val="both"/>
                  </w:pPr>
                  <w:r>
                    <w:rPr/>
                    <w:t>2)      Smluvní  strany  jsou  povinny  se  vzájemně  informovat  o  jakékoli  změně  údajů  uvedených v záhlaví této smlouvy, a to nejpozději do 30 dnů ode dne změny.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2125" w:right="2061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VII</w:t>
                  </w:r>
                </w:p>
                <w:p>
                  <w:pPr>
                    <w:pStyle w:val="BodyText"/>
                    <w:spacing w:line="244" w:lineRule="auto" w:before="13"/>
                    <w:ind w:left="1641" w:right="1648" w:hanging="15"/>
                  </w:pPr>
                  <w:r>
                    <w:rPr/>
                    <w:t>Tato  smlouva  je  vyhotovena  ve  čtyřech  stejnopisech,  z   nichž   každý  má   platnost  originálu.   Dva stejnopisy přebírá nájemce, a ostatní jsou určeny pro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0"/>
                    <w:ind w:left="2125" w:right="2066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Čl. Vlil</w:t>
                  </w:r>
                </w:p>
                <w:p>
                  <w:pPr>
                    <w:pStyle w:val="BodyText"/>
                    <w:spacing w:before="1"/>
                    <w:ind w:left="1626"/>
                  </w:pPr>
                  <w:r>
                    <w:rPr/>
                    <w:t>Tato smlouva nabývá platnosti a účinnosti dnem jejího podpisu smluvními stranami.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spacing w:before="1"/>
                    <w:ind w:left="2125" w:right="2068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IX.</w:t>
                  </w:r>
                </w:p>
                <w:p>
                  <w:pPr>
                    <w:pStyle w:val="BodyText"/>
                    <w:tabs>
                      <w:tab w:pos="9417" w:val="left" w:leader="none"/>
                    </w:tabs>
                    <w:spacing w:line="216" w:lineRule="exact" w:before="19"/>
                    <w:ind w:left="1613" w:right="1558" w:firstLine="21"/>
                  </w:pPr>
                  <w:r>
                    <w:rPr/>
                    <w:t>Smluvní  strany  po přečtení této smlouvy prohlašují, že s jejím  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obsahem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souhjasL</w:t>
                    <w:tab/>
                    <w:t>to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smlouva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je shodným projevem jejich vážné a svobodné vůle, a na důkaz toho  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přippjtíjťsvepodpisy.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ind w:left="2125" w:right="1152"/>
                    <w:jc w:val="center"/>
                  </w:pPr>
                  <w:r>
                    <w:rPr/>
                    <w:t>V Praze dn</w:t>
                  </w:r>
                </w:p>
                <w:p>
                  <w:pPr>
                    <w:spacing w:before="6"/>
                    <w:ind w:left="2125" w:right="1059" w:firstLine="0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é.&amp;.iw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2125" w:right="9494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IČ: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ind w:left="3318"/>
                  </w:pPr>
                  <w:r>
                    <w:rPr/>
                    <w:t>réva KRNAP</w:t>
                  </w:r>
                </w:p>
                <w:p>
                  <w:pPr>
                    <w:pStyle w:val="BodyText"/>
                    <w:spacing w:line="244" w:lineRule="auto" w:before="4"/>
                    <w:ind w:left="3218" w:right="5841" w:hanging="728"/>
                  </w:pPr>
                  <w:r>
                    <w:rPr/>
                    <w:t>PhDr. Róbm Bóhnisch, řetjitej, pronajímatel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1613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Za správnost: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172" w:lineRule="exact" w:before="0"/>
                    <w:ind w:left="162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Bc. Oldřich Pažout</w:t>
                  </w:r>
                </w:p>
                <w:p>
                  <w:pPr>
                    <w:spacing w:line="172" w:lineRule="exact" w:before="0"/>
                    <w:ind w:left="1613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vedoucí oddělení správy  majetku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before="0"/>
                    <w:ind w:left="2125" w:right="2090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7936" coordorigin="0,0" coordsize="11902,16834">
            <v:shape style="position:absolute;left:0;top:0;width:11902;height:16834" type="#_x0000_t75" stroked="false">
              <v:imagedata r:id="rId10" o:title=""/>
            </v:shape>
            <v:shape style="position:absolute;left:4716;top:9288;width:655;height:1022" type="#_x0000_t75" stroked="false">
              <v:imagedata r:id="rId11" o:title=""/>
            </v:shape>
            <v:shape style="position:absolute;left:5897;top:9151;width:4320;height:2743" type="#_x0000_t75" stroked="false">
              <v:imagedata r:id="rId12" o:title=""/>
            </v:shape>
            <v:shape style="position:absolute;left:2429;top:1860;width:7757;height:10990" coordorigin="2429,1860" coordsize="7757,10990" path="m4743,12259l2962,12259,2962,12850,4743,12850,4743,12259m5231,9886l2429,9886,2429,10913,5231,10913,5231,9886m6785,1860l4214,1860,4214,2120,6785,2120,6785,1860m10185,9222l6947,9222,6947,10997,10185,10997,10185,9222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862.9pt;height:625.7pt;mso-position-horizontal-relative:page;mso-position-vertical-relative:page;z-index:-7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line="242" w:lineRule="auto" w:before="0"/>
                    <w:ind w:left="757" w:right="13291" w:firstLine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sz w:val="21"/>
                    </w:rPr>
                    <w:t>Správa </w:t>
                  </w:r>
                  <w:r>
                    <w:rPr>
                      <w:sz w:val="18"/>
                    </w:rPr>
                    <w:t>Krk ^ošskcho národního parku Dobrovského 3</w:t>
                  </w:r>
                </w:p>
                <w:p>
                  <w:pPr>
                    <w:spacing w:before="4"/>
                    <w:ind w:left="752" w:right="13291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543  Ol VRCHLABÍ</w:t>
                  </w:r>
                </w:p>
                <w:p>
                  <w:pPr>
                    <w:pStyle w:val="BodyText"/>
                    <w:spacing w:before="16"/>
                    <w:ind w:left="958"/>
                  </w:pPr>
                  <w:r>
                    <w:rPr/>
                    <w:t>IČ: 000 88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62.9pt;height:625.7pt;mso-position-horizontal-relative:page;mso-position-vertical-relative:page;z-index:-7888" coordorigin="0,0" coordsize="17258,12514">
            <v:shape style="position:absolute;left:0;top:0;width:17258;height:12514" type="#_x0000_t75" stroked="false">
              <v:imagedata r:id="rId13" o:title=""/>
            </v:shape>
            <v:shape style="position:absolute;left:1872;top:1685;width:6912;height:9094" type="#_x0000_t75" stroked="false">
              <v:imagedata r:id="rId14" o:title=""/>
            </v:shape>
            <w10:wrap type="none"/>
          </v:group>
        </w:pict>
      </w:r>
    </w:p>
    <w:sectPr>
      <w:pgSz w:w="17260" w:h="12520" w:orient="landscape"/>
      <w:pgMar w:top="1160" w:bottom="280" w:left="2480" w:right="2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2024-06-07T13:22:41Z</dcterms:created>
  <dcterms:modified xsi:type="dcterms:W3CDTF">2024-06-07T13:22:41Z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LastSaved">
    <vt:filetime>2024-06-07T00:00:00Z</vt:filetime>
  </property>
</Properties>
</file>