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0369" w14:textId="48F591C3" w:rsidR="00431BCA" w:rsidRDefault="005E5EDC" w:rsidP="00987139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>Dodatek č.</w:t>
      </w:r>
      <w:r w:rsidR="00431BCA">
        <w:rPr>
          <w:rFonts w:ascii="Arial" w:hAnsi="Arial" w:cs="Arial"/>
          <w:b/>
          <w:w w:val="80"/>
          <w:sz w:val="28"/>
          <w:szCs w:val="28"/>
        </w:rPr>
        <w:t xml:space="preserve"> 1</w:t>
      </w:r>
      <w:r>
        <w:rPr>
          <w:rFonts w:ascii="Arial" w:hAnsi="Arial" w:cs="Arial"/>
          <w:b/>
          <w:w w:val="80"/>
          <w:sz w:val="28"/>
          <w:szCs w:val="28"/>
        </w:rPr>
        <w:t xml:space="preserve"> 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431BCA">
        <w:rPr>
          <w:rFonts w:ascii="Arial" w:hAnsi="Arial" w:cs="Arial"/>
          <w:b/>
          <w:w w:val="80"/>
          <w:sz w:val="28"/>
          <w:szCs w:val="28"/>
        </w:rPr>
        <w:t>491230034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</w:p>
    <w:p w14:paraId="19030341" w14:textId="251FBD95" w:rsidR="005E5EDC" w:rsidRDefault="001E6009" w:rsidP="00987139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>CODEXIS</w:t>
      </w:r>
      <w:r w:rsidR="00FA686E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  <w:r>
        <w:rPr>
          <w:rFonts w:ascii="Arial" w:hAnsi="Arial" w:cs="Arial"/>
          <w:b/>
          <w:w w:val="80"/>
          <w:sz w:val="28"/>
          <w:szCs w:val="28"/>
        </w:rPr>
        <w:t xml:space="preserve"> GREEN</w:t>
      </w:r>
    </w:p>
    <w:p w14:paraId="23A0A6AA" w14:textId="42A5417B" w:rsidR="00987139" w:rsidRPr="00431BCA" w:rsidRDefault="00987139" w:rsidP="00987139">
      <w:pPr>
        <w:jc w:val="right"/>
        <w:rPr>
          <w:rFonts w:ascii="Arial" w:hAnsi="Arial" w:cs="Arial"/>
          <w:bCs/>
          <w:w w:val="80"/>
        </w:rPr>
      </w:pPr>
      <w:r w:rsidRPr="00431BCA">
        <w:rPr>
          <w:rFonts w:ascii="Arial" w:hAnsi="Arial" w:cs="Arial"/>
          <w:bCs/>
          <w:w w:val="80"/>
        </w:rPr>
        <w:t xml:space="preserve">Dok. č. </w:t>
      </w:r>
      <w:r w:rsidR="001E6009" w:rsidRPr="00431BCA">
        <w:rPr>
          <w:rFonts w:ascii="Arial" w:hAnsi="Arial" w:cs="Arial"/>
          <w:bCs/>
          <w:w w:val="80"/>
        </w:rPr>
        <w:t>494240034</w:t>
      </w:r>
    </w:p>
    <w:p w14:paraId="65268E43" w14:textId="6F0D538D" w:rsidR="005E5EDC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6D4B2DAC" w14:textId="77777777" w:rsidR="00FE622A" w:rsidRPr="00360C2A" w:rsidRDefault="00FE622A" w:rsidP="00360C2A"/>
    <w:p w14:paraId="03D8D8C2" w14:textId="77777777" w:rsidR="00FE622A" w:rsidRDefault="00FE622A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</w:p>
    <w:p w14:paraId="2E558232" w14:textId="74A89E96" w:rsidR="005B6CF0" w:rsidRPr="00360C2A" w:rsidRDefault="005E5EDC" w:rsidP="00360C2A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360C2A">
        <w:rPr>
          <w:rFonts w:cs="Arial"/>
          <w:b/>
          <w:sz w:val="18"/>
          <w:szCs w:val="18"/>
        </w:rPr>
        <w:t xml:space="preserve">ATLAS </w:t>
      </w:r>
      <w:proofErr w:type="spellStart"/>
      <w:r w:rsidRPr="00360C2A">
        <w:rPr>
          <w:rFonts w:cs="Arial"/>
          <w:b/>
          <w:sz w:val="18"/>
          <w:szCs w:val="18"/>
        </w:rPr>
        <w:t>consulting</w:t>
      </w:r>
      <w:proofErr w:type="spellEnd"/>
      <w:r w:rsidRPr="00360C2A">
        <w:rPr>
          <w:rFonts w:cs="Arial"/>
          <w:b/>
          <w:sz w:val="18"/>
          <w:szCs w:val="18"/>
        </w:rPr>
        <w:t xml:space="preserve"> spol. s r.o.</w:t>
      </w:r>
    </w:p>
    <w:p w14:paraId="132C9D9F" w14:textId="10332072" w:rsidR="005E5EDC" w:rsidRPr="00360C2A" w:rsidRDefault="005B6CF0" w:rsidP="00360C2A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360C2A">
        <w:rPr>
          <w:rFonts w:cs="Arial"/>
          <w:b/>
          <w:sz w:val="18"/>
          <w:szCs w:val="18"/>
        </w:rPr>
        <w:t>zastoupena: Ing. Pavlou Řehákovou, jednatelkou společnosti</w:t>
      </w:r>
      <w:r w:rsidR="005E5EDC" w:rsidRPr="00360C2A">
        <w:rPr>
          <w:rFonts w:cs="Arial"/>
          <w:b/>
          <w:sz w:val="18"/>
          <w:szCs w:val="18"/>
        </w:rPr>
        <w:t xml:space="preserve"> </w:t>
      </w:r>
    </w:p>
    <w:p w14:paraId="31A7AB36" w14:textId="599FD3CE" w:rsidR="00F9574C" w:rsidRDefault="005B6CF0" w:rsidP="00360C2A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sídlo: </w:t>
      </w:r>
      <w:r w:rsidR="00F9574C" w:rsidRPr="00B118D8">
        <w:rPr>
          <w:rFonts w:cs="Arial"/>
          <w:sz w:val="18"/>
          <w:szCs w:val="18"/>
        </w:rPr>
        <w:t>Výstavní 292/13, 70</w:t>
      </w:r>
      <w:r w:rsidR="00D52F06" w:rsidRPr="00B118D8">
        <w:rPr>
          <w:rFonts w:cs="Arial"/>
          <w:sz w:val="18"/>
          <w:szCs w:val="18"/>
        </w:rPr>
        <w:t>2</w:t>
      </w:r>
      <w:r w:rsidR="00F9574C" w:rsidRPr="00B118D8">
        <w:rPr>
          <w:rFonts w:cs="Arial"/>
          <w:sz w:val="18"/>
          <w:szCs w:val="18"/>
        </w:rPr>
        <w:t xml:space="preserve"> </w:t>
      </w:r>
      <w:proofErr w:type="gramStart"/>
      <w:r w:rsidR="00D52F06" w:rsidRPr="00B118D8">
        <w:rPr>
          <w:rFonts w:cs="Arial"/>
          <w:sz w:val="18"/>
          <w:szCs w:val="18"/>
        </w:rPr>
        <w:t>00</w:t>
      </w:r>
      <w:r w:rsidR="00F9574C" w:rsidRPr="00B118D8">
        <w:rPr>
          <w:rFonts w:cs="Arial"/>
          <w:sz w:val="18"/>
          <w:szCs w:val="18"/>
        </w:rPr>
        <w:t xml:space="preserve">  Ostrava</w:t>
      </w:r>
      <w:proofErr w:type="gramEnd"/>
      <w:r w:rsidR="00F9574C" w:rsidRPr="00B118D8">
        <w:rPr>
          <w:rFonts w:cs="Arial"/>
          <w:sz w:val="18"/>
          <w:szCs w:val="18"/>
        </w:rPr>
        <w:t>-Moravská Ostrava</w:t>
      </w:r>
    </w:p>
    <w:p w14:paraId="638D65BE" w14:textId="452865F2" w:rsidR="005B6CF0" w:rsidRPr="00B118D8" w:rsidRDefault="005B6CF0" w:rsidP="00360C2A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zapsána: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</w:t>
      </w:r>
      <w:proofErr w:type="spellEnd"/>
      <w:r>
        <w:rPr>
          <w:rFonts w:cs="Arial"/>
          <w:sz w:val="18"/>
          <w:szCs w:val="18"/>
        </w:rPr>
        <w:t>. Zn. C3293</w:t>
      </w:r>
    </w:p>
    <w:p w14:paraId="24AB45C1" w14:textId="77777777" w:rsidR="005B6CF0" w:rsidRDefault="00F9574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IČ</w:t>
      </w:r>
      <w:r w:rsidR="000149C9" w:rsidRPr="00B118D8">
        <w:rPr>
          <w:rFonts w:cs="Arial"/>
          <w:sz w:val="18"/>
          <w:szCs w:val="18"/>
        </w:rPr>
        <w:t>O</w:t>
      </w:r>
      <w:r w:rsidRPr="00B118D8">
        <w:rPr>
          <w:rFonts w:cs="Arial"/>
          <w:sz w:val="18"/>
          <w:szCs w:val="18"/>
        </w:rPr>
        <w:t>: 46578706</w:t>
      </w:r>
    </w:p>
    <w:p w14:paraId="08601747" w14:textId="64A4462E" w:rsidR="00F9574C" w:rsidRPr="00B118D8" w:rsidRDefault="00F9574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DIČ: CZ46578706 </w:t>
      </w:r>
      <w:r w:rsidRPr="00B118D8">
        <w:rPr>
          <w:rFonts w:cs="Arial"/>
          <w:sz w:val="18"/>
          <w:szCs w:val="18"/>
        </w:rPr>
        <w:br/>
      </w:r>
      <w:r w:rsidR="005B6CF0">
        <w:rPr>
          <w:rFonts w:cs="Arial"/>
          <w:sz w:val="18"/>
          <w:szCs w:val="18"/>
        </w:rPr>
        <w:t>b</w:t>
      </w:r>
      <w:r w:rsidRPr="00B118D8">
        <w:rPr>
          <w:rFonts w:cs="Arial"/>
          <w:sz w:val="18"/>
          <w:szCs w:val="18"/>
        </w:rPr>
        <w:t xml:space="preserve">ankovní spojení: </w:t>
      </w:r>
      <w:proofErr w:type="spellStart"/>
      <w:r w:rsidR="008256EA">
        <w:rPr>
          <w:rFonts w:cs="Arial"/>
          <w:sz w:val="18"/>
          <w:szCs w:val="18"/>
        </w:rPr>
        <w:t>xxxxxxxxxxxxxx</w:t>
      </w:r>
      <w:proofErr w:type="spellEnd"/>
    </w:p>
    <w:p w14:paraId="6969BE68" w14:textId="2FA3C111" w:rsidR="00F9574C" w:rsidRPr="00B118D8" w:rsidRDefault="00F9574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 xml:space="preserve">e-mail: </w:t>
      </w:r>
      <w:hyperlink r:id="rId7" w:history="1">
        <w:proofErr w:type="spellStart"/>
        <w:r w:rsidR="008256EA" w:rsidRPr="008256EA">
          <w:rPr>
            <w:rStyle w:val="Hypertextovodkaz"/>
            <w:rFonts w:cs="Arial"/>
            <w:color w:val="auto"/>
            <w:sz w:val="18"/>
            <w:szCs w:val="18"/>
          </w:rPr>
          <w:t>xxxxxxxxxxxxxxxxx</w:t>
        </w:r>
        <w:proofErr w:type="spellEnd"/>
      </w:hyperlink>
      <w:r w:rsidR="00431BCA">
        <w:rPr>
          <w:rFonts w:cs="Arial"/>
          <w:sz w:val="18"/>
          <w:szCs w:val="18"/>
        </w:rPr>
        <w:t xml:space="preserve"> </w:t>
      </w:r>
    </w:p>
    <w:p w14:paraId="39AD5FCC" w14:textId="41814786" w:rsidR="005E5EDC" w:rsidRPr="00B118D8" w:rsidRDefault="005E5EDC" w:rsidP="00F9574C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B118D8">
        <w:rPr>
          <w:rFonts w:cs="Arial"/>
          <w:sz w:val="18"/>
          <w:szCs w:val="18"/>
        </w:rPr>
        <w:t>(dále jen „dodavatel“)</w:t>
      </w:r>
    </w:p>
    <w:p w14:paraId="4B40E5CF" w14:textId="2DAA19DC" w:rsidR="005E5EDC" w:rsidRPr="00360C2A" w:rsidRDefault="00FE622A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</w:t>
      </w:r>
    </w:p>
    <w:p w14:paraId="0BAF284E" w14:textId="77777777" w:rsidR="00FE622A" w:rsidRPr="00B118D8" w:rsidRDefault="00FE622A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</w:p>
    <w:p w14:paraId="7B0BA047" w14:textId="77777777" w:rsidR="00431BCA" w:rsidRPr="00B50D89" w:rsidRDefault="00431BCA" w:rsidP="00431BCA">
      <w:pPr>
        <w:rPr>
          <w:rFonts w:ascii="Arial" w:hAnsi="Arial" w:cs="Arial"/>
          <w:b/>
          <w:sz w:val="18"/>
          <w:szCs w:val="18"/>
        </w:rPr>
      </w:pPr>
      <w:r w:rsidRPr="00B50D89">
        <w:rPr>
          <w:rFonts w:ascii="Arial" w:hAnsi="Arial" w:cs="Arial"/>
          <w:b/>
          <w:sz w:val="18"/>
          <w:szCs w:val="18"/>
        </w:rPr>
        <w:t>Institut plánování a rozvoje hlavního města Prahy</w:t>
      </w:r>
    </w:p>
    <w:p w14:paraId="0810AEDF" w14:textId="77777777" w:rsidR="00431BCA" w:rsidRPr="00B50D89" w:rsidRDefault="00431BCA" w:rsidP="00431BCA">
      <w:pPr>
        <w:rPr>
          <w:rFonts w:ascii="Arial" w:hAnsi="Arial" w:cs="Arial"/>
          <w:b/>
          <w:sz w:val="18"/>
          <w:szCs w:val="18"/>
        </w:rPr>
      </w:pPr>
      <w:r w:rsidRPr="00B50D89">
        <w:rPr>
          <w:rFonts w:ascii="Arial" w:hAnsi="Arial" w:cs="Arial"/>
          <w:b/>
          <w:sz w:val="18"/>
          <w:szCs w:val="18"/>
        </w:rPr>
        <w:t>příspěvková organizace</w:t>
      </w:r>
    </w:p>
    <w:p w14:paraId="031143DC" w14:textId="77777777" w:rsidR="00431BCA" w:rsidRPr="00B50D89" w:rsidRDefault="00431BCA" w:rsidP="00431BCA">
      <w:pPr>
        <w:rPr>
          <w:rFonts w:ascii="Arial" w:hAnsi="Arial" w:cs="Arial"/>
          <w:sz w:val="18"/>
          <w:szCs w:val="18"/>
        </w:rPr>
      </w:pPr>
      <w:r w:rsidRPr="00B50D89">
        <w:rPr>
          <w:rFonts w:ascii="Arial" w:hAnsi="Arial" w:cs="Arial"/>
          <w:sz w:val="18"/>
          <w:szCs w:val="18"/>
        </w:rPr>
        <w:t xml:space="preserve">zastoupený: </w:t>
      </w:r>
      <w:r>
        <w:rPr>
          <w:rFonts w:ascii="Arial" w:hAnsi="Arial" w:cs="Arial"/>
          <w:sz w:val="18"/>
          <w:szCs w:val="18"/>
        </w:rPr>
        <w:t>Jonášem Tichým, ředitelem Sekce informačních technologií</w:t>
      </w:r>
    </w:p>
    <w:p w14:paraId="4864EDCB" w14:textId="77777777" w:rsidR="00431BCA" w:rsidRPr="009660E7" w:rsidRDefault="00431BCA" w:rsidP="00431BCA">
      <w:pPr>
        <w:rPr>
          <w:rFonts w:ascii="Arial" w:hAnsi="Arial" w:cs="Arial"/>
          <w:sz w:val="18"/>
          <w:szCs w:val="18"/>
        </w:rPr>
      </w:pPr>
      <w:r w:rsidRPr="009660E7">
        <w:rPr>
          <w:rFonts w:ascii="Arial" w:hAnsi="Arial" w:cs="Arial"/>
          <w:sz w:val="18"/>
          <w:szCs w:val="18"/>
        </w:rPr>
        <w:t>sídlo: Vyšehradská 2077/57, 128 00 Praha 2</w:t>
      </w:r>
    </w:p>
    <w:p w14:paraId="6303584B" w14:textId="77777777" w:rsidR="00431BCA" w:rsidRPr="00B50D89" w:rsidRDefault="00431BCA" w:rsidP="00431BC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B50D89">
        <w:rPr>
          <w:rFonts w:ascii="Arial" w:hAnsi="Arial" w:cs="Arial"/>
          <w:bCs/>
          <w:sz w:val="18"/>
          <w:szCs w:val="18"/>
        </w:rPr>
        <w:t xml:space="preserve">zapsaný: v obchodním rejstříku vedeném Městským soudem v Praze, oddíl </w:t>
      </w:r>
      <w:proofErr w:type="spellStart"/>
      <w:r w:rsidRPr="00B50D89">
        <w:rPr>
          <w:rFonts w:ascii="Arial" w:hAnsi="Arial" w:cs="Arial"/>
          <w:bCs/>
          <w:sz w:val="18"/>
          <w:szCs w:val="18"/>
        </w:rPr>
        <w:t>Pr</w:t>
      </w:r>
      <w:proofErr w:type="spellEnd"/>
      <w:r w:rsidRPr="00B50D89">
        <w:rPr>
          <w:rFonts w:ascii="Arial" w:hAnsi="Arial" w:cs="Arial"/>
          <w:bCs/>
          <w:sz w:val="18"/>
          <w:szCs w:val="18"/>
        </w:rPr>
        <w:t>, vložka 63</w:t>
      </w:r>
    </w:p>
    <w:p w14:paraId="125F1409" w14:textId="77777777" w:rsidR="00431BCA" w:rsidRPr="009660E7" w:rsidRDefault="00431BCA" w:rsidP="00431BCA">
      <w:pPr>
        <w:rPr>
          <w:rFonts w:ascii="Arial" w:hAnsi="Arial" w:cs="Arial"/>
          <w:sz w:val="18"/>
          <w:szCs w:val="18"/>
        </w:rPr>
      </w:pPr>
      <w:r w:rsidRPr="009660E7">
        <w:rPr>
          <w:rFonts w:ascii="Arial" w:hAnsi="Arial" w:cs="Arial"/>
          <w:sz w:val="18"/>
          <w:szCs w:val="18"/>
        </w:rPr>
        <w:t>IČO: 70883858</w:t>
      </w:r>
    </w:p>
    <w:p w14:paraId="64904820" w14:textId="77777777" w:rsidR="00431BCA" w:rsidRPr="009660E7" w:rsidRDefault="00431BCA" w:rsidP="00431BCA">
      <w:pPr>
        <w:rPr>
          <w:rFonts w:ascii="Arial" w:hAnsi="Arial" w:cs="Arial"/>
          <w:sz w:val="18"/>
          <w:szCs w:val="18"/>
        </w:rPr>
      </w:pPr>
      <w:r w:rsidRPr="009660E7">
        <w:rPr>
          <w:rFonts w:ascii="Arial" w:hAnsi="Arial" w:cs="Arial"/>
          <w:sz w:val="18"/>
          <w:szCs w:val="18"/>
        </w:rPr>
        <w:t>DIČ: CZ70883858</w:t>
      </w:r>
    </w:p>
    <w:p w14:paraId="0E2BEFEF" w14:textId="2C939F09" w:rsidR="00431BCA" w:rsidRPr="00B50D89" w:rsidRDefault="00431BCA" w:rsidP="00431BC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B50D89">
        <w:rPr>
          <w:rFonts w:ascii="Arial" w:hAnsi="Arial" w:cs="Arial"/>
          <w:bCs/>
          <w:sz w:val="18"/>
          <w:szCs w:val="18"/>
        </w:rPr>
        <w:t xml:space="preserve">bankovní spojení: </w:t>
      </w:r>
      <w:proofErr w:type="spellStart"/>
      <w:r w:rsidR="008256EA">
        <w:rPr>
          <w:rFonts w:ascii="Arial" w:hAnsi="Arial" w:cs="Arial"/>
          <w:bCs/>
          <w:sz w:val="18"/>
          <w:szCs w:val="18"/>
        </w:rPr>
        <w:t>xxxxxxxxxxxxx</w:t>
      </w:r>
      <w:proofErr w:type="spellEnd"/>
    </w:p>
    <w:p w14:paraId="46A0646A" w14:textId="229DD58C" w:rsidR="00431BCA" w:rsidRPr="008256EA" w:rsidRDefault="00431BCA" w:rsidP="00431BCA">
      <w:pPr>
        <w:pStyle w:val="Zkladntext"/>
        <w:spacing w:line="276" w:lineRule="auto"/>
        <w:rPr>
          <w:rFonts w:ascii="Arial" w:hAnsi="Arial" w:cs="Arial"/>
          <w:sz w:val="18"/>
          <w:szCs w:val="18"/>
          <w:lang w:val="cs-CZ"/>
        </w:rPr>
      </w:pPr>
      <w:r w:rsidRPr="00B50D89">
        <w:rPr>
          <w:rFonts w:ascii="Arial" w:hAnsi="Arial" w:cs="Arial"/>
          <w:bCs/>
          <w:sz w:val="18"/>
          <w:szCs w:val="18"/>
        </w:rPr>
        <w:t xml:space="preserve">číslo účtu: </w:t>
      </w:r>
      <w:proofErr w:type="spellStart"/>
      <w:r w:rsidR="008256EA">
        <w:rPr>
          <w:rFonts w:ascii="Arial" w:hAnsi="Arial" w:cs="Arial"/>
          <w:bCs/>
          <w:sz w:val="18"/>
          <w:szCs w:val="18"/>
          <w:lang w:val="cs-CZ"/>
        </w:rPr>
        <w:t>xxxxxxxxxxxxxx</w:t>
      </w:r>
      <w:bookmarkStart w:id="0" w:name="_GoBack"/>
      <w:bookmarkEnd w:id="0"/>
      <w:proofErr w:type="spellEnd"/>
    </w:p>
    <w:p w14:paraId="49E3C173" w14:textId="77777777" w:rsidR="00431BCA" w:rsidRDefault="00431BCA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2F085BB9" w14:textId="31002C1F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B118D8">
        <w:rPr>
          <w:rFonts w:cs="Arial"/>
          <w:sz w:val="18"/>
          <w:szCs w:val="18"/>
        </w:rPr>
        <w:t>(dále jen „odběratel“)</w:t>
      </w:r>
    </w:p>
    <w:p w14:paraId="6EA96A17" w14:textId="77777777" w:rsidR="00FE622A" w:rsidRDefault="00FE622A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0BBD0FA1" w14:textId="77777777" w:rsidR="00FE622A" w:rsidRPr="00B118D8" w:rsidRDefault="00FE622A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79A4D753" w14:textId="77777777" w:rsidR="005E5EDC" w:rsidRPr="00B118D8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43E58AC1" w14:textId="02EB8286" w:rsidR="005E5EDC" w:rsidRPr="00A12543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B118D8">
        <w:rPr>
          <w:rFonts w:cs="Arial"/>
          <w:b/>
          <w:sz w:val="18"/>
          <w:szCs w:val="18"/>
          <w:u w:val="single"/>
        </w:rPr>
        <w:t xml:space="preserve">Tímto dodatkem se </w:t>
      </w:r>
      <w:r w:rsidR="00B74DEE" w:rsidRPr="00B118D8">
        <w:rPr>
          <w:rFonts w:cs="Arial"/>
          <w:b/>
          <w:sz w:val="18"/>
          <w:szCs w:val="18"/>
          <w:u w:val="single"/>
        </w:rPr>
        <w:t xml:space="preserve">doplňuje odst. </w:t>
      </w:r>
      <w:r w:rsidR="008671A1" w:rsidRPr="00B118D8">
        <w:rPr>
          <w:rFonts w:cs="Arial"/>
          <w:b/>
          <w:sz w:val="18"/>
          <w:szCs w:val="18"/>
          <w:u w:val="single"/>
        </w:rPr>
        <w:t xml:space="preserve">2.1. a </w:t>
      </w:r>
      <w:r w:rsidR="00B74DEE" w:rsidRPr="00B118D8">
        <w:rPr>
          <w:rFonts w:cs="Arial"/>
          <w:b/>
          <w:sz w:val="18"/>
          <w:szCs w:val="18"/>
          <w:u w:val="single"/>
        </w:rPr>
        <w:t>3.</w:t>
      </w:r>
      <w:r w:rsidR="005943AD" w:rsidRPr="00B118D8">
        <w:rPr>
          <w:rFonts w:cs="Arial"/>
          <w:b/>
          <w:sz w:val="18"/>
          <w:szCs w:val="18"/>
          <w:u w:val="single"/>
        </w:rPr>
        <w:t>2</w:t>
      </w:r>
      <w:r w:rsidRPr="00B118D8">
        <w:rPr>
          <w:rFonts w:cs="Arial"/>
          <w:b/>
          <w:sz w:val="18"/>
          <w:szCs w:val="18"/>
          <w:u w:val="single"/>
        </w:rPr>
        <w:t xml:space="preserve"> výše citované </w:t>
      </w:r>
      <w:r w:rsidRPr="00A12543">
        <w:rPr>
          <w:rFonts w:cs="Arial"/>
          <w:b/>
          <w:sz w:val="18"/>
          <w:szCs w:val="18"/>
          <w:u w:val="single"/>
        </w:rPr>
        <w:t>smlouvy uzavřené dne</w:t>
      </w:r>
      <w:r w:rsidR="00587354" w:rsidRPr="00A12543">
        <w:rPr>
          <w:rFonts w:cs="Arial"/>
          <w:b/>
          <w:sz w:val="18"/>
          <w:szCs w:val="18"/>
          <w:u w:val="single"/>
        </w:rPr>
        <w:t xml:space="preserve"> </w:t>
      </w:r>
      <w:r w:rsidR="00431BCA">
        <w:rPr>
          <w:rFonts w:cs="Arial"/>
          <w:b/>
          <w:sz w:val="18"/>
          <w:szCs w:val="18"/>
          <w:u w:val="single"/>
        </w:rPr>
        <w:t>27.4.2023</w:t>
      </w:r>
      <w:r w:rsidRPr="00A12543">
        <w:rPr>
          <w:rFonts w:cs="Arial"/>
          <w:b/>
          <w:sz w:val="18"/>
          <w:szCs w:val="18"/>
          <w:u w:val="single"/>
        </w:rPr>
        <w:t xml:space="preserve"> takto:</w:t>
      </w:r>
    </w:p>
    <w:p w14:paraId="5808F4D7" w14:textId="77777777" w:rsidR="005E5EDC" w:rsidRPr="00A12543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6AA5B711" w14:textId="1441E330" w:rsidR="008671A1" w:rsidRDefault="008671A1" w:rsidP="008671A1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431BCA">
        <w:rPr>
          <w:rFonts w:ascii="Arial" w:hAnsi="Arial" w:cs="Arial"/>
          <w:sz w:val="18"/>
          <w:szCs w:val="18"/>
          <w:u w:val="single"/>
        </w:rPr>
        <w:t>Odst. 2.1. se doplňuje o tento text:</w:t>
      </w:r>
    </w:p>
    <w:p w14:paraId="726CF4A5" w14:textId="6B106803" w:rsidR="008671A1" w:rsidRPr="00431BCA" w:rsidRDefault="00121CEF" w:rsidP="008671A1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Současný počet přístupů se mění z 50 na 100 přístupů (licencí k užití) </w:t>
      </w:r>
      <w:r w:rsidRPr="00A84745">
        <w:rPr>
          <w:rFonts w:ascii="Arial" w:hAnsi="Arial"/>
          <w:sz w:val="18"/>
          <w:szCs w:val="18"/>
        </w:rPr>
        <w:t xml:space="preserve">do </w:t>
      </w:r>
      <w:r w:rsidRPr="00A84745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A84745">
        <w:rPr>
          <w:rFonts w:ascii="Arial" w:hAnsi="Arial"/>
          <w:sz w:val="18"/>
          <w:szCs w:val="18"/>
        </w:rPr>
        <w:t xml:space="preserve"> </w:t>
      </w:r>
      <w:r w:rsidRPr="00A84745">
        <w:rPr>
          <w:rFonts w:ascii="Arial" w:hAnsi="Arial"/>
          <w:b/>
          <w:sz w:val="18"/>
          <w:szCs w:val="18"/>
        </w:rPr>
        <w:t>CODEXIS</w:t>
      </w:r>
      <w:r w:rsidRPr="00A84745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A84745">
        <w:rPr>
          <w:rFonts w:ascii="Arial" w:hAnsi="Arial"/>
          <w:b/>
          <w:sz w:val="18"/>
          <w:szCs w:val="18"/>
        </w:rPr>
        <w:t>GREEN</w:t>
      </w:r>
      <w:r>
        <w:rPr>
          <w:rFonts w:ascii="Arial" w:hAnsi="Arial"/>
          <w:b/>
          <w:sz w:val="18"/>
          <w:szCs w:val="18"/>
        </w:rPr>
        <w:t xml:space="preserve"> včetně </w:t>
      </w:r>
      <w:proofErr w:type="spellStart"/>
      <w:proofErr w:type="gramStart"/>
      <w:r>
        <w:rPr>
          <w:rFonts w:ascii="Arial" w:hAnsi="Arial"/>
          <w:b/>
          <w:sz w:val="18"/>
          <w:szCs w:val="18"/>
        </w:rPr>
        <w:t>doplňků.</w:t>
      </w:r>
      <w:r w:rsidR="008671A1" w:rsidRPr="00431BCA">
        <w:rPr>
          <w:rFonts w:ascii="Arial" w:hAnsi="Arial"/>
          <w:sz w:val="18"/>
          <w:szCs w:val="18"/>
        </w:rPr>
        <w:t>Dodavatel</w:t>
      </w:r>
      <w:proofErr w:type="spellEnd"/>
      <w:proofErr w:type="gramEnd"/>
      <w:r w:rsidR="008671A1" w:rsidRPr="00431BCA">
        <w:rPr>
          <w:rFonts w:ascii="Arial" w:hAnsi="Arial"/>
          <w:sz w:val="18"/>
          <w:szCs w:val="18"/>
        </w:rPr>
        <w:t xml:space="preserve"> se rovněž zavazuje poskytnout odběrateli po dobu trvání této smlouvy licenci k užití doplňk</w:t>
      </w:r>
      <w:r w:rsidR="00431BCA">
        <w:rPr>
          <w:rFonts w:ascii="Arial" w:hAnsi="Arial"/>
          <w:sz w:val="18"/>
          <w:szCs w:val="18"/>
        </w:rPr>
        <w:t>ů</w:t>
      </w:r>
      <w:r w:rsidR="008671A1" w:rsidRPr="00431BCA">
        <w:rPr>
          <w:rFonts w:ascii="Arial" w:hAnsi="Arial"/>
          <w:sz w:val="18"/>
          <w:szCs w:val="18"/>
        </w:rPr>
        <w:t xml:space="preserve"> </w:t>
      </w:r>
      <w:r w:rsidR="00431BCA" w:rsidRPr="00431BCA">
        <w:rPr>
          <w:rFonts w:ascii="Arial" w:hAnsi="Arial"/>
          <w:b/>
          <w:sz w:val="18"/>
          <w:szCs w:val="18"/>
        </w:rPr>
        <w:t xml:space="preserve">Správa interních dokumentů včetně Potvrzování změn a </w:t>
      </w:r>
      <w:proofErr w:type="spellStart"/>
      <w:r w:rsidR="00431BCA" w:rsidRPr="00431BCA">
        <w:rPr>
          <w:rFonts w:ascii="Arial" w:hAnsi="Arial"/>
          <w:b/>
          <w:sz w:val="18"/>
          <w:szCs w:val="18"/>
        </w:rPr>
        <w:t>Workspace</w:t>
      </w:r>
      <w:proofErr w:type="spellEnd"/>
      <w:r w:rsidR="008671A1" w:rsidRPr="00431BCA">
        <w:rPr>
          <w:rFonts w:ascii="Arial" w:hAnsi="Arial"/>
          <w:bCs/>
          <w:sz w:val="18"/>
          <w:szCs w:val="18"/>
        </w:rPr>
        <w:t>.</w:t>
      </w:r>
    </w:p>
    <w:p w14:paraId="58F2463E" w14:textId="77777777" w:rsidR="008671A1" w:rsidRPr="00A12543" w:rsidRDefault="008671A1" w:rsidP="008671A1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617D8C5E" w14:textId="3B59A681" w:rsidR="008671A1" w:rsidRPr="00A12543" w:rsidRDefault="008671A1" w:rsidP="008671A1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r w:rsidRPr="00B118D8">
        <w:rPr>
          <w:rFonts w:ascii="Arial" w:hAnsi="Arial" w:cs="Arial"/>
          <w:sz w:val="18"/>
          <w:szCs w:val="18"/>
          <w:u w:val="single"/>
        </w:rPr>
        <w:t>Odst. 3.</w:t>
      </w:r>
      <w:r w:rsidR="005943AD" w:rsidRPr="00B118D8">
        <w:rPr>
          <w:rFonts w:ascii="Arial" w:hAnsi="Arial" w:cs="Arial"/>
          <w:sz w:val="18"/>
          <w:szCs w:val="18"/>
          <w:u w:val="single"/>
        </w:rPr>
        <w:t>2</w:t>
      </w:r>
      <w:r w:rsidRPr="00B118D8">
        <w:rPr>
          <w:rFonts w:ascii="Arial" w:hAnsi="Arial" w:cs="Arial"/>
          <w:sz w:val="18"/>
          <w:szCs w:val="18"/>
          <w:u w:val="single"/>
        </w:rPr>
        <w:t xml:space="preserve">. se </w:t>
      </w:r>
      <w:r w:rsidRPr="00A12543">
        <w:rPr>
          <w:rFonts w:ascii="Arial" w:hAnsi="Arial" w:cs="Arial"/>
          <w:sz w:val="18"/>
          <w:szCs w:val="18"/>
          <w:u w:val="single"/>
        </w:rPr>
        <w:t>doplňuje o tento text:</w:t>
      </w:r>
    </w:p>
    <w:p w14:paraId="287ED5CE" w14:textId="3C8FB985" w:rsidR="005E5EDC" w:rsidRDefault="00B74DEE" w:rsidP="00B74DEE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431BCA">
        <w:rPr>
          <w:rFonts w:ascii="Arial" w:hAnsi="Arial" w:cs="Arial"/>
          <w:b/>
          <w:bCs/>
          <w:sz w:val="18"/>
          <w:szCs w:val="18"/>
        </w:rPr>
        <w:t xml:space="preserve">Cena za pořízení </w:t>
      </w:r>
      <w:r w:rsidR="000149C9" w:rsidRPr="00431BCA">
        <w:rPr>
          <w:rFonts w:ascii="Arial" w:hAnsi="Arial" w:cs="Arial"/>
          <w:b/>
          <w:bCs/>
          <w:sz w:val="18"/>
          <w:szCs w:val="18"/>
        </w:rPr>
        <w:t xml:space="preserve">licence k užití </w:t>
      </w:r>
      <w:r w:rsidRPr="00431BCA">
        <w:rPr>
          <w:rFonts w:ascii="Arial" w:hAnsi="Arial" w:cs="Arial"/>
          <w:b/>
          <w:bCs/>
          <w:sz w:val="18"/>
          <w:szCs w:val="18"/>
        </w:rPr>
        <w:t>doplňk</w:t>
      </w:r>
      <w:r w:rsidR="00431BCA">
        <w:rPr>
          <w:rFonts w:ascii="Arial" w:hAnsi="Arial" w:cs="Arial"/>
          <w:b/>
          <w:bCs/>
          <w:sz w:val="18"/>
          <w:szCs w:val="18"/>
        </w:rPr>
        <w:t>ů</w:t>
      </w:r>
      <w:r w:rsidRPr="00431BCA">
        <w:rPr>
          <w:rFonts w:ascii="Arial" w:hAnsi="Arial" w:cs="Arial"/>
          <w:b/>
          <w:bCs/>
          <w:sz w:val="18"/>
          <w:szCs w:val="18"/>
        </w:rPr>
        <w:t xml:space="preserve"> </w:t>
      </w:r>
      <w:r w:rsidR="00431BCA" w:rsidRPr="00431BCA">
        <w:rPr>
          <w:rFonts w:ascii="Arial" w:hAnsi="Arial"/>
          <w:b/>
          <w:sz w:val="18"/>
          <w:szCs w:val="18"/>
        </w:rPr>
        <w:t xml:space="preserve">Správa interních dokumentů včetně Potvrzování změn a </w:t>
      </w:r>
      <w:proofErr w:type="spellStart"/>
      <w:r w:rsidR="00431BCA" w:rsidRPr="00431BCA">
        <w:rPr>
          <w:rFonts w:ascii="Arial" w:hAnsi="Arial"/>
          <w:b/>
          <w:sz w:val="18"/>
          <w:szCs w:val="18"/>
        </w:rPr>
        <w:t>Workspace</w:t>
      </w:r>
      <w:proofErr w:type="spellEnd"/>
      <w:r w:rsidR="00431BCA">
        <w:rPr>
          <w:rFonts w:ascii="Arial" w:hAnsi="Arial"/>
          <w:b/>
          <w:bCs/>
          <w:sz w:val="18"/>
          <w:szCs w:val="18"/>
        </w:rPr>
        <w:t xml:space="preserve"> </w:t>
      </w:r>
      <w:r w:rsidRPr="00431BCA">
        <w:rPr>
          <w:rFonts w:ascii="Arial" w:hAnsi="Arial" w:cs="Arial"/>
          <w:sz w:val="18"/>
          <w:szCs w:val="18"/>
        </w:rPr>
        <w:t xml:space="preserve">je stanovena na </w:t>
      </w:r>
      <w:r w:rsidR="00431BCA" w:rsidRPr="00431BCA">
        <w:rPr>
          <w:rFonts w:ascii="Arial" w:hAnsi="Arial" w:cs="Arial"/>
          <w:b/>
          <w:bCs/>
          <w:sz w:val="18"/>
          <w:szCs w:val="18"/>
        </w:rPr>
        <w:t>60.000</w:t>
      </w:r>
      <w:r w:rsidRPr="00431BCA">
        <w:rPr>
          <w:rFonts w:ascii="Arial" w:hAnsi="Arial" w:cs="Arial"/>
          <w:b/>
          <w:bCs/>
          <w:sz w:val="18"/>
          <w:szCs w:val="18"/>
        </w:rPr>
        <w:t>,- Kč bez DPH jednorázově</w:t>
      </w:r>
      <w:r w:rsidRPr="00431BCA">
        <w:rPr>
          <w:rFonts w:ascii="Arial" w:hAnsi="Arial" w:cs="Arial"/>
          <w:sz w:val="18"/>
          <w:szCs w:val="18"/>
        </w:rPr>
        <w:t>.</w:t>
      </w:r>
      <w:r w:rsidR="008671A1" w:rsidRPr="00431BCA">
        <w:rPr>
          <w:rFonts w:ascii="Arial" w:hAnsi="Arial" w:cs="Arial"/>
          <w:sz w:val="18"/>
          <w:szCs w:val="18"/>
        </w:rPr>
        <w:t xml:space="preserve"> Celková roční cena za poskytování služeb se pořízením t</w:t>
      </w:r>
      <w:r w:rsidR="00431BCA">
        <w:rPr>
          <w:rFonts w:ascii="Arial" w:hAnsi="Arial" w:cs="Arial"/>
          <w:sz w:val="18"/>
          <w:szCs w:val="18"/>
        </w:rPr>
        <w:t>ěchto</w:t>
      </w:r>
      <w:r w:rsidR="008671A1" w:rsidRPr="00431BCA">
        <w:rPr>
          <w:rFonts w:ascii="Arial" w:hAnsi="Arial" w:cs="Arial"/>
          <w:sz w:val="18"/>
          <w:szCs w:val="18"/>
        </w:rPr>
        <w:t xml:space="preserve"> doplňk</w:t>
      </w:r>
      <w:r w:rsidR="00431BCA">
        <w:rPr>
          <w:rFonts w:ascii="Arial" w:hAnsi="Arial" w:cs="Arial"/>
          <w:sz w:val="18"/>
          <w:szCs w:val="18"/>
        </w:rPr>
        <w:t>ů</w:t>
      </w:r>
      <w:r w:rsidR="008671A1" w:rsidRPr="00431BCA">
        <w:rPr>
          <w:rFonts w:ascii="Arial" w:hAnsi="Arial" w:cs="Arial"/>
          <w:sz w:val="18"/>
          <w:szCs w:val="18"/>
        </w:rPr>
        <w:t xml:space="preserve"> nemění.</w:t>
      </w:r>
    </w:p>
    <w:p w14:paraId="70CCFC41" w14:textId="69D1C2A3" w:rsidR="00FE622A" w:rsidRPr="00431BCA" w:rsidRDefault="00FE622A" w:rsidP="00B74DEE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cena za plnění předmětu smlouvy bude činit</w:t>
      </w:r>
      <w:r w:rsidR="00D62F96">
        <w:rPr>
          <w:rFonts w:ascii="Arial" w:hAnsi="Arial" w:cs="Arial"/>
          <w:sz w:val="18"/>
          <w:szCs w:val="18"/>
        </w:rPr>
        <w:t xml:space="preserve"> 305.000,-</w:t>
      </w:r>
      <w:r>
        <w:rPr>
          <w:rFonts w:ascii="Arial" w:hAnsi="Arial" w:cs="Arial"/>
          <w:sz w:val="18"/>
          <w:szCs w:val="18"/>
        </w:rPr>
        <w:t xml:space="preserve"> Kč (slovy: </w:t>
      </w:r>
      <w:proofErr w:type="spellStart"/>
      <w:r w:rsidR="00D62F96">
        <w:rPr>
          <w:rFonts w:ascii="Arial" w:hAnsi="Arial" w:cs="Arial"/>
          <w:sz w:val="18"/>
          <w:szCs w:val="18"/>
        </w:rPr>
        <w:t>třistapěttisíckorunčeských</w:t>
      </w:r>
      <w:proofErr w:type="spellEnd"/>
      <w:r>
        <w:rPr>
          <w:rFonts w:ascii="Arial" w:hAnsi="Arial" w:cs="Arial"/>
          <w:sz w:val="18"/>
          <w:szCs w:val="18"/>
        </w:rPr>
        <w:t>) bez DPH</w:t>
      </w:r>
      <w:r w:rsidR="0067303B">
        <w:rPr>
          <w:rFonts w:ascii="Arial" w:hAnsi="Arial" w:cs="Arial"/>
          <w:sz w:val="18"/>
          <w:szCs w:val="18"/>
        </w:rPr>
        <w:t>.</w:t>
      </w:r>
    </w:p>
    <w:p w14:paraId="24DD09A4" w14:textId="77777777"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4EC7AF32" w14:textId="77777777"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D98EA1A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4E59D896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67D6D6F8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3801D830" w14:textId="47826F4D" w:rsidR="005E5EDC" w:rsidRPr="00023208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</w:t>
      </w:r>
      <w:r w:rsidR="00B74DEE">
        <w:rPr>
          <w:rFonts w:ascii="Arial" w:hAnsi="Arial" w:cs="Arial"/>
          <w:sz w:val="18"/>
          <w:szCs w:val="18"/>
        </w:rPr>
        <w:t>dnem úhrady ceny za</w:t>
      </w:r>
      <w:r w:rsidR="00FE622A">
        <w:rPr>
          <w:rFonts w:ascii="Arial" w:hAnsi="Arial" w:cs="Arial"/>
          <w:sz w:val="18"/>
          <w:szCs w:val="18"/>
        </w:rPr>
        <w:t> </w:t>
      </w:r>
      <w:r w:rsidR="00B74DEE">
        <w:rPr>
          <w:rFonts w:ascii="Arial" w:hAnsi="Arial" w:cs="Arial"/>
          <w:sz w:val="18"/>
          <w:szCs w:val="18"/>
        </w:rPr>
        <w:t>pořízení doplňku</w:t>
      </w:r>
      <w:r w:rsidR="004A6984">
        <w:rPr>
          <w:rFonts w:ascii="Arial" w:hAnsi="Arial" w:cs="Arial"/>
          <w:sz w:val="18"/>
          <w:szCs w:val="18"/>
        </w:rPr>
        <w:t xml:space="preserve"> </w:t>
      </w:r>
      <w:r w:rsidR="00431BCA" w:rsidRPr="00431BCA">
        <w:rPr>
          <w:rFonts w:ascii="Arial" w:hAnsi="Arial"/>
          <w:bCs/>
          <w:sz w:val="18"/>
          <w:szCs w:val="18"/>
        </w:rPr>
        <w:t xml:space="preserve">Správa interních dokumentů včetně Potvrzování změn a </w:t>
      </w:r>
      <w:proofErr w:type="spellStart"/>
      <w:r w:rsidR="00431BCA" w:rsidRPr="00431BCA">
        <w:rPr>
          <w:rFonts w:ascii="Arial" w:hAnsi="Arial"/>
          <w:bCs/>
          <w:sz w:val="18"/>
          <w:szCs w:val="18"/>
        </w:rPr>
        <w:t>Workspace</w:t>
      </w:r>
      <w:proofErr w:type="spellEnd"/>
      <w:r w:rsidR="00023208">
        <w:rPr>
          <w:rFonts w:ascii="Arial" w:hAnsi="Arial"/>
          <w:bCs/>
          <w:sz w:val="18"/>
          <w:szCs w:val="18"/>
        </w:rPr>
        <w:t>.</w:t>
      </w:r>
    </w:p>
    <w:p w14:paraId="45059D01" w14:textId="77777777" w:rsidR="00023208" w:rsidRDefault="00023208" w:rsidP="00023208">
      <w:pPr>
        <w:pStyle w:val="Seznam"/>
        <w:tabs>
          <w:tab w:val="left" w:pos="284"/>
        </w:tabs>
        <w:spacing w:before="80"/>
        <w:jc w:val="both"/>
        <w:rPr>
          <w:rFonts w:ascii="Arial" w:hAnsi="Arial"/>
          <w:bCs/>
          <w:sz w:val="18"/>
          <w:szCs w:val="18"/>
        </w:rPr>
      </w:pPr>
    </w:p>
    <w:p w14:paraId="07AF15A3" w14:textId="77777777" w:rsidR="00023208" w:rsidRDefault="00023208" w:rsidP="00023208">
      <w:pPr>
        <w:pStyle w:val="Seznam"/>
        <w:tabs>
          <w:tab w:val="left" w:pos="284"/>
        </w:tabs>
        <w:spacing w:before="80"/>
        <w:jc w:val="both"/>
        <w:rPr>
          <w:rFonts w:ascii="Arial" w:hAnsi="Arial"/>
          <w:bCs/>
          <w:sz w:val="18"/>
          <w:szCs w:val="18"/>
        </w:rPr>
      </w:pPr>
    </w:p>
    <w:p w14:paraId="6841A267" w14:textId="77777777" w:rsidR="00023208" w:rsidRDefault="00023208" w:rsidP="00023208">
      <w:pPr>
        <w:pStyle w:val="Seznam"/>
        <w:tabs>
          <w:tab w:val="left" w:pos="284"/>
        </w:tabs>
        <w:spacing w:before="80"/>
        <w:jc w:val="both"/>
        <w:rPr>
          <w:rFonts w:ascii="Arial" w:hAnsi="Arial"/>
          <w:bCs/>
          <w:sz w:val="18"/>
          <w:szCs w:val="18"/>
        </w:rPr>
      </w:pPr>
    </w:p>
    <w:p w14:paraId="05070CBA" w14:textId="77777777" w:rsidR="00023208" w:rsidRDefault="00023208" w:rsidP="00023208">
      <w:pPr>
        <w:pStyle w:val="Seznam"/>
        <w:tabs>
          <w:tab w:val="left" w:pos="284"/>
        </w:tabs>
        <w:spacing w:before="80"/>
        <w:jc w:val="both"/>
        <w:rPr>
          <w:rFonts w:ascii="Arial" w:hAnsi="Arial"/>
          <w:bCs/>
          <w:sz w:val="18"/>
          <w:szCs w:val="18"/>
        </w:rPr>
      </w:pPr>
    </w:p>
    <w:p w14:paraId="4990E68F" w14:textId="77777777" w:rsidR="00023208" w:rsidRDefault="00023208" w:rsidP="00023208">
      <w:pPr>
        <w:pStyle w:val="Seznam"/>
        <w:tabs>
          <w:tab w:val="left" w:pos="284"/>
        </w:tabs>
        <w:spacing w:before="80"/>
        <w:jc w:val="both"/>
        <w:rPr>
          <w:rFonts w:ascii="Arial" w:hAnsi="Arial"/>
          <w:bCs/>
          <w:sz w:val="18"/>
          <w:szCs w:val="18"/>
        </w:rPr>
      </w:pPr>
    </w:p>
    <w:p w14:paraId="21D89382" w14:textId="77777777" w:rsidR="00023208" w:rsidRPr="00C17081" w:rsidRDefault="00023208" w:rsidP="009D0EF0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39CF7916" w14:textId="30FBE8D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</w:t>
      </w:r>
      <w:r w:rsidR="006614BF"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</w:t>
      </w:r>
      <w:r w:rsidR="00FE622A">
        <w:rPr>
          <w:rFonts w:ascii="Arial" w:hAnsi="Arial" w:cs="Arial"/>
          <w:sz w:val="18"/>
          <w:szCs w:val="18"/>
        </w:rPr>
        <w:t> </w:t>
      </w:r>
      <w:r w:rsidR="006614BF">
        <w:rPr>
          <w:rFonts w:ascii="Arial" w:hAnsi="Arial" w:cs="Arial"/>
          <w:sz w:val="18"/>
          <w:szCs w:val="18"/>
        </w:rPr>
        <w:t>znění pozdějších předpisů.</w:t>
      </w:r>
    </w:p>
    <w:p w14:paraId="67651E0D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2D3EC97E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5CC4A869" w14:textId="258A822A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</w:t>
      </w:r>
      <w:proofErr w:type="gramStart"/>
      <w:r w:rsidRPr="00CF7AFB">
        <w:rPr>
          <w:rFonts w:ascii="Arial" w:hAnsi="Arial" w:cs="Arial"/>
          <w:sz w:val="18"/>
          <w:szCs w:val="18"/>
        </w:rPr>
        <w:t xml:space="preserve">dne: </w:t>
      </w:r>
      <w:r w:rsidR="00FE622A">
        <w:rPr>
          <w:rFonts w:ascii="Arial" w:hAnsi="Arial" w:cs="Arial"/>
          <w:sz w:val="18"/>
          <w:szCs w:val="18"/>
        </w:rPr>
        <w:t xml:space="preserve">  </w:t>
      </w:r>
      <w:proofErr w:type="gramEnd"/>
      <w:r w:rsidR="00FE622A">
        <w:rPr>
          <w:rFonts w:ascii="Arial" w:hAnsi="Arial" w:cs="Arial"/>
          <w:sz w:val="18"/>
          <w:szCs w:val="18"/>
        </w:rPr>
        <w:t xml:space="preserve">                                                                  V Praze, dne:</w:t>
      </w:r>
    </w:p>
    <w:p w14:paraId="7F7DA27A" w14:textId="77777777"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83F31C0" w14:textId="77777777" w:rsidR="00431BCA" w:rsidRDefault="00431BC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5D7B7D7" w14:textId="77777777" w:rsidR="00431BCA" w:rsidRPr="00CF7AFB" w:rsidRDefault="00431BC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918CCCF" w14:textId="77777777" w:rsidR="00431BCA" w:rsidRPr="00CF7AFB" w:rsidRDefault="00431BC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09D7552" w14:textId="4D22919D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="00FE622A">
        <w:rPr>
          <w:rFonts w:ascii="Arial" w:hAnsi="Arial" w:cs="Arial"/>
        </w:rPr>
        <w:t xml:space="preserve">        …...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0F9504A1" w14:textId="77777777" w:rsidR="00FE622A" w:rsidRDefault="005E5EDC" w:rsidP="00FE622A">
      <w:pPr>
        <w:tabs>
          <w:tab w:val="center" w:pos="1701"/>
          <w:tab w:val="left" w:pos="4820"/>
          <w:tab w:val="left" w:pos="5103"/>
          <w:tab w:val="left" w:pos="5245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</w:p>
    <w:p w14:paraId="39D2FD88" w14:textId="5743CEE0" w:rsidR="00FE622A" w:rsidRDefault="00FE622A" w:rsidP="00FE622A">
      <w:pPr>
        <w:tabs>
          <w:tab w:val="center" w:pos="1701"/>
          <w:tab w:val="left" w:pos="4820"/>
          <w:tab w:val="left" w:pos="5103"/>
          <w:tab w:val="left" w:pos="524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Ing. Pavla Řeháková,</w:t>
      </w:r>
      <w:r>
        <w:rPr>
          <w:rFonts w:ascii="Arial" w:hAnsi="Arial" w:cs="Arial"/>
          <w:b/>
          <w:sz w:val="18"/>
          <w:szCs w:val="18"/>
        </w:rPr>
        <w:tab/>
        <w:t xml:space="preserve">Jonáš Tichý, </w:t>
      </w:r>
    </w:p>
    <w:p w14:paraId="6E551CD3" w14:textId="22E996E7" w:rsidR="00FE622A" w:rsidRDefault="00FE622A" w:rsidP="00FE622A">
      <w:pPr>
        <w:tabs>
          <w:tab w:val="center" w:pos="1701"/>
          <w:tab w:val="left" w:pos="4820"/>
          <w:tab w:val="left" w:pos="524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jednatelka společnosti     </w:t>
      </w:r>
      <w:r>
        <w:rPr>
          <w:rFonts w:ascii="Arial" w:hAnsi="Arial" w:cs="Arial"/>
          <w:b/>
          <w:sz w:val="18"/>
          <w:szCs w:val="18"/>
        </w:rPr>
        <w:tab/>
        <w:t xml:space="preserve">ředitel Sekce informačních technologií                        </w:t>
      </w:r>
    </w:p>
    <w:p w14:paraId="7F3DDDEB" w14:textId="77777777" w:rsidR="00FE622A" w:rsidRDefault="00FE622A" w:rsidP="00FE622A">
      <w:pPr>
        <w:tabs>
          <w:tab w:val="center" w:pos="1701"/>
          <w:tab w:val="left" w:pos="4820"/>
          <w:tab w:val="left" w:pos="5245"/>
          <w:tab w:val="center" w:pos="7371"/>
        </w:tabs>
        <w:ind w:left="3" w:hanging="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ATLAS </w:t>
      </w:r>
      <w:proofErr w:type="spellStart"/>
      <w:r>
        <w:rPr>
          <w:rFonts w:ascii="Arial" w:hAnsi="Arial" w:cs="Arial"/>
          <w:b/>
          <w:sz w:val="18"/>
          <w:szCs w:val="18"/>
        </w:rPr>
        <w:t>consulting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spol. s. r. o.</w:t>
      </w:r>
      <w:r>
        <w:rPr>
          <w:rFonts w:ascii="Arial" w:hAnsi="Arial" w:cs="Arial"/>
          <w:b/>
          <w:sz w:val="18"/>
          <w:szCs w:val="18"/>
        </w:rPr>
        <w:tab/>
        <w:t>Institut plánování a rozvoje hlavního města Prahy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</w:t>
      </w:r>
    </w:p>
    <w:p w14:paraId="523FC35C" w14:textId="7781C18B" w:rsidR="00FE622A" w:rsidRDefault="00FE622A" w:rsidP="009D0EF0">
      <w:pPr>
        <w:tabs>
          <w:tab w:val="center" w:pos="1701"/>
          <w:tab w:val="left" w:pos="4820"/>
          <w:tab w:val="left" w:pos="5245"/>
          <w:tab w:val="center" w:pos="7371"/>
        </w:tabs>
        <w:ind w:left="3" w:hanging="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příspěvková organizace                              </w:t>
      </w:r>
    </w:p>
    <w:p w14:paraId="7336923C" w14:textId="77777777" w:rsidR="00FE622A" w:rsidRPr="00AD582B" w:rsidRDefault="00FE622A" w:rsidP="00FE622A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</w:p>
    <w:p w14:paraId="2E4283FD" w14:textId="5AB9F35D" w:rsidR="00604930" w:rsidRPr="001737E2" w:rsidRDefault="00604930" w:rsidP="00FE622A">
      <w:pPr>
        <w:tabs>
          <w:tab w:val="center" w:pos="1701"/>
          <w:tab w:val="center" w:pos="7371"/>
        </w:tabs>
        <w:rPr>
          <w:rFonts w:ascii="Arial" w:hAnsi="Arial" w:cs="Arial"/>
          <w:color w:val="333333"/>
          <w:sz w:val="16"/>
          <w:szCs w:val="16"/>
        </w:rPr>
      </w:pPr>
    </w:p>
    <w:sectPr w:rsidR="00604930" w:rsidRPr="001737E2" w:rsidSect="00431B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2" w:right="1418" w:bottom="85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F2736" w14:textId="77777777" w:rsidR="001545D2" w:rsidRDefault="001545D2">
      <w:r>
        <w:separator/>
      </w:r>
    </w:p>
  </w:endnote>
  <w:endnote w:type="continuationSeparator" w:id="0">
    <w:p w14:paraId="52D3660C" w14:textId="77777777" w:rsidR="001545D2" w:rsidRDefault="0015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C7D1" w14:textId="77777777" w:rsidR="00123C8E" w:rsidRDefault="00123C8E" w:rsidP="00123C8E">
    <w:pPr>
      <w:pStyle w:val="Zhlav"/>
    </w:pPr>
  </w:p>
  <w:p w14:paraId="7E4D4D1A" w14:textId="77777777" w:rsidR="00123C8E" w:rsidRDefault="00123C8E" w:rsidP="00123C8E"/>
  <w:p w14:paraId="7693D6C7" w14:textId="77777777" w:rsidR="00123C8E" w:rsidRDefault="00123C8E" w:rsidP="00123C8E">
    <w:pPr>
      <w:pStyle w:val="Zpat"/>
    </w:pPr>
  </w:p>
  <w:p w14:paraId="20A385B5" w14:textId="77777777" w:rsidR="00123C8E" w:rsidRDefault="00123C8E" w:rsidP="00123C8E"/>
  <w:p w14:paraId="3C4D3C82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D14EC1" wp14:editId="2EC702A1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D4F16A8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6PFfB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7A171333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5371E9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" w:name="__DdeLink__585_613964305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EB35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D020454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316CED93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182D4" wp14:editId="0544F22F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0EFFB35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C1891" w14:textId="77777777" w:rsidR="001545D2" w:rsidRDefault="001545D2">
      <w:r>
        <w:separator/>
      </w:r>
    </w:p>
  </w:footnote>
  <w:footnote w:type="continuationSeparator" w:id="0">
    <w:p w14:paraId="0E006EB4" w14:textId="77777777" w:rsidR="001545D2" w:rsidRDefault="0015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14703" w14:textId="77777777" w:rsidR="00783E76" w:rsidRDefault="00783E76">
    <w:pPr>
      <w:pStyle w:val="Zhlav"/>
    </w:pPr>
  </w:p>
  <w:p w14:paraId="6D5E2DA8" w14:textId="77777777" w:rsidR="00783E76" w:rsidRDefault="00783E76">
    <w:pPr>
      <w:pStyle w:val="Zhlav"/>
    </w:pPr>
  </w:p>
  <w:p w14:paraId="510A71B4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8A87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23BC9D07" wp14:editId="15E0D469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1990279212" name="Obrázek 1990279212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F425960"/>
    <w:multiLevelType w:val="multilevel"/>
    <w:tmpl w:val="20629F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17"/>
  </w:num>
  <w:num w:numId="4">
    <w:abstractNumId w:val="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29"/>
  </w:num>
  <w:num w:numId="10">
    <w:abstractNumId w:val="28"/>
  </w:num>
  <w:num w:numId="11">
    <w:abstractNumId w:val="15"/>
  </w:num>
  <w:num w:numId="12">
    <w:abstractNumId w:val="27"/>
  </w:num>
  <w:num w:numId="13">
    <w:abstractNumId w:val="21"/>
  </w:num>
  <w:num w:numId="14">
    <w:abstractNumId w:val="9"/>
  </w:num>
  <w:num w:numId="15">
    <w:abstractNumId w:val="30"/>
  </w:num>
  <w:num w:numId="16">
    <w:abstractNumId w:val="10"/>
  </w:num>
  <w:num w:numId="17">
    <w:abstractNumId w:val="5"/>
  </w:num>
  <w:num w:numId="18">
    <w:abstractNumId w:val="18"/>
  </w:num>
  <w:num w:numId="19">
    <w:abstractNumId w:val="25"/>
  </w:num>
  <w:num w:numId="20">
    <w:abstractNumId w:val="11"/>
  </w:num>
  <w:num w:numId="21">
    <w:abstractNumId w:val="2"/>
  </w:num>
  <w:num w:numId="22">
    <w:abstractNumId w:val="22"/>
  </w:num>
  <w:num w:numId="23">
    <w:abstractNumId w:val="23"/>
  </w:num>
  <w:num w:numId="24">
    <w:abstractNumId w:val="19"/>
  </w:num>
  <w:num w:numId="25">
    <w:abstractNumId w:val="3"/>
  </w:num>
  <w:num w:numId="26">
    <w:abstractNumId w:val="31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"/>
  </w:num>
  <w:num w:numId="30">
    <w:abstractNumId w:val="12"/>
  </w:num>
  <w:num w:numId="31">
    <w:abstractNumId w:val="13"/>
  </w:num>
  <w:num w:numId="32">
    <w:abstractNumId w:val="24"/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2BAA"/>
    <w:rsid w:val="00005102"/>
    <w:rsid w:val="0001469D"/>
    <w:rsid w:val="000149C9"/>
    <w:rsid w:val="000212AE"/>
    <w:rsid w:val="00022603"/>
    <w:rsid w:val="00023208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B1BAA"/>
    <w:rsid w:val="000C4FDC"/>
    <w:rsid w:val="000C674C"/>
    <w:rsid w:val="000D15D5"/>
    <w:rsid w:val="000E2654"/>
    <w:rsid w:val="000E3487"/>
    <w:rsid w:val="000E4B25"/>
    <w:rsid w:val="000F7D43"/>
    <w:rsid w:val="00121CEF"/>
    <w:rsid w:val="00123C8E"/>
    <w:rsid w:val="00132B9C"/>
    <w:rsid w:val="00136119"/>
    <w:rsid w:val="001545D2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C0F70"/>
    <w:rsid w:val="001D1731"/>
    <w:rsid w:val="001D174B"/>
    <w:rsid w:val="001D6BF4"/>
    <w:rsid w:val="001D77ED"/>
    <w:rsid w:val="001E07A6"/>
    <w:rsid w:val="001E2F00"/>
    <w:rsid w:val="001E6009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C29D8"/>
    <w:rsid w:val="002C5D65"/>
    <w:rsid w:val="002E1F60"/>
    <w:rsid w:val="002E2180"/>
    <w:rsid w:val="00301B95"/>
    <w:rsid w:val="00301CBF"/>
    <w:rsid w:val="00306F0D"/>
    <w:rsid w:val="00317923"/>
    <w:rsid w:val="003219D8"/>
    <w:rsid w:val="003250C8"/>
    <w:rsid w:val="003331B7"/>
    <w:rsid w:val="00335680"/>
    <w:rsid w:val="003367AD"/>
    <w:rsid w:val="00355927"/>
    <w:rsid w:val="00360C2A"/>
    <w:rsid w:val="003638C1"/>
    <w:rsid w:val="00363DD9"/>
    <w:rsid w:val="00365438"/>
    <w:rsid w:val="00367CF6"/>
    <w:rsid w:val="00381B04"/>
    <w:rsid w:val="00390345"/>
    <w:rsid w:val="00390B16"/>
    <w:rsid w:val="003920E2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41C6"/>
    <w:rsid w:val="00407956"/>
    <w:rsid w:val="0041377C"/>
    <w:rsid w:val="00426323"/>
    <w:rsid w:val="00431BCA"/>
    <w:rsid w:val="00436F1E"/>
    <w:rsid w:val="004423B9"/>
    <w:rsid w:val="00450F3A"/>
    <w:rsid w:val="004537E3"/>
    <w:rsid w:val="00455E59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D6A7B"/>
    <w:rsid w:val="004E168C"/>
    <w:rsid w:val="004E2B87"/>
    <w:rsid w:val="004E378B"/>
    <w:rsid w:val="004E66D2"/>
    <w:rsid w:val="004E70CB"/>
    <w:rsid w:val="004F089B"/>
    <w:rsid w:val="004F2F97"/>
    <w:rsid w:val="0050484C"/>
    <w:rsid w:val="00510FE8"/>
    <w:rsid w:val="00512BC3"/>
    <w:rsid w:val="005175AA"/>
    <w:rsid w:val="00517C7D"/>
    <w:rsid w:val="0052011E"/>
    <w:rsid w:val="00530060"/>
    <w:rsid w:val="00533036"/>
    <w:rsid w:val="005350C8"/>
    <w:rsid w:val="005371B8"/>
    <w:rsid w:val="005371E9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43AD"/>
    <w:rsid w:val="00596FE9"/>
    <w:rsid w:val="005972EC"/>
    <w:rsid w:val="005A6F1E"/>
    <w:rsid w:val="005B3BAC"/>
    <w:rsid w:val="005B5B81"/>
    <w:rsid w:val="005B6CF0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14BF"/>
    <w:rsid w:val="00662B89"/>
    <w:rsid w:val="00666306"/>
    <w:rsid w:val="00670385"/>
    <w:rsid w:val="0067303B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41781"/>
    <w:rsid w:val="00741960"/>
    <w:rsid w:val="00743234"/>
    <w:rsid w:val="00743A76"/>
    <w:rsid w:val="0075687A"/>
    <w:rsid w:val="00757D7F"/>
    <w:rsid w:val="00760310"/>
    <w:rsid w:val="00760801"/>
    <w:rsid w:val="007620AE"/>
    <w:rsid w:val="00762E4E"/>
    <w:rsid w:val="00775DAE"/>
    <w:rsid w:val="007763D1"/>
    <w:rsid w:val="0078249E"/>
    <w:rsid w:val="00783E76"/>
    <w:rsid w:val="007A57EB"/>
    <w:rsid w:val="007C01C5"/>
    <w:rsid w:val="007C4E83"/>
    <w:rsid w:val="007C52B3"/>
    <w:rsid w:val="007D116E"/>
    <w:rsid w:val="007D51D3"/>
    <w:rsid w:val="007D6A7E"/>
    <w:rsid w:val="007E06BD"/>
    <w:rsid w:val="007E0AD8"/>
    <w:rsid w:val="007E2D28"/>
    <w:rsid w:val="007E421C"/>
    <w:rsid w:val="007E59C2"/>
    <w:rsid w:val="008025DE"/>
    <w:rsid w:val="008256EA"/>
    <w:rsid w:val="00827339"/>
    <w:rsid w:val="00845036"/>
    <w:rsid w:val="008474D0"/>
    <w:rsid w:val="008671A1"/>
    <w:rsid w:val="0087136E"/>
    <w:rsid w:val="008773BD"/>
    <w:rsid w:val="008867A2"/>
    <w:rsid w:val="00896A83"/>
    <w:rsid w:val="00897E6C"/>
    <w:rsid w:val="008B3875"/>
    <w:rsid w:val="008B5625"/>
    <w:rsid w:val="008B701B"/>
    <w:rsid w:val="008C0B9F"/>
    <w:rsid w:val="008C2DE6"/>
    <w:rsid w:val="008C36EC"/>
    <w:rsid w:val="008D35FC"/>
    <w:rsid w:val="008D364E"/>
    <w:rsid w:val="008E24C5"/>
    <w:rsid w:val="008E5207"/>
    <w:rsid w:val="008E6496"/>
    <w:rsid w:val="008E66CF"/>
    <w:rsid w:val="008F6A26"/>
    <w:rsid w:val="0090150A"/>
    <w:rsid w:val="00910EA7"/>
    <w:rsid w:val="00911929"/>
    <w:rsid w:val="0091596B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87139"/>
    <w:rsid w:val="00990176"/>
    <w:rsid w:val="00995545"/>
    <w:rsid w:val="009A0D82"/>
    <w:rsid w:val="009B366F"/>
    <w:rsid w:val="009B3B1D"/>
    <w:rsid w:val="009B6B57"/>
    <w:rsid w:val="009C50BD"/>
    <w:rsid w:val="009D0EF0"/>
    <w:rsid w:val="009D2A0B"/>
    <w:rsid w:val="009D3FB9"/>
    <w:rsid w:val="00A0777D"/>
    <w:rsid w:val="00A12543"/>
    <w:rsid w:val="00A13788"/>
    <w:rsid w:val="00A14003"/>
    <w:rsid w:val="00A24D66"/>
    <w:rsid w:val="00A4004F"/>
    <w:rsid w:val="00A61107"/>
    <w:rsid w:val="00A76D5B"/>
    <w:rsid w:val="00A83C11"/>
    <w:rsid w:val="00A87FA3"/>
    <w:rsid w:val="00A92789"/>
    <w:rsid w:val="00A92EC8"/>
    <w:rsid w:val="00A95658"/>
    <w:rsid w:val="00AA3012"/>
    <w:rsid w:val="00AA3BF3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18D8"/>
    <w:rsid w:val="00B15A15"/>
    <w:rsid w:val="00B21549"/>
    <w:rsid w:val="00B25ED8"/>
    <w:rsid w:val="00B34828"/>
    <w:rsid w:val="00B35FE6"/>
    <w:rsid w:val="00B4540B"/>
    <w:rsid w:val="00B550E4"/>
    <w:rsid w:val="00B55DA2"/>
    <w:rsid w:val="00B6498D"/>
    <w:rsid w:val="00B65125"/>
    <w:rsid w:val="00B71E32"/>
    <w:rsid w:val="00B724EB"/>
    <w:rsid w:val="00B74DEE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4F42"/>
    <w:rsid w:val="00BF4BA1"/>
    <w:rsid w:val="00C00DDD"/>
    <w:rsid w:val="00C01739"/>
    <w:rsid w:val="00C018CE"/>
    <w:rsid w:val="00C02816"/>
    <w:rsid w:val="00C02915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43369"/>
    <w:rsid w:val="00C47E2A"/>
    <w:rsid w:val="00C52581"/>
    <w:rsid w:val="00C54D20"/>
    <w:rsid w:val="00C576F4"/>
    <w:rsid w:val="00C82541"/>
    <w:rsid w:val="00C85FBB"/>
    <w:rsid w:val="00C926E7"/>
    <w:rsid w:val="00CA2270"/>
    <w:rsid w:val="00CB4D03"/>
    <w:rsid w:val="00CC42C1"/>
    <w:rsid w:val="00CC4E30"/>
    <w:rsid w:val="00CC58F5"/>
    <w:rsid w:val="00CD4A4E"/>
    <w:rsid w:val="00CE7B2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52F06"/>
    <w:rsid w:val="00D62F96"/>
    <w:rsid w:val="00D72F35"/>
    <w:rsid w:val="00D82525"/>
    <w:rsid w:val="00D86404"/>
    <w:rsid w:val="00D914E3"/>
    <w:rsid w:val="00D96A77"/>
    <w:rsid w:val="00D97468"/>
    <w:rsid w:val="00DA2B35"/>
    <w:rsid w:val="00DA7D04"/>
    <w:rsid w:val="00DB324D"/>
    <w:rsid w:val="00DC0150"/>
    <w:rsid w:val="00DC39C9"/>
    <w:rsid w:val="00DC795D"/>
    <w:rsid w:val="00DD2E2E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35CE"/>
    <w:rsid w:val="00E26723"/>
    <w:rsid w:val="00E36376"/>
    <w:rsid w:val="00E44826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20A6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0063E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574C"/>
    <w:rsid w:val="00F970D0"/>
    <w:rsid w:val="00FA40AC"/>
    <w:rsid w:val="00FA686E"/>
    <w:rsid w:val="00FA7C58"/>
    <w:rsid w:val="00FC14A3"/>
    <w:rsid w:val="00FD736A"/>
    <w:rsid w:val="00FE4168"/>
    <w:rsid w:val="00FE4AAF"/>
    <w:rsid w:val="00FE558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5C2EBC"/>
  <w15:docId w15:val="{062E3304-8772-4C37-B803-B7D8422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paragraph" w:styleId="Odstavecseseznamem">
    <w:name w:val="List Paragraph"/>
    <w:basedOn w:val="Normln"/>
    <w:uiPriority w:val="34"/>
    <w:qFormat/>
    <w:rsid w:val="00B74DE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31BC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43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creator>Petr Mršťák</dc:creator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Šťastná Jitka (SPR)</cp:lastModifiedBy>
  <cp:revision>7</cp:revision>
  <cp:lastPrinted>2017-10-17T09:35:00Z</cp:lastPrinted>
  <dcterms:created xsi:type="dcterms:W3CDTF">2024-06-03T11:42:00Z</dcterms:created>
  <dcterms:modified xsi:type="dcterms:W3CDTF">2024-06-06T08:11:00Z</dcterms:modified>
</cp:coreProperties>
</file>