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9BF65" w14:textId="27CC7C1D" w:rsidR="00C06768" w:rsidRPr="00CD00E0" w:rsidRDefault="00C06768" w:rsidP="00312988">
      <w:pPr>
        <w:spacing w:after="120"/>
        <w:ind w:right="-284"/>
        <w:jc w:val="center"/>
        <w:rPr>
          <w:b/>
        </w:rPr>
      </w:pPr>
      <w:r w:rsidRPr="00CD00E0">
        <w:rPr>
          <w:b/>
        </w:rPr>
        <w:t>DOHODA O SPOLUPRÁCI</w:t>
      </w:r>
    </w:p>
    <w:p w14:paraId="01B06B26" w14:textId="77777777" w:rsidR="00C06768" w:rsidRPr="00CD00E0" w:rsidRDefault="00C06768" w:rsidP="00312988">
      <w:pPr>
        <w:spacing w:after="120"/>
        <w:ind w:right="-284"/>
        <w:jc w:val="center"/>
      </w:pPr>
    </w:p>
    <w:p w14:paraId="458DFFB0" w14:textId="6A3D65B7" w:rsidR="00C06768" w:rsidRPr="00CD00E0" w:rsidRDefault="00C06768" w:rsidP="00312988">
      <w:pPr>
        <w:spacing w:after="120"/>
        <w:ind w:right="-284"/>
      </w:pPr>
      <w:r w:rsidRPr="00CD00E0">
        <w:rPr>
          <w:b/>
        </w:rPr>
        <w:t>ČESKÁ AGENTURA PRO STANDARDIZACI, státní příspěvková organizace</w:t>
      </w:r>
      <w:r w:rsidRPr="00CD00E0">
        <w:t xml:space="preserve"> </w:t>
      </w:r>
    </w:p>
    <w:p w14:paraId="7396E338" w14:textId="77777777" w:rsidR="00C06768" w:rsidRPr="00CD00E0" w:rsidRDefault="00C06768" w:rsidP="00312988">
      <w:pPr>
        <w:spacing w:after="120"/>
        <w:ind w:right="-284"/>
        <w:rPr>
          <w:b/>
        </w:rPr>
      </w:pPr>
      <w:r w:rsidRPr="00CD00E0">
        <w:rPr>
          <w:noProof/>
        </w:rPr>
        <w:drawing>
          <wp:inline distT="0" distB="0" distL="0" distR="0" wp14:anchorId="402E9A9A" wp14:editId="11D48218">
            <wp:extent cx="1841459" cy="477078"/>
            <wp:effectExtent l="0" t="0" r="0" b="0"/>
            <wp:docPr id="3" name="Obrázek 2" descr="Dom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7923" cy="496888"/>
                    </a:xfrm>
                    <a:prstGeom prst="rect">
                      <a:avLst/>
                    </a:prstGeom>
                    <a:noFill/>
                    <a:ln>
                      <a:noFill/>
                    </a:ln>
                  </pic:spPr>
                </pic:pic>
              </a:graphicData>
            </a:graphic>
          </wp:inline>
        </w:drawing>
      </w:r>
    </w:p>
    <w:p w14:paraId="7E97C4D7" w14:textId="77777777" w:rsidR="00C06768" w:rsidRPr="00CD00E0" w:rsidRDefault="00C06768" w:rsidP="00312988">
      <w:pPr>
        <w:ind w:right="-284"/>
      </w:pPr>
      <w:r w:rsidRPr="00CD00E0">
        <w:t>se sídlem Biskupský dvůr 1148/5, 110 00 Praha 1</w:t>
      </w:r>
    </w:p>
    <w:p w14:paraId="1F6762B8" w14:textId="77777777" w:rsidR="00C06768" w:rsidRPr="00CD00E0" w:rsidRDefault="00C06768" w:rsidP="00312988">
      <w:pPr>
        <w:ind w:right="-284"/>
      </w:pPr>
      <w:r w:rsidRPr="00CD00E0">
        <w:t>IČO: 06578705</w:t>
      </w:r>
    </w:p>
    <w:p w14:paraId="5C42F500" w14:textId="77777777" w:rsidR="00C06768" w:rsidRPr="00CD00E0" w:rsidRDefault="00C06768" w:rsidP="00312988">
      <w:pPr>
        <w:ind w:right="-284"/>
      </w:pPr>
      <w:r w:rsidRPr="00CD00E0">
        <w:t xml:space="preserve">zastoupený </w:t>
      </w:r>
      <w:r w:rsidRPr="00CD00E0">
        <w:rPr>
          <w:b/>
        </w:rPr>
        <w:t>Mgr. Zdeňkem Veselým</w:t>
      </w:r>
      <w:r w:rsidRPr="00CD00E0">
        <w:t>, generálním ředitelem</w:t>
      </w:r>
    </w:p>
    <w:p w14:paraId="0FBDD7C5" w14:textId="5564B7C4" w:rsidR="00C06768" w:rsidRPr="00CD00E0" w:rsidRDefault="00C06768" w:rsidP="00312988">
      <w:pPr>
        <w:spacing w:after="120"/>
        <w:ind w:right="-284"/>
      </w:pPr>
      <w:r w:rsidRPr="00CD00E0">
        <w:t>(dále jen jako „</w:t>
      </w:r>
      <w:r w:rsidR="003461FD" w:rsidRPr="00CD00E0">
        <w:t>Agentura</w:t>
      </w:r>
      <w:r w:rsidRPr="00CD00E0">
        <w:t>“)</w:t>
      </w:r>
    </w:p>
    <w:p w14:paraId="2C98252B" w14:textId="77777777" w:rsidR="00C06768" w:rsidRPr="00CD00E0" w:rsidRDefault="00C06768" w:rsidP="00312988">
      <w:pPr>
        <w:spacing w:after="120"/>
        <w:ind w:right="-284"/>
      </w:pPr>
      <w:r w:rsidRPr="00CD00E0">
        <w:t>a</w:t>
      </w:r>
    </w:p>
    <w:p w14:paraId="3BFE0699" w14:textId="46426061" w:rsidR="00C06768" w:rsidRPr="00E13D57" w:rsidRDefault="00E13D57" w:rsidP="00312988">
      <w:pPr>
        <w:spacing w:after="120"/>
        <w:ind w:right="-284"/>
        <w:rPr>
          <w:b/>
        </w:rPr>
      </w:pPr>
      <w:r w:rsidRPr="00E13D57">
        <w:rPr>
          <w:b/>
        </w:rPr>
        <w:t>KABINET PRO STANDARDIZACI</w:t>
      </w:r>
      <w:r>
        <w:rPr>
          <w:b/>
        </w:rPr>
        <w:t>, o. p. s.</w:t>
      </w:r>
    </w:p>
    <w:p w14:paraId="1B4FF6FF" w14:textId="375A793E" w:rsidR="00C06768" w:rsidRPr="00CD00E0" w:rsidRDefault="00E13D57" w:rsidP="00312988">
      <w:pPr>
        <w:spacing w:after="120"/>
        <w:ind w:right="-284"/>
        <w:rPr>
          <w:b/>
        </w:rPr>
      </w:pPr>
      <w:r w:rsidRPr="00850C4D">
        <w:rPr>
          <w:rFonts w:asciiTheme="minorHAnsi" w:hAnsiTheme="minorHAnsi" w:cstheme="minorHAnsi"/>
          <w:noProof/>
          <w:color w:val="17365D" w:themeColor="text2" w:themeShade="BF"/>
          <w:sz w:val="22"/>
          <w:szCs w:val="22"/>
        </w:rPr>
        <w:drawing>
          <wp:inline distT="0" distB="0" distL="0" distR="0" wp14:anchorId="24EA13D2" wp14:editId="43072007">
            <wp:extent cx="1678474" cy="506272"/>
            <wp:effectExtent l="0" t="0" r="0" b="8255"/>
            <wp:docPr id="8" name="Obrázek 5" descr="F:\_archive_ag_du_new_recon\_SCS_Realizace\_Formul_Loga_etc\LogaVizit_Kabinet\Logotyp KaStan 2017\Office &amp; web\Kabinet &amp; top normy\Kabinet_top_norm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_archive_ag_du_new_recon\_SCS_Realizace\_Formul_Loga_etc\LogaVizit_Kabinet\Logotyp KaStan 2017\Office &amp; web\Kabinet &amp; top normy\Kabinet_top_normy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770" cy="517220"/>
                    </a:xfrm>
                    <a:prstGeom prst="rect">
                      <a:avLst/>
                    </a:prstGeom>
                    <a:noFill/>
                    <a:ln>
                      <a:noFill/>
                    </a:ln>
                  </pic:spPr>
                </pic:pic>
              </a:graphicData>
            </a:graphic>
          </wp:inline>
        </w:drawing>
      </w:r>
    </w:p>
    <w:p w14:paraId="65C35F30" w14:textId="77777777" w:rsidR="00C06768" w:rsidRPr="00CD00E0" w:rsidRDefault="00C06768" w:rsidP="00312988">
      <w:pPr>
        <w:ind w:right="-284"/>
      </w:pPr>
      <w:r w:rsidRPr="00CD00E0">
        <w:t>se sídlem Pod Altánem 99/103, Strašnice, 100 00 Praha 10</w:t>
      </w:r>
    </w:p>
    <w:p w14:paraId="1327AA61" w14:textId="1F7D7780" w:rsidR="00C06768" w:rsidRPr="00CD00E0" w:rsidRDefault="00C06768" w:rsidP="00312988">
      <w:pPr>
        <w:ind w:right="-284"/>
      </w:pPr>
      <w:r w:rsidRPr="00CD00E0">
        <w:t xml:space="preserve">IČO: </w:t>
      </w:r>
      <w:r w:rsidR="00E13D57" w:rsidRPr="00E13D57">
        <w:t>28984072</w:t>
      </w:r>
    </w:p>
    <w:p w14:paraId="73BFFAF7" w14:textId="6254BCBE" w:rsidR="00C06768" w:rsidRPr="00CD00E0" w:rsidRDefault="00C06768" w:rsidP="00312988">
      <w:pPr>
        <w:ind w:right="-284"/>
      </w:pPr>
      <w:r w:rsidRPr="00CD00E0">
        <w:t xml:space="preserve">zastoupený </w:t>
      </w:r>
      <w:r w:rsidR="00E13D57">
        <w:rPr>
          <w:b/>
        </w:rPr>
        <w:t>Ing. Liborem Dupalem</w:t>
      </w:r>
      <w:r w:rsidRPr="00CD00E0">
        <w:t xml:space="preserve">, ředitelem </w:t>
      </w:r>
      <w:r w:rsidR="00E13D57">
        <w:t>společnosti</w:t>
      </w:r>
    </w:p>
    <w:p w14:paraId="270BCA9F" w14:textId="6D30C6D4" w:rsidR="00C06768" w:rsidRPr="00CD00E0" w:rsidRDefault="00C06768" w:rsidP="00312988">
      <w:pPr>
        <w:spacing w:after="120"/>
        <w:ind w:right="-284"/>
      </w:pPr>
      <w:r w:rsidRPr="00CD00E0">
        <w:t>(dále jen jako „</w:t>
      </w:r>
      <w:proofErr w:type="spellStart"/>
      <w:r w:rsidR="00E13D57" w:rsidRPr="00E13D57">
        <w:t>KaStan</w:t>
      </w:r>
      <w:proofErr w:type="spellEnd"/>
      <w:r w:rsidR="00E13D57">
        <w:t>“)</w:t>
      </w:r>
    </w:p>
    <w:p w14:paraId="77D98308" w14:textId="77777777" w:rsidR="00C06768" w:rsidRPr="00CD00E0" w:rsidRDefault="00C06768" w:rsidP="00312988">
      <w:pPr>
        <w:spacing w:after="120"/>
        <w:ind w:right="-284"/>
      </w:pPr>
      <w:r w:rsidRPr="00CD00E0">
        <w:t>společně dále i jen jako „strany“</w:t>
      </w:r>
    </w:p>
    <w:p w14:paraId="7892172C" w14:textId="77777777" w:rsidR="00C06768" w:rsidRPr="00CD00E0" w:rsidRDefault="00C06768" w:rsidP="00312988">
      <w:pPr>
        <w:spacing w:after="120"/>
        <w:ind w:right="-284"/>
      </w:pPr>
      <w:r w:rsidRPr="00CD00E0">
        <w:t>uzavřely níže uvedeného dne tuto dohodu o spolupráci:</w:t>
      </w:r>
    </w:p>
    <w:p w14:paraId="178FF058" w14:textId="77777777" w:rsidR="00C06768" w:rsidRPr="00CD00E0" w:rsidRDefault="00C06768" w:rsidP="00312988">
      <w:pPr>
        <w:spacing w:after="120"/>
        <w:ind w:right="-284"/>
      </w:pPr>
    </w:p>
    <w:p w14:paraId="4D1E8111" w14:textId="77777777" w:rsidR="00C06768" w:rsidRPr="00CD00E0" w:rsidRDefault="00C06768" w:rsidP="00312988">
      <w:pPr>
        <w:spacing w:after="120"/>
        <w:ind w:right="-284"/>
        <w:jc w:val="center"/>
        <w:rPr>
          <w:b/>
        </w:rPr>
      </w:pPr>
      <w:r w:rsidRPr="00CD00E0">
        <w:rPr>
          <w:b/>
        </w:rPr>
        <w:t>článek I</w:t>
      </w:r>
    </w:p>
    <w:p w14:paraId="264A415E" w14:textId="77777777" w:rsidR="00C06768" w:rsidRPr="00CD00E0" w:rsidRDefault="00C06768" w:rsidP="00312988">
      <w:pPr>
        <w:spacing w:after="120"/>
        <w:ind w:right="-284"/>
        <w:jc w:val="center"/>
        <w:rPr>
          <w:b/>
        </w:rPr>
      </w:pPr>
      <w:r w:rsidRPr="00CD00E0">
        <w:rPr>
          <w:b/>
        </w:rPr>
        <w:t>Účel dohody</w:t>
      </w:r>
    </w:p>
    <w:p w14:paraId="09BA84F9" w14:textId="75A4890B" w:rsidR="00C06768" w:rsidRPr="00CD00E0" w:rsidRDefault="00C06768" w:rsidP="00312988">
      <w:pPr>
        <w:spacing w:after="120"/>
        <w:ind w:right="-284"/>
        <w:jc w:val="both"/>
      </w:pPr>
      <w:r w:rsidRPr="00CD00E0">
        <w:t>Účelem této dohody je zabezpečování a rozvoj dosažené úrovně spolupráce mezi stranami v rozsahu jejich působnosti při ochraně oprávněných zájmů podle § 6 zákona č. č. 22/1997 Sb., o technických požadavcích na výrobky, v platném znění, stejně jako při zajišťování požadavků a naplňování povinností vyplývajících z přímo použitelných předpisů Evropské unie, mezinárodních smluv, kterými je Česká republika vázána, a také z členství v mezinárodních a evropských normalizačních organizacíc</w:t>
      </w:r>
      <w:r w:rsidR="003461FD" w:rsidRPr="00CD00E0">
        <w:t xml:space="preserve">h v oblasti </w:t>
      </w:r>
      <w:r w:rsidRPr="00CD00E0">
        <w:t xml:space="preserve">zapojování spotřebitelů jako slabší a zúčastněné strany do procesů a produktů standardizace. </w:t>
      </w:r>
    </w:p>
    <w:p w14:paraId="203EEB84" w14:textId="77777777" w:rsidR="00E13D57" w:rsidRPr="00CD00E0" w:rsidRDefault="00E13D57" w:rsidP="00312988">
      <w:pPr>
        <w:spacing w:after="120"/>
        <w:ind w:right="-284"/>
        <w:jc w:val="center"/>
        <w:rPr>
          <w:b/>
        </w:rPr>
      </w:pPr>
    </w:p>
    <w:p w14:paraId="3DB8C638" w14:textId="4B42E6A8" w:rsidR="00C06768" w:rsidRPr="00CD00E0" w:rsidRDefault="00C06768" w:rsidP="00312988">
      <w:pPr>
        <w:spacing w:after="120"/>
        <w:ind w:right="-284"/>
        <w:jc w:val="center"/>
        <w:rPr>
          <w:b/>
        </w:rPr>
      </w:pPr>
      <w:r w:rsidRPr="00CD00E0">
        <w:rPr>
          <w:b/>
        </w:rPr>
        <w:t>článek II</w:t>
      </w:r>
    </w:p>
    <w:p w14:paraId="74991ED8" w14:textId="77777777" w:rsidR="00C06768" w:rsidRPr="00CD00E0" w:rsidRDefault="00C06768" w:rsidP="00312988">
      <w:pPr>
        <w:pStyle w:val="Nadpis1"/>
        <w:spacing w:after="120"/>
        <w:ind w:right="-284"/>
        <w:jc w:val="center"/>
      </w:pPr>
      <w:r w:rsidRPr="00CD00E0">
        <w:t>Východiska spolupráce</w:t>
      </w:r>
    </w:p>
    <w:p w14:paraId="5F01FB91" w14:textId="31317DCA" w:rsidR="003461FD" w:rsidRPr="00CD00E0" w:rsidRDefault="003461FD" w:rsidP="00312988">
      <w:pPr>
        <w:pStyle w:val="Odstavecseseznamem"/>
        <w:numPr>
          <w:ilvl w:val="0"/>
          <w:numId w:val="3"/>
        </w:numPr>
        <w:spacing w:after="120"/>
        <w:ind w:left="426" w:right="-284" w:hanging="426"/>
        <w:jc w:val="both"/>
      </w:pPr>
      <w:r w:rsidRPr="00CD00E0">
        <w:t xml:space="preserve">Agentura je státní příspěvkovou organizací zřízenou Úřadem pro technickou normalizaci, metrologii a státní zkušebnictví (dále jen </w:t>
      </w:r>
      <w:r w:rsidR="00E4411C" w:rsidRPr="00CD00E0">
        <w:t>„</w:t>
      </w:r>
      <w:r w:rsidRPr="00CD00E0">
        <w:t>Úřad</w:t>
      </w:r>
      <w:r w:rsidR="00E4411C" w:rsidRPr="00CD00E0">
        <w:t>“</w:t>
      </w:r>
      <w:r w:rsidRPr="00CD00E0">
        <w:t>) na základě ustanovení § 5 odst. 2 zákona č. 22/1997 Sb., o technických požadavcích na výrobky a o změně a doplnění některých zákonů, ve znění pozdějších předpisů.</w:t>
      </w:r>
    </w:p>
    <w:p w14:paraId="06090332" w14:textId="430A17E9" w:rsidR="00E13D57" w:rsidRDefault="00E13D57" w:rsidP="00312988">
      <w:pPr>
        <w:pStyle w:val="Odstavecseseznamem"/>
        <w:numPr>
          <w:ilvl w:val="0"/>
          <w:numId w:val="3"/>
        </w:numPr>
        <w:spacing w:after="120"/>
        <w:ind w:left="426" w:right="-284" w:hanging="426"/>
        <w:jc w:val="both"/>
      </w:pPr>
      <w:proofErr w:type="spellStart"/>
      <w:r w:rsidRPr="00E13D57">
        <w:t>KaStan</w:t>
      </w:r>
      <w:proofErr w:type="spellEnd"/>
      <w:r w:rsidRPr="00E13D57">
        <w:t xml:space="preserve"> je nezávislou obecně prospěšnou společností založenou Sdružením českých spotřebitelů (SČS). Cílem </w:t>
      </w:r>
      <w:r w:rsidR="006A3AE0">
        <w:t xml:space="preserve">společnosti </w:t>
      </w:r>
      <w:r w:rsidRPr="00E13D57">
        <w:t>je zvyšování bezpečnosti a kvality výrobků a služeb vytvářením a podporou funkce nástrojů zajišťujících účinné zapojení spotřebitelů do standardizačních procesů (technická normalizace, certifikace a posuzování shody, akreditace, dozor nad trhem), včetně uplatňování technických předpisů a norem ve prospěch spotřebitelů a korektního trhu</w:t>
      </w:r>
      <w:r>
        <w:t>.</w:t>
      </w:r>
    </w:p>
    <w:p w14:paraId="5B050DD3" w14:textId="2C8DFE45" w:rsidR="00E13D57" w:rsidRDefault="00E13D57" w:rsidP="00312988">
      <w:pPr>
        <w:pStyle w:val="Odstavecseseznamem"/>
        <w:numPr>
          <w:ilvl w:val="0"/>
          <w:numId w:val="3"/>
        </w:numPr>
        <w:spacing w:after="120"/>
        <w:ind w:left="426" w:right="-284" w:hanging="426"/>
        <w:jc w:val="both"/>
      </w:pPr>
      <w:proofErr w:type="spellStart"/>
      <w:r>
        <w:lastRenderedPageBreak/>
        <w:t>KaStan</w:t>
      </w:r>
      <w:proofErr w:type="spellEnd"/>
      <w:r>
        <w:t xml:space="preserve"> </w:t>
      </w:r>
      <w:r w:rsidR="0013126A">
        <w:t xml:space="preserve">v přímých vztazích anebo prostřednictvím SČS </w:t>
      </w:r>
      <w:r>
        <w:t xml:space="preserve">mj. </w:t>
      </w:r>
    </w:p>
    <w:p w14:paraId="5BB28A63" w14:textId="77777777" w:rsidR="00C06768" w:rsidRPr="00CD00E0" w:rsidRDefault="00C06768" w:rsidP="00312988">
      <w:pPr>
        <w:pStyle w:val="Odstavecseseznamem"/>
        <w:numPr>
          <w:ilvl w:val="0"/>
          <w:numId w:val="8"/>
        </w:numPr>
        <w:spacing w:after="120"/>
        <w:ind w:left="851" w:right="-284" w:hanging="425"/>
        <w:jc w:val="both"/>
      </w:pPr>
      <w:r w:rsidRPr="00CD00E0">
        <w:t>na základě dohody s Národní radou osob se zdravotním postižením ČR (NRZP ČR) v oblasti technické normalizace a dalších oblastech standardizace současně zastupuje a zohledňuje i zájmy osob se zdravotním postižením v ČR,</w:t>
      </w:r>
    </w:p>
    <w:p w14:paraId="6B73DB2B" w14:textId="77777777" w:rsidR="00C06768" w:rsidRPr="00CD00E0" w:rsidRDefault="00C06768" w:rsidP="00312988">
      <w:pPr>
        <w:pStyle w:val="Odstavecseseznamem"/>
        <w:numPr>
          <w:ilvl w:val="0"/>
          <w:numId w:val="8"/>
        </w:numPr>
        <w:spacing w:after="120"/>
        <w:ind w:left="851" w:right="-284" w:hanging="425"/>
        <w:jc w:val="both"/>
      </w:pPr>
      <w:r w:rsidRPr="00CD00E0">
        <w:t>jako členská organizace v zastřešující asociaci na evropské úrovni ANEC hájí a podporuje zájmy spotřebitelů při tvorbě a uplatňování technických norem,</w:t>
      </w:r>
    </w:p>
    <w:p w14:paraId="1CBD1207" w14:textId="374CBEE0" w:rsidR="00C06768" w:rsidRPr="00CD00E0" w:rsidRDefault="00DA6AF5" w:rsidP="00312988">
      <w:pPr>
        <w:pStyle w:val="Odstavecseseznamem"/>
        <w:numPr>
          <w:ilvl w:val="0"/>
          <w:numId w:val="8"/>
        </w:numPr>
        <w:spacing w:after="120"/>
        <w:ind w:left="851" w:right="-284" w:hanging="425"/>
        <w:jc w:val="both"/>
      </w:pPr>
      <w:r w:rsidRPr="00CD00E0">
        <w:t>sml</w:t>
      </w:r>
      <w:r w:rsidR="00E10BEB" w:rsidRPr="00CD00E0">
        <w:t xml:space="preserve">uvně </w:t>
      </w:r>
      <w:r w:rsidR="00C06768" w:rsidRPr="00CD00E0">
        <w:t xml:space="preserve">zastupuje na mezinárodní úrovni v pracovních skupinách ISO COPOLCO i národní normalizační orgán. </w:t>
      </w:r>
    </w:p>
    <w:p w14:paraId="1C694DD8" w14:textId="3A3E9CA0" w:rsidR="00C06768" w:rsidRPr="00CD00E0" w:rsidRDefault="00175140" w:rsidP="00312988">
      <w:pPr>
        <w:pStyle w:val="Odstavecseseznamem"/>
        <w:numPr>
          <w:ilvl w:val="0"/>
          <w:numId w:val="3"/>
        </w:numPr>
        <w:spacing w:after="120"/>
        <w:ind w:left="426" w:right="-284" w:hanging="426"/>
        <w:jc w:val="both"/>
      </w:pPr>
      <w:r w:rsidRPr="00CD00E0">
        <w:t>S</w:t>
      </w:r>
      <w:r w:rsidR="00C06768" w:rsidRPr="00CD00E0">
        <w:t>trany shodně podporují rozvoj standardizace, funkčnost a efektivitu procesů standardizace a využívání norem, a to zejména s ohledem na pozitivní dopad, který standardizace má pro posilování hospodářské soutěže a snižování výrobních a prodejních nákladů na straně podniků, což prospívá hospodářství i spotřebitelům a zvyšuje kvalitu a bezpečnost výrobků a služeb a tím i hodnotu standardizace pro spotřebitele.</w:t>
      </w:r>
    </w:p>
    <w:p w14:paraId="6CAEF34B" w14:textId="77777777" w:rsidR="00175140" w:rsidRPr="00CD00E0" w:rsidRDefault="00175140" w:rsidP="00312988">
      <w:pPr>
        <w:pStyle w:val="Odstavecseseznamem"/>
        <w:numPr>
          <w:ilvl w:val="0"/>
          <w:numId w:val="3"/>
        </w:numPr>
        <w:spacing w:after="120"/>
        <w:ind w:left="426" w:right="-284" w:hanging="426"/>
        <w:jc w:val="both"/>
      </w:pPr>
      <w:r w:rsidRPr="00CD00E0">
        <w:t xml:space="preserve">Výbor pro spotřebitelské politiky (COPOLCO) v ISO je důležitou součástí činnosti této mezinárodní normalizační organizace, a tuto činnost významně ovlivňuje. V rámci ISO COPOCO jsou řešena mnohá témata – např. výrobky pro děti, hračky, kosmetika (mikrobiologické požadavky), nanotechnologie, služby (turistický ruch), fakturování/vyúčtování obecně prospěšných služeb (dodávky vody, plynu elektřiny), stahování výrobků z trhu, ochrana osobních dat, grafické symboly a značky, zdravotní informace, požární bezpečnost, interoperabilita výrobků. Řešeny jsou i otázky sdílené ekonomiky a další aktuální témata. </w:t>
      </w:r>
    </w:p>
    <w:p w14:paraId="0EB862A9" w14:textId="6D0CD416" w:rsidR="00175140" w:rsidRPr="00CD00E0" w:rsidRDefault="00175140" w:rsidP="00312988">
      <w:pPr>
        <w:pStyle w:val="Odstavecseseznamem"/>
        <w:numPr>
          <w:ilvl w:val="0"/>
          <w:numId w:val="3"/>
        </w:numPr>
        <w:spacing w:after="120"/>
        <w:ind w:left="426" w:right="-284" w:hanging="426"/>
        <w:jc w:val="both"/>
      </w:pPr>
      <w:r w:rsidRPr="00CD00E0">
        <w:t xml:space="preserve">Zapojení spotřebitelů do normalizace je součástí politik EU. Řešení úkolu tedy napomáhá v souladu s evropskými politikami a v souladu s principy ISO prakticky podpořit zapojení spotřebitelů do konkrétních témat technické normalizace. V rámci úkolu se má navázat na efektivní koordinaci spotřebitelů, podporovanou pravidelně v minulosti, ale s cílem rozšířit praktickou spolupráci spotřebitelů a MSP. </w:t>
      </w:r>
    </w:p>
    <w:p w14:paraId="52AD9BC6" w14:textId="4C7F7971" w:rsidR="00175140" w:rsidRPr="00CD00E0" w:rsidRDefault="00175140" w:rsidP="00312988">
      <w:pPr>
        <w:pStyle w:val="Odstavecseseznamem"/>
        <w:numPr>
          <w:ilvl w:val="0"/>
          <w:numId w:val="3"/>
        </w:numPr>
        <w:spacing w:after="120"/>
        <w:ind w:left="426" w:right="-284" w:hanging="426"/>
        <w:jc w:val="both"/>
      </w:pPr>
      <w:r w:rsidRPr="00CD00E0">
        <w:t xml:space="preserve">Řešení navrženého úkolu má podpořit a vést: </w:t>
      </w:r>
    </w:p>
    <w:p w14:paraId="693DE57A" w14:textId="5418C5A1" w:rsidR="00175140" w:rsidRPr="00CD00E0" w:rsidRDefault="00175140" w:rsidP="00312988">
      <w:pPr>
        <w:pStyle w:val="Odstavecseseznamem"/>
        <w:numPr>
          <w:ilvl w:val="0"/>
          <w:numId w:val="13"/>
        </w:numPr>
        <w:spacing w:after="120"/>
        <w:ind w:right="-284"/>
        <w:jc w:val="both"/>
      </w:pPr>
      <w:r w:rsidRPr="00CD00E0">
        <w:t xml:space="preserve">K podpoře systematického zapojování spotřebitelů do procesů technické normalizace a procesů souvisejících, včetně zajištění koordinovaných a projednaných stanovisek k dokumentům ISO COPOLCO a k podpoře k aktivní účasti na akcích a aktivitách ISO COPOLCO (nyní obvykle on-line); </w:t>
      </w:r>
    </w:p>
    <w:p w14:paraId="06995E67" w14:textId="2F3C5F70" w:rsidR="00175140" w:rsidRPr="00CD00E0" w:rsidRDefault="00175140" w:rsidP="00312988">
      <w:pPr>
        <w:pStyle w:val="Odstavecseseznamem"/>
        <w:numPr>
          <w:ilvl w:val="0"/>
          <w:numId w:val="13"/>
        </w:numPr>
        <w:spacing w:after="120"/>
        <w:ind w:right="-284"/>
        <w:jc w:val="both"/>
      </w:pPr>
      <w:r w:rsidRPr="00CD00E0">
        <w:t xml:space="preserve">Ke zlepšení toku informací a k posílení infrastruktury pro projednávání a koordinaci spolupráce mezi spotřebitelskými organizacemi a MSP; </w:t>
      </w:r>
    </w:p>
    <w:p w14:paraId="44C74A2B" w14:textId="628EF3D4" w:rsidR="00175140" w:rsidRPr="00CD00E0" w:rsidRDefault="00175140" w:rsidP="00312988">
      <w:pPr>
        <w:pStyle w:val="Odstavecseseznamem"/>
        <w:numPr>
          <w:ilvl w:val="0"/>
          <w:numId w:val="13"/>
        </w:numPr>
        <w:spacing w:after="120"/>
        <w:ind w:right="-284"/>
        <w:jc w:val="both"/>
      </w:pPr>
      <w:r w:rsidRPr="00CD00E0">
        <w:t xml:space="preserve">Ke zviditelnění významu technické normalizace obecně, zejména s ohledem na funkci ISO COPOLCO, ale také evropské normalizace a rozvoj komunikace na národní úrovni; </w:t>
      </w:r>
    </w:p>
    <w:p w14:paraId="2C7528AB" w14:textId="5488DC90" w:rsidR="00175140" w:rsidRPr="00CD00E0" w:rsidRDefault="00175140" w:rsidP="00312988">
      <w:pPr>
        <w:pStyle w:val="Odstavecseseznamem"/>
        <w:numPr>
          <w:ilvl w:val="0"/>
          <w:numId w:val="13"/>
        </w:numPr>
        <w:spacing w:after="120"/>
        <w:ind w:right="-284"/>
        <w:jc w:val="both"/>
      </w:pPr>
      <w:r w:rsidRPr="00CD00E0">
        <w:t xml:space="preserve">Ke zviditelnění ÚNMZ/ČAS jako člena ISO COPOLCO ve vztahu k podpoře zapojení spotřebitelů do standardizace a k doložení účinného naplňování strategie ISO COPOLCO 30, i strategií CEN/CENELEC 30. </w:t>
      </w:r>
    </w:p>
    <w:p w14:paraId="31F63440" w14:textId="77777777" w:rsidR="00175140" w:rsidRPr="00CD00E0" w:rsidRDefault="00175140" w:rsidP="00312988">
      <w:pPr>
        <w:pStyle w:val="Odstavecseseznamem"/>
        <w:spacing w:after="120"/>
        <w:ind w:left="426" w:right="-284"/>
        <w:jc w:val="both"/>
      </w:pPr>
    </w:p>
    <w:p w14:paraId="2AE7743A" w14:textId="77777777" w:rsidR="00C06768" w:rsidRPr="00CD00E0" w:rsidRDefault="00C06768" w:rsidP="00312988">
      <w:pPr>
        <w:spacing w:after="120"/>
        <w:ind w:right="-284"/>
        <w:jc w:val="center"/>
        <w:rPr>
          <w:b/>
        </w:rPr>
      </w:pPr>
      <w:r w:rsidRPr="00CD00E0">
        <w:rPr>
          <w:b/>
        </w:rPr>
        <w:t>článek III</w:t>
      </w:r>
    </w:p>
    <w:p w14:paraId="0C62900B" w14:textId="77777777" w:rsidR="00C06768" w:rsidRPr="00CD00E0" w:rsidRDefault="00C06768" w:rsidP="00312988">
      <w:pPr>
        <w:spacing w:after="120"/>
        <w:ind w:right="-284"/>
        <w:jc w:val="center"/>
        <w:rPr>
          <w:b/>
        </w:rPr>
      </w:pPr>
      <w:r w:rsidRPr="00CD00E0">
        <w:rPr>
          <w:b/>
        </w:rPr>
        <w:t>Oblast spolupráce</w:t>
      </w:r>
    </w:p>
    <w:p w14:paraId="049D579F" w14:textId="77777777" w:rsidR="006A3AE0" w:rsidRDefault="00C06768" w:rsidP="00312988">
      <w:pPr>
        <w:pStyle w:val="Odstavecseseznamem"/>
        <w:numPr>
          <w:ilvl w:val="0"/>
          <w:numId w:val="2"/>
        </w:numPr>
        <w:spacing w:after="120"/>
        <w:ind w:left="426" w:right="-284" w:hanging="426"/>
        <w:jc w:val="both"/>
      </w:pPr>
      <w:r w:rsidRPr="00CD00E0">
        <w:t>K zajištění této dohody se strany zavazují, že se budou operativně informovat o všech otázkách společného zájmu</w:t>
      </w:r>
      <w:r w:rsidR="006A3AE0">
        <w:t xml:space="preserve">. </w:t>
      </w:r>
      <w:r w:rsidRPr="00CD00E0">
        <w:t xml:space="preserve"> </w:t>
      </w:r>
    </w:p>
    <w:p w14:paraId="3C3CA799" w14:textId="5C56F605" w:rsidR="00C06768" w:rsidRPr="00CD00E0" w:rsidRDefault="006A3AE0" w:rsidP="00312988">
      <w:pPr>
        <w:pStyle w:val="Odstavecseseznamem"/>
        <w:spacing w:after="120"/>
        <w:ind w:left="426" w:right="-284"/>
        <w:jc w:val="both"/>
      </w:pPr>
      <w:proofErr w:type="spellStart"/>
      <w:r>
        <w:t>KaStan</w:t>
      </w:r>
      <w:proofErr w:type="spellEnd"/>
      <w:r>
        <w:t xml:space="preserve"> jako dodavatel smluvní zakázky zpracuje v průběhu její realizace stručnou průběžnou zprávu (nejpozději k 15. 7.) </w:t>
      </w:r>
      <w:r w:rsidR="00C06768" w:rsidRPr="00CD00E0">
        <w:t xml:space="preserve">a </w:t>
      </w:r>
      <w:r>
        <w:t xml:space="preserve">komplexní závěrečnou zprávu (nejpozději ke 30. 11.) s vyhodnocením jejího plnění a </w:t>
      </w:r>
      <w:r w:rsidR="00C06768" w:rsidRPr="00CD00E0">
        <w:t>vyhodnoc</w:t>
      </w:r>
      <w:r>
        <w:t>ení</w:t>
      </w:r>
      <w:r w:rsidR="00C06768" w:rsidRPr="00CD00E0">
        <w:t xml:space="preserve"> úroveň dosažené spolupráce v jednotlivých </w:t>
      </w:r>
      <w:r w:rsidR="00C06768" w:rsidRPr="00CD00E0">
        <w:lastRenderedPageBreak/>
        <w:t xml:space="preserve">oblastech, k nimž se </w:t>
      </w:r>
      <w:r w:rsidR="00214738">
        <w:t xml:space="preserve">strany </w:t>
      </w:r>
      <w:r w:rsidR="00C06768" w:rsidRPr="00CD00E0">
        <w:t>zavázaly.</w:t>
      </w:r>
      <w:r w:rsidR="00214738">
        <w:t xml:space="preserve"> Na základě požadavku objednatele může být provedeno osobní projednání zpráv a výstupů.</w:t>
      </w:r>
    </w:p>
    <w:p w14:paraId="5C62C39D" w14:textId="4AD33905" w:rsidR="00214738" w:rsidRDefault="00E4411C" w:rsidP="00312988">
      <w:pPr>
        <w:pStyle w:val="Odstavecseseznamem"/>
        <w:numPr>
          <w:ilvl w:val="0"/>
          <w:numId w:val="2"/>
        </w:numPr>
        <w:spacing w:after="120"/>
        <w:ind w:left="426" w:right="-284" w:hanging="426"/>
        <w:jc w:val="both"/>
      </w:pPr>
      <w:r w:rsidRPr="00CD00E0">
        <w:t>V rámci zakázky dodavatel</w:t>
      </w:r>
      <w:r w:rsidR="00214738">
        <w:t xml:space="preserve"> – v souhrnu:</w:t>
      </w:r>
    </w:p>
    <w:p w14:paraId="5E199359" w14:textId="77777777" w:rsidR="00214738" w:rsidRPr="00214738" w:rsidRDefault="00214738" w:rsidP="00312988">
      <w:pPr>
        <w:pStyle w:val="Odstavecseseznamem"/>
        <w:numPr>
          <w:ilvl w:val="0"/>
          <w:numId w:val="15"/>
        </w:numPr>
        <w:spacing w:after="120"/>
        <w:ind w:left="720" w:right="-284"/>
        <w:jc w:val="both"/>
      </w:pPr>
      <w:r w:rsidRPr="00214738">
        <w:t>zajistí funkci a využití již existujících struktur pro koordinaci zapojení spotřebitelů v oblasti ISO COPOLCO; touto strukturou se zejména rozumí národní Pracovní skupina pro ISO COPOLCO, jejíž funkci vykonává Programový výbor Kabinetu pro standardizaci (PV);</w:t>
      </w:r>
    </w:p>
    <w:p w14:paraId="1636A1F7" w14:textId="77777777" w:rsidR="00214738" w:rsidRPr="00214738" w:rsidRDefault="00214738" w:rsidP="00312988">
      <w:pPr>
        <w:pStyle w:val="Odstavecseseznamem"/>
        <w:numPr>
          <w:ilvl w:val="0"/>
          <w:numId w:val="15"/>
        </w:numPr>
        <w:spacing w:after="120"/>
        <w:ind w:left="720" w:right="-284"/>
        <w:jc w:val="both"/>
      </w:pPr>
      <w:r w:rsidRPr="00214738">
        <w:t xml:space="preserve">připraví nástroje k edukaci se zaměřením na spotřebitele i malé a střední podniky, a sice dvou témat </w:t>
      </w:r>
    </w:p>
    <w:p w14:paraId="48F03208" w14:textId="77777777" w:rsidR="00214738" w:rsidRPr="00214738" w:rsidRDefault="00214738" w:rsidP="00312988">
      <w:pPr>
        <w:pStyle w:val="Odstavecseseznamem"/>
        <w:numPr>
          <w:ilvl w:val="1"/>
          <w:numId w:val="15"/>
        </w:numPr>
        <w:spacing w:after="120"/>
        <w:ind w:right="-284"/>
        <w:jc w:val="both"/>
      </w:pPr>
      <w:r w:rsidRPr="00214738">
        <w:t>nové nařízení o obecné bezpečnosti výrobků – co přináší nového? podpora porozumění technických norem ve vztahu k nařízení,</w:t>
      </w:r>
    </w:p>
    <w:p w14:paraId="41BC4AAD" w14:textId="77777777" w:rsidR="00214738" w:rsidRPr="00214738" w:rsidRDefault="00214738" w:rsidP="00312988">
      <w:pPr>
        <w:pStyle w:val="Odstavecseseznamem"/>
        <w:numPr>
          <w:ilvl w:val="1"/>
          <w:numId w:val="15"/>
        </w:numPr>
        <w:spacing w:after="120"/>
        <w:ind w:right="-284"/>
        <w:jc w:val="both"/>
      </w:pPr>
      <w:r w:rsidRPr="00214738">
        <w:t>zviditelnění technických norem (a normalizace obecně) na příkladu konkrétního tématu a oblastí normalizace (různé sféry služeb informační společnosti, včetně umělé inteligence);</w:t>
      </w:r>
    </w:p>
    <w:p w14:paraId="6F89ACA8" w14:textId="77777777" w:rsidR="00214738" w:rsidRPr="00214738" w:rsidRDefault="00214738" w:rsidP="00312988">
      <w:pPr>
        <w:pStyle w:val="Odstavecseseznamem"/>
        <w:numPr>
          <w:ilvl w:val="0"/>
          <w:numId w:val="15"/>
        </w:numPr>
        <w:spacing w:after="120"/>
        <w:ind w:left="720" w:right="-284"/>
        <w:jc w:val="both"/>
      </w:pPr>
      <w:r w:rsidRPr="00214738">
        <w:t>zpracuje diskusní materiál na základě dokumentu ISO COPOLCO „COPOLCO REVISED STAKEHOLDER ENGAGEMENT STRATEGY“ (ANNEX to COPOLCO N712, 12 2023), s případným využitím dalších dostupných dokumentů k tomuto tématu;</w:t>
      </w:r>
    </w:p>
    <w:p w14:paraId="0FB192C2" w14:textId="0EE90024" w:rsidR="00214738" w:rsidRDefault="00214738" w:rsidP="00312988">
      <w:pPr>
        <w:pStyle w:val="Odstavecseseznamem"/>
        <w:numPr>
          <w:ilvl w:val="0"/>
          <w:numId w:val="15"/>
        </w:numPr>
        <w:spacing w:after="120"/>
        <w:ind w:left="720" w:right="-284"/>
        <w:jc w:val="both"/>
      </w:pPr>
      <w:r w:rsidRPr="00214738">
        <w:t>připraví návrh/y pro elektronickou prezentaci národních aktivit na globální a evropské úrovni (pro newsletter ISO COPOLCO</w:t>
      </w:r>
      <w:r>
        <w:t>)</w:t>
      </w:r>
      <w:r w:rsidRPr="00214738">
        <w:t xml:space="preserve">; </w:t>
      </w:r>
    </w:p>
    <w:p w14:paraId="765511CA" w14:textId="1EE8FA1F" w:rsidR="00214738" w:rsidRDefault="00214738" w:rsidP="00312988">
      <w:pPr>
        <w:pStyle w:val="Odstavecseseznamem"/>
        <w:numPr>
          <w:ilvl w:val="0"/>
          <w:numId w:val="15"/>
        </w:numPr>
        <w:spacing w:after="120"/>
        <w:ind w:left="720" w:right="-284"/>
        <w:jc w:val="both"/>
      </w:pPr>
      <w:r w:rsidRPr="00214738">
        <w:t>vhodnou cestou bude témata a konkrétní výstupy realizované v rámci zakázky prezentovat pro veřejnost (tiskové zprávy, web).</w:t>
      </w:r>
    </w:p>
    <w:p w14:paraId="6AD02F88" w14:textId="0A3AF8D8" w:rsidR="00214738" w:rsidRPr="00214738" w:rsidRDefault="00214738" w:rsidP="00312988">
      <w:pPr>
        <w:spacing w:after="120"/>
        <w:ind w:left="360" w:right="-284"/>
        <w:jc w:val="both"/>
      </w:pPr>
      <w:r>
        <w:t>Podrobný popis zadání ve formě nabídkového listu úkoluje přílohou 1 k této Dohodě o spolupráci.</w:t>
      </w:r>
    </w:p>
    <w:p w14:paraId="5220AE67" w14:textId="77777777" w:rsidR="00E4411C" w:rsidRPr="00CD00E0" w:rsidRDefault="00E4411C" w:rsidP="00312988">
      <w:pPr>
        <w:ind w:right="-284"/>
      </w:pPr>
    </w:p>
    <w:p w14:paraId="41237ACB" w14:textId="77777777" w:rsidR="00C06768" w:rsidRPr="00CD00E0" w:rsidRDefault="00C06768" w:rsidP="00312988">
      <w:pPr>
        <w:spacing w:after="120"/>
        <w:ind w:right="-284"/>
        <w:jc w:val="center"/>
        <w:rPr>
          <w:b/>
        </w:rPr>
      </w:pPr>
      <w:r w:rsidRPr="00CD00E0">
        <w:rPr>
          <w:b/>
        </w:rPr>
        <w:t>článek IV</w:t>
      </w:r>
    </w:p>
    <w:p w14:paraId="33735903" w14:textId="2F5C69F0" w:rsidR="006014BC" w:rsidRPr="00CD00E0" w:rsidRDefault="006014BC" w:rsidP="00312988">
      <w:pPr>
        <w:spacing w:after="120"/>
        <w:ind w:right="-284"/>
        <w:jc w:val="center"/>
        <w:rPr>
          <w:b/>
        </w:rPr>
      </w:pPr>
      <w:r w:rsidRPr="00CD00E0">
        <w:rPr>
          <w:b/>
        </w:rPr>
        <w:t xml:space="preserve">Odměna za poskytované plnění </w:t>
      </w:r>
    </w:p>
    <w:p w14:paraId="79317128" w14:textId="1B3FE3D4" w:rsidR="006014BC" w:rsidRPr="00CD00E0" w:rsidRDefault="0013126A" w:rsidP="00312988">
      <w:pPr>
        <w:numPr>
          <w:ilvl w:val="0"/>
          <w:numId w:val="14"/>
        </w:numPr>
        <w:spacing w:after="120"/>
        <w:ind w:right="-284"/>
        <w:jc w:val="both"/>
      </w:pPr>
      <w:proofErr w:type="spellStart"/>
      <w:r>
        <w:t>KaStan</w:t>
      </w:r>
      <w:proofErr w:type="spellEnd"/>
      <w:r w:rsidR="006014BC" w:rsidRPr="00CD00E0">
        <w:t xml:space="preserve"> a Agentura se ve smyslu zákona č. 526/1990 Sb., o cenách, ve znění pozdějších předpisů, dohodly na tom, že cena za plnění dle této smlouvy činí paušální částku ve výši </w:t>
      </w:r>
      <w:r w:rsidR="00CD00E0">
        <w:t>1</w:t>
      </w:r>
      <w:r w:rsidR="00D2773C">
        <w:t>8</w:t>
      </w:r>
      <w:r w:rsidR="006014BC" w:rsidRPr="00CD00E0">
        <w:t xml:space="preserve">0.000,- Kč </w:t>
      </w:r>
      <w:r w:rsidR="00D2773C">
        <w:t>(</w:t>
      </w:r>
      <w:proofErr w:type="spellStart"/>
      <w:r w:rsidR="00D2773C">
        <w:t>jednostoosmdesát</w:t>
      </w:r>
      <w:proofErr w:type="spellEnd"/>
      <w:r w:rsidR="00D2773C">
        <w:t xml:space="preserve"> tisíc korun)</w:t>
      </w:r>
      <w:r w:rsidR="006014BC" w:rsidRPr="00CD00E0">
        <w:t>.</w:t>
      </w:r>
      <w:r w:rsidR="00D2773C">
        <w:t xml:space="preserve"> </w:t>
      </w:r>
      <w:proofErr w:type="spellStart"/>
      <w:r w:rsidR="00D2773C">
        <w:t>KaStan</w:t>
      </w:r>
      <w:proofErr w:type="spellEnd"/>
      <w:r w:rsidR="00D2773C">
        <w:t xml:space="preserve"> je neplátcem DPH</w:t>
      </w:r>
      <w:r w:rsidR="00312988">
        <w:t>.</w:t>
      </w:r>
    </w:p>
    <w:p w14:paraId="78CF0776" w14:textId="656EC450" w:rsidR="006014BC" w:rsidRDefault="006014BC" w:rsidP="00312988">
      <w:pPr>
        <w:numPr>
          <w:ilvl w:val="0"/>
          <w:numId w:val="14"/>
        </w:numPr>
        <w:spacing w:after="120"/>
        <w:ind w:right="-284"/>
        <w:jc w:val="both"/>
      </w:pPr>
      <w:r w:rsidRPr="00CD00E0">
        <w:t xml:space="preserve">Celková cena uvedená v odst. 1 tohoto článku je cenou nejvýše přípustnou a neměnnou a zahrnuje veškeré náklady </w:t>
      </w:r>
      <w:proofErr w:type="spellStart"/>
      <w:r w:rsidR="00CD00E0">
        <w:t>KaStan</w:t>
      </w:r>
      <w:proofErr w:type="spellEnd"/>
      <w:r w:rsidR="00CD00E0">
        <w:t xml:space="preserve"> </w:t>
      </w:r>
      <w:r w:rsidRPr="00CD00E0">
        <w:t xml:space="preserve">vzniklé v souvislosti s plněním povinností </w:t>
      </w:r>
      <w:proofErr w:type="spellStart"/>
      <w:r w:rsidR="00CD00E0">
        <w:t>KaStan</w:t>
      </w:r>
      <w:proofErr w:type="spellEnd"/>
      <w:r w:rsidRPr="00CD00E0">
        <w:t xml:space="preserve"> podle této </w:t>
      </w:r>
      <w:r w:rsidR="00CD00E0">
        <w:t>s</w:t>
      </w:r>
      <w:r w:rsidRPr="00CD00E0">
        <w:t>mlouvy.</w:t>
      </w:r>
    </w:p>
    <w:p w14:paraId="6F64F076" w14:textId="3F7EF9B7" w:rsidR="00CD00E0" w:rsidRPr="00CD00E0" w:rsidRDefault="00CD00E0" w:rsidP="00312988">
      <w:pPr>
        <w:numPr>
          <w:ilvl w:val="0"/>
          <w:numId w:val="14"/>
        </w:numPr>
        <w:spacing w:after="120"/>
        <w:ind w:right="-284"/>
        <w:jc w:val="both"/>
      </w:pPr>
      <w:r>
        <w:t xml:space="preserve">Celková cena uvedená v odst. 1 tohoto článku bude hrazena průběžně v závislosti na poskytované plnění. </w:t>
      </w:r>
    </w:p>
    <w:p w14:paraId="03040587" w14:textId="77777777" w:rsidR="0013126A" w:rsidRPr="00CD00E0" w:rsidRDefault="0013126A" w:rsidP="00312988">
      <w:pPr>
        <w:spacing w:after="120"/>
        <w:ind w:right="-284"/>
        <w:rPr>
          <w:b/>
        </w:rPr>
      </w:pPr>
    </w:p>
    <w:p w14:paraId="15A2E1F4" w14:textId="0A00E6E7" w:rsidR="006014BC" w:rsidRPr="00CD00E0" w:rsidRDefault="006014BC" w:rsidP="00312988">
      <w:pPr>
        <w:spacing w:after="120"/>
        <w:ind w:right="-284"/>
        <w:jc w:val="center"/>
        <w:rPr>
          <w:b/>
        </w:rPr>
      </w:pPr>
      <w:r w:rsidRPr="00CD00E0">
        <w:rPr>
          <w:b/>
        </w:rPr>
        <w:t>článek V</w:t>
      </w:r>
    </w:p>
    <w:p w14:paraId="092A8EBF" w14:textId="77777777" w:rsidR="00C06768" w:rsidRPr="00CD00E0" w:rsidRDefault="00C06768" w:rsidP="00312988">
      <w:pPr>
        <w:spacing w:after="120"/>
        <w:ind w:right="-284"/>
        <w:jc w:val="center"/>
        <w:rPr>
          <w:b/>
        </w:rPr>
      </w:pPr>
      <w:r w:rsidRPr="00CD00E0">
        <w:rPr>
          <w:b/>
        </w:rPr>
        <w:t>Ostatní ujednání</w:t>
      </w:r>
    </w:p>
    <w:p w14:paraId="40B2F66D" w14:textId="77777777" w:rsidR="00C06768" w:rsidRPr="00CD00E0" w:rsidRDefault="00C06768" w:rsidP="00312988">
      <w:pPr>
        <w:numPr>
          <w:ilvl w:val="0"/>
          <w:numId w:val="14"/>
        </w:numPr>
        <w:spacing w:after="120"/>
        <w:ind w:right="-284"/>
        <w:jc w:val="both"/>
      </w:pPr>
      <w:r w:rsidRPr="00CD00E0">
        <w:t>Tato dohoda se uzavírá na dobu neurčitou. Lze ji vypovědět písemně i bez udání důvodů. Výpovědní lhůta činí 6 měsíců a počíná běžet od prvního dne měsíce následujícího po doručení výpovědi.</w:t>
      </w:r>
    </w:p>
    <w:p w14:paraId="2CA4808D" w14:textId="77777777" w:rsidR="00C06768" w:rsidRPr="00CD00E0" w:rsidRDefault="00C06768" w:rsidP="00312988">
      <w:pPr>
        <w:numPr>
          <w:ilvl w:val="0"/>
          <w:numId w:val="14"/>
        </w:numPr>
        <w:spacing w:after="120"/>
        <w:ind w:right="-284"/>
        <w:jc w:val="both"/>
      </w:pPr>
      <w:r w:rsidRPr="00CD00E0">
        <w:t>Plnění podle této dohody má charakter služby veřejného zájmu.</w:t>
      </w:r>
    </w:p>
    <w:p w14:paraId="2FCC75BD" w14:textId="769A354F" w:rsidR="00CD00E0" w:rsidRPr="00CD00E0" w:rsidRDefault="00CD00E0" w:rsidP="00312988">
      <w:pPr>
        <w:numPr>
          <w:ilvl w:val="0"/>
          <w:numId w:val="14"/>
        </w:numPr>
        <w:spacing w:after="120"/>
        <w:ind w:right="-284"/>
        <w:jc w:val="both"/>
      </w:pPr>
      <w:r>
        <w:t xml:space="preserve">Dohoda </w:t>
      </w:r>
      <w:r w:rsidRPr="00CD00E0">
        <w:t xml:space="preserve">nabývá platnosti dnem podpisu poslední </w:t>
      </w:r>
      <w:r>
        <w:t>s</w:t>
      </w:r>
      <w:r w:rsidRPr="00CD00E0">
        <w:t xml:space="preserve">mluvní stranou a účinnosti dnem zveřejnění v registru smluv v souladu s podmínkami stanovenými v zákoně o registru smluv. </w:t>
      </w:r>
    </w:p>
    <w:p w14:paraId="3DE4699B" w14:textId="3ED295E0" w:rsidR="00C06768" w:rsidRPr="00CD00E0" w:rsidRDefault="00C06768" w:rsidP="00312988">
      <w:pPr>
        <w:numPr>
          <w:ilvl w:val="0"/>
          <w:numId w:val="14"/>
        </w:numPr>
        <w:spacing w:after="120"/>
        <w:ind w:right="-284"/>
        <w:jc w:val="both"/>
      </w:pPr>
      <w:r w:rsidRPr="00CD00E0">
        <w:lastRenderedPageBreak/>
        <w:t>Bude-li některá ze stran považovat</w:t>
      </w:r>
      <w:r w:rsidR="00131E4D" w:rsidRPr="00CD00E0">
        <w:t xml:space="preserve">, aniž by tím byla jakkoli dotčena ochrana duševního vlastnictví k normám a produktům normalizace, </w:t>
      </w:r>
      <w:r w:rsidRPr="00CD00E0">
        <w:t>některé informace, které bude poskytovat, za důvěrné, písemně na to druhou stranu upozorní. Ta je v takovém případě povinna zajistit, aby jeho pracovníci nebo jiné osoby, které pro něj vykonávají činnost, zachovávali vůči třetím osobám o těchto důvěrných informacích mlčenlivost.</w:t>
      </w:r>
    </w:p>
    <w:p w14:paraId="7EB4249D" w14:textId="77777777" w:rsidR="00C06768" w:rsidRPr="00CD00E0" w:rsidRDefault="00C06768" w:rsidP="00312988">
      <w:pPr>
        <w:numPr>
          <w:ilvl w:val="0"/>
          <w:numId w:val="14"/>
        </w:numPr>
        <w:spacing w:after="120"/>
        <w:ind w:right="-284"/>
        <w:jc w:val="both"/>
      </w:pPr>
      <w:r w:rsidRPr="00CD00E0">
        <w:t>Tato dohoda může být měněna či doplňována pouze vzestupně číslovanými písemnými dodatky podepsanými oběma stranami.</w:t>
      </w:r>
    </w:p>
    <w:p w14:paraId="57F5900C" w14:textId="3A354875" w:rsidR="00A13E18" w:rsidRPr="00CD00E0" w:rsidRDefault="00A13E18" w:rsidP="00312988">
      <w:pPr>
        <w:numPr>
          <w:ilvl w:val="0"/>
          <w:numId w:val="14"/>
        </w:numPr>
        <w:spacing w:after="120"/>
        <w:ind w:right="-284"/>
        <w:jc w:val="both"/>
      </w:pPr>
      <w:r w:rsidRPr="00CD00E0">
        <w:t xml:space="preserve">Skutečnost, že došlo k uzavření této dohody, bude oznámena na webových stránkách Agentury a </w:t>
      </w:r>
      <w:proofErr w:type="spellStart"/>
      <w:r w:rsidR="0013126A">
        <w:t>KaStan</w:t>
      </w:r>
      <w:proofErr w:type="spellEnd"/>
      <w:r w:rsidRPr="00CD00E0">
        <w:t xml:space="preserve"> a Agentura požádá Úřad o uveřejnění této skutečnosti </w:t>
      </w:r>
      <w:r w:rsidR="00691262" w:rsidRPr="00CD00E0">
        <w:t xml:space="preserve">i </w:t>
      </w:r>
      <w:r w:rsidRPr="00CD00E0">
        <w:t>ve Věstníku Úřadu.</w:t>
      </w:r>
    </w:p>
    <w:p w14:paraId="5FED9BE9" w14:textId="77777777" w:rsidR="00C06768" w:rsidRPr="00CD00E0" w:rsidRDefault="00C06768" w:rsidP="00312988">
      <w:pPr>
        <w:numPr>
          <w:ilvl w:val="0"/>
          <w:numId w:val="14"/>
        </w:numPr>
        <w:spacing w:after="120"/>
        <w:ind w:right="-284"/>
        <w:jc w:val="both"/>
      </w:pPr>
      <w:r w:rsidRPr="00CD00E0">
        <w:t>Tato dohoda se vyhotovuje ve dvou výtiscích s platností originálu, po jednom pro každou stranu.</w:t>
      </w:r>
    </w:p>
    <w:p w14:paraId="0866E58F" w14:textId="6BC0D156" w:rsidR="00CD00E0" w:rsidRPr="005A3F74" w:rsidRDefault="00CD00E0" w:rsidP="00312988">
      <w:pPr>
        <w:numPr>
          <w:ilvl w:val="0"/>
          <w:numId w:val="14"/>
        </w:numPr>
        <w:spacing w:after="120"/>
        <w:ind w:right="-284"/>
        <w:jc w:val="both"/>
      </w:pPr>
      <w:r w:rsidRPr="005A3F74">
        <w:t xml:space="preserve">Smluvní strany prohlašují, že jim nejsou známy žádné skutečnosti, které by uzavření </w:t>
      </w:r>
      <w:r w:rsidR="005A3F74" w:rsidRPr="005A3F74">
        <w:t>dohody</w:t>
      </w:r>
      <w:r w:rsidRPr="005A3F74">
        <w:t xml:space="preserve"> vylučovaly a berou na vědomí, že v plném rozsahu nesou veškeré právní důsledky plynoucí z vědomě jimi udaných nepravdivých údajů. Na důkaz svého souhlasu s obsahem </w:t>
      </w:r>
      <w:r w:rsidR="005A3F74" w:rsidRPr="005A3F74">
        <w:t>dohody</w:t>
      </w:r>
      <w:r w:rsidRPr="005A3F74">
        <w:t xml:space="preserve"> připojují pod ni své podpisy.</w:t>
      </w:r>
    </w:p>
    <w:p w14:paraId="20D307A0" w14:textId="77777777" w:rsidR="00CD00E0" w:rsidRPr="00CD00E0" w:rsidRDefault="00CD00E0" w:rsidP="00312988">
      <w:pPr>
        <w:spacing w:after="120"/>
        <w:ind w:right="-284"/>
        <w:jc w:val="both"/>
      </w:pPr>
    </w:p>
    <w:p w14:paraId="440EBD9E" w14:textId="77777777" w:rsidR="00C06768" w:rsidRDefault="00C06768" w:rsidP="00312988">
      <w:pPr>
        <w:spacing w:after="120"/>
        <w:ind w:right="-284"/>
        <w:jc w:val="both"/>
      </w:pPr>
    </w:p>
    <w:p w14:paraId="46C363BA" w14:textId="77777777" w:rsidR="00CD00E0" w:rsidRPr="00CD00E0" w:rsidRDefault="00CD00E0" w:rsidP="00312988">
      <w:pPr>
        <w:spacing w:after="120"/>
        <w:ind w:right="-284"/>
        <w:jc w:val="both"/>
      </w:pPr>
    </w:p>
    <w:p w14:paraId="3666B282" w14:textId="5FA2C6C1" w:rsidR="00C06768" w:rsidRPr="00CD00E0" w:rsidRDefault="00C06768" w:rsidP="00312988">
      <w:pPr>
        <w:spacing w:after="120"/>
        <w:ind w:right="-284"/>
        <w:jc w:val="both"/>
      </w:pPr>
      <w:r w:rsidRPr="00CD00E0">
        <w:t xml:space="preserve">V Praze dne </w:t>
      </w:r>
      <w:r w:rsidR="00D2773C">
        <w:t>... února 2024</w:t>
      </w:r>
      <w:r w:rsidRPr="00CD00E0">
        <w:t xml:space="preserve"> </w:t>
      </w:r>
      <w:r w:rsidRPr="00CD00E0">
        <w:tab/>
      </w:r>
      <w:r w:rsidRPr="00CD00E0">
        <w:tab/>
      </w:r>
      <w:r w:rsidR="00D2773C">
        <w:tab/>
      </w:r>
      <w:r w:rsidR="00D2773C">
        <w:tab/>
      </w:r>
      <w:r w:rsidRPr="00CD00E0">
        <w:t>V Praze dne</w:t>
      </w:r>
      <w:r w:rsidR="00876BC3">
        <w:t xml:space="preserve"> </w:t>
      </w:r>
      <w:r w:rsidR="00D2773C">
        <w:t>... února 2024</w:t>
      </w:r>
    </w:p>
    <w:p w14:paraId="7A8EC955" w14:textId="34C0C812" w:rsidR="00C06768" w:rsidRDefault="00C06768" w:rsidP="00312988">
      <w:pPr>
        <w:spacing w:after="120"/>
        <w:ind w:right="-284"/>
        <w:jc w:val="both"/>
      </w:pPr>
    </w:p>
    <w:p w14:paraId="62C81DD3" w14:textId="77777777" w:rsidR="00876BC3" w:rsidRPr="00CD00E0" w:rsidRDefault="00876BC3" w:rsidP="00312988">
      <w:pPr>
        <w:spacing w:after="120"/>
        <w:ind w:right="-284"/>
        <w:jc w:val="both"/>
      </w:pPr>
    </w:p>
    <w:p w14:paraId="2317CF7E" w14:textId="639616C5" w:rsidR="00D2773C" w:rsidRDefault="00C06768" w:rsidP="00312988">
      <w:pPr>
        <w:spacing w:after="120"/>
        <w:ind w:right="-284"/>
        <w:jc w:val="both"/>
      </w:pPr>
      <w:r w:rsidRPr="00CD00E0">
        <w:t>……………………………</w:t>
      </w:r>
      <w:r w:rsidRPr="00CD00E0">
        <w:tab/>
      </w:r>
      <w:r w:rsidRPr="00CD00E0">
        <w:tab/>
      </w:r>
      <w:r w:rsidRPr="00CD00E0">
        <w:tab/>
      </w:r>
      <w:r w:rsidR="00D2773C">
        <w:tab/>
      </w:r>
      <w:r w:rsidRPr="00CD00E0">
        <w:t>………………………………….</w:t>
      </w:r>
    </w:p>
    <w:p w14:paraId="628DBF10" w14:textId="74D9EABD" w:rsidR="00C06768" w:rsidRPr="00CD00E0" w:rsidRDefault="00C06768" w:rsidP="00312988">
      <w:pPr>
        <w:spacing w:after="120"/>
        <w:ind w:right="-284"/>
        <w:jc w:val="both"/>
      </w:pPr>
      <w:r w:rsidRPr="00CD00E0">
        <w:t xml:space="preserve">za </w:t>
      </w:r>
      <w:proofErr w:type="spellStart"/>
      <w:r w:rsidR="00D2773C">
        <w:t>KaStan</w:t>
      </w:r>
      <w:proofErr w:type="spellEnd"/>
      <w:r w:rsidRPr="00CD00E0">
        <w:tab/>
      </w:r>
      <w:r w:rsidRPr="00CD00E0">
        <w:tab/>
      </w:r>
      <w:r w:rsidRPr="00CD00E0">
        <w:tab/>
      </w:r>
      <w:r w:rsidRPr="00CD00E0">
        <w:tab/>
      </w:r>
      <w:r w:rsidRPr="00CD00E0">
        <w:tab/>
      </w:r>
      <w:r w:rsidR="009D56CE" w:rsidRPr="00CD00E0">
        <w:t xml:space="preserve">        </w:t>
      </w:r>
      <w:r w:rsidR="00D2773C">
        <w:tab/>
      </w:r>
      <w:r w:rsidRPr="00CD00E0">
        <w:t xml:space="preserve">za </w:t>
      </w:r>
      <w:r w:rsidR="00EC1C35" w:rsidRPr="00CD00E0">
        <w:t>Agenturu</w:t>
      </w:r>
    </w:p>
    <w:p w14:paraId="72E7C2F1" w14:textId="77777777" w:rsidR="00344F48" w:rsidRPr="00CD00E0" w:rsidRDefault="00344F48" w:rsidP="00312988">
      <w:pPr>
        <w:ind w:right="-284"/>
      </w:pPr>
    </w:p>
    <w:p w14:paraId="6171C896" w14:textId="77777777" w:rsidR="006014BC" w:rsidRPr="00CD00E0" w:rsidRDefault="006014BC" w:rsidP="00312988">
      <w:pPr>
        <w:ind w:right="-284"/>
      </w:pPr>
    </w:p>
    <w:p w14:paraId="3CAA7F82" w14:textId="77777777" w:rsidR="00504797" w:rsidRDefault="00504797" w:rsidP="00312988">
      <w:pPr>
        <w:spacing w:after="200" w:line="276" w:lineRule="auto"/>
        <w:ind w:right="-284"/>
        <w:rPr>
          <w:rFonts w:asciiTheme="minorHAnsi" w:hAnsiTheme="minorHAnsi" w:cstheme="minorHAnsi"/>
          <w:b/>
          <w:sz w:val="22"/>
          <w:szCs w:val="22"/>
        </w:rPr>
      </w:pPr>
      <w:r>
        <w:rPr>
          <w:rFonts w:asciiTheme="minorHAnsi" w:hAnsiTheme="minorHAnsi" w:cstheme="minorHAnsi"/>
          <w:sz w:val="22"/>
          <w:szCs w:val="22"/>
        </w:rPr>
        <w:br w:type="page"/>
      </w:r>
    </w:p>
    <w:p w14:paraId="3B680FF3" w14:textId="0D665A19" w:rsidR="00504797" w:rsidRPr="00850C4D" w:rsidRDefault="00504797" w:rsidP="00312988">
      <w:pPr>
        <w:pStyle w:val="Nzev"/>
        <w:spacing w:after="120"/>
        <w:ind w:right="-284"/>
        <w:jc w:val="left"/>
        <w:rPr>
          <w:rFonts w:asciiTheme="minorHAnsi" w:hAnsiTheme="minorHAnsi" w:cstheme="minorHAnsi"/>
          <w:sz w:val="22"/>
          <w:szCs w:val="22"/>
        </w:rPr>
      </w:pPr>
      <w:r>
        <w:rPr>
          <w:rFonts w:asciiTheme="minorHAnsi" w:hAnsiTheme="minorHAnsi" w:cstheme="minorHAnsi"/>
          <w:sz w:val="22"/>
          <w:szCs w:val="22"/>
        </w:rPr>
        <w:lastRenderedPageBreak/>
        <w:t xml:space="preserve">Příloha 1, </w:t>
      </w:r>
      <w:r w:rsidRPr="00850C4D">
        <w:rPr>
          <w:rFonts w:asciiTheme="minorHAnsi" w:hAnsiTheme="minorHAnsi" w:cstheme="minorHAnsi"/>
          <w:sz w:val="22"/>
          <w:szCs w:val="22"/>
        </w:rPr>
        <w:t>NABÍDKOVÝ LIST ÚKOLU</w:t>
      </w:r>
      <w:r>
        <w:rPr>
          <w:rFonts w:asciiTheme="minorHAnsi" w:hAnsiTheme="minorHAnsi" w:cstheme="minorHAnsi"/>
          <w:sz w:val="22"/>
          <w:szCs w:val="22"/>
        </w:rPr>
        <w:t xml:space="preserve"> p</w:t>
      </w:r>
      <w:r w:rsidRPr="00850C4D">
        <w:rPr>
          <w:rFonts w:asciiTheme="minorHAnsi" w:hAnsiTheme="minorHAnsi" w:cstheme="minorHAnsi"/>
          <w:sz w:val="22"/>
          <w:szCs w:val="22"/>
        </w:rPr>
        <w:t>ro Českou agenturu pro standardizaci</w:t>
      </w:r>
      <w:r w:rsidR="009328E2" w:rsidRPr="009328E2">
        <w:rPr>
          <w:rFonts w:asciiTheme="minorHAnsi" w:hAnsiTheme="minorHAnsi" w:cstheme="minorHAnsi"/>
          <w:sz w:val="22"/>
          <w:szCs w:val="22"/>
        </w:rPr>
        <w:t xml:space="preserve"> </w:t>
      </w:r>
      <w:r w:rsidR="009328E2" w:rsidRPr="00850C4D">
        <w:rPr>
          <w:rFonts w:asciiTheme="minorHAnsi" w:hAnsiTheme="minorHAnsi" w:cstheme="minorHAnsi"/>
          <w:sz w:val="22"/>
          <w:szCs w:val="22"/>
        </w:rPr>
        <w:t xml:space="preserve">PRO ROK </w:t>
      </w:r>
      <w:r w:rsidR="009328E2" w:rsidRPr="00850C4D">
        <w:rPr>
          <w:rFonts w:asciiTheme="minorHAnsi" w:hAnsiTheme="minorHAnsi" w:cstheme="minorHAnsi"/>
          <w:sz w:val="22"/>
          <w:szCs w:val="22"/>
          <w:u w:val="single"/>
        </w:rPr>
        <w:t>202</w:t>
      </w:r>
      <w:r w:rsidR="009328E2">
        <w:rPr>
          <w:rFonts w:asciiTheme="minorHAnsi" w:hAnsiTheme="minorHAnsi" w:cstheme="minorHAnsi"/>
          <w:sz w:val="22"/>
          <w:szCs w:val="22"/>
          <w:u w:val="single"/>
        </w:rPr>
        <w:t>4</w:t>
      </w:r>
    </w:p>
    <w:p w14:paraId="766B1955" w14:textId="09650DF7" w:rsidR="00504797" w:rsidRPr="009328E2" w:rsidRDefault="00504797" w:rsidP="00312988">
      <w:pPr>
        <w:spacing w:after="120"/>
        <w:ind w:right="-284"/>
        <w:jc w:val="center"/>
        <w:rPr>
          <w:rFonts w:asciiTheme="minorHAnsi" w:hAnsiTheme="minorHAnsi" w:cstheme="minorHAnsi"/>
          <w:b/>
          <w:sz w:val="10"/>
          <w:szCs w:val="22"/>
        </w:rPr>
      </w:pPr>
    </w:p>
    <w:p w14:paraId="05B7CC04" w14:textId="77777777" w:rsidR="00504797" w:rsidRPr="00850C4D" w:rsidRDefault="00504797" w:rsidP="00312988">
      <w:pPr>
        <w:spacing w:after="120"/>
        <w:ind w:right="-284"/>
        <w:jc w:val="center"/>
        <w:rPr>
          <w:rFonts w:asciiTheme="minorHAnsi" w:hAnsiTheme="minorHAnsi" w:cstheme="minorHAnsi"/>
          <w:b/>
          <w:sz w:val="22"/>
          <w:szCs w:val="22"/>
        </w:rPr>
      </w:pPr>
      <w:r w:rsidRPr="00850C4D">
        <w:rPr>
          <w:rFonts w:asciiTheme="minorHAnsi" w:hAnsiTheme="minorHAnsi" w:cstheme="minorHAnsi"/>
          <w:b/>
          <w:sz w:val="22"/>
          <w:szCs w:val="22"/>
        </w:rPr>
        <w:t>předkládá Kabinet pro standardizaci, o.p.s.</w:t>
      </w:r>
    </w:p>
    <w:p w14:paraId="771A6BEC" w14:textId="77777777" w:rsidR="00504797" w:rsidRPr="00850C4D" w:rsidRDefault="00504797" w:rsidP="00312988">
      <w:pPr>
        <w:spacing w:after="120"/>
        <w:ind w:right="-284"/>
        <w:jc w:val="center"/>
        <w:rPr>
          <w:rFonts w:asciiTheme="minorHAnsi" w:hAnsiTheme="minorHAnsi" w:cstheme="minorHAnsi"/>
          <w:b/>
          <w:sz w:val="22"/>
          <w:szCs w:val="22"/>
        </w:rPr>
      </w:pPr>
      <w:r w:rsidRPr="00850C4D">
        <w:rPr>
          <w:rFonts w:asciiTheme="minorHAnsi" w:hAnsiTheme="minorHAnsi" w:cstheme="minorHAnsi"/>
          <w:noProof/>
          <w:color w:val="17365D" w:themeColor="text2" w:themeShade="BF"/>
          <w:sz w:val="22"/>
          <w:szCs w:val="22"/>
        </w:rPr>
        <w:drawing>
          <wp:inline distT="0" distB="0" distL="0" distR="0" wp14:anchorId="3F365949" wp14:editId="2D3D4B4E">
            <wp:extent cx="1370795" cy="413468"/>
            <wp:effectExtent l="0" t="0" r="1270" b="5715"/>
            <wp:docPr id="5" name="Obrázek 5" descr="F:\_archive_ag_du_new_recon\_SCS_Realizace\_Formul_Loga_etc\LogaVizit_Kabinet\Logotyp KaStan 2017\Office &amp; web\Kabinet &amp; top normy\Kabinet_top_norm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_archive_ag_du_new_recon\_SCS_Realizace\_Formul_Loga_etc\LogaVizit_Kabinet\Logotyp KaStan 2017\Office &amp; web\Kabinet &amp; top normy\Kabinet_top_normy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3909" cy="429489"/>
                    </a:xfrm>
                    <a:prstGeom prst="rect">
                      <a:avLst/>
                    </a:prstGeom>
                    <a:noFill/>
                    <a:ln>
                      <a:noFill/>
                    </a:ln>
                  </pic:spPr>
                </pic:pic>
              </a:graphicData>
            </a:graphic>
          </wp:inline>
        </w:drawing>
      </w:r>
    </w:p>
    <w:p w14:paraId="039B3185" w14:textId="77777777" w:rsidR="00504797" w:rsidRPr="00091A78" w:rsidRDefault="00504797" w:rsidP="00312988">
      <w:pPr>
        <w:spacing w:after="120"/>
        <w:ind w:right="-284"/>
        <w:jc w:val="both"/>
        <w:rPr>
          <w:rFonts w:asciiTheme="minorHAnsi" w:hAnsiTheme="minorHAnsi" w:cstheme="minorHAnsi"/>
          <w:b/>
          <w:sz w:val="18"/>
          <w:szCs w:val="22"/>
        </w:rPr>
      </w:pPr>
      <w:r w:rsidRPr="00091A78">
        <w:rPr>
          <w:rFonts w:asciiTheme="minorHAnsi" w:hAnsiTheme="minorHAnsi" w:cstheme="minorHAnsi"/>
          <w:b/>
          <w:sz w:val="18"/>
          <w:szCs w:val="22"/>
        </w:rPr>
        <w:t>Předkladatel nabídkového listu</w:t>
      </w:r>
    </w:p>
    <w:p w14:paraId="73C78019" w14:textId="77777777" w:rsidR="00504797" w:rsidRPr="00091A78" w:rsidRDefault="00504797" w:rsidP="00312988">
      <w:pPr>
        <w:spacing w:after="120"/>
        <w:ind w:right="-284"/>
        <w:jc w:val="both"/>
        <w:rPr>
          <w:rFonts w:asciiTheme="minorHAnsi" w:hAnsiTheme="minorHAnsi" w:cstheme="minorHAnsi"/>
          <w:sz w:val="18"/>
          <w:szCs w:val="22"/>
        </w:rPr>
      </w:pPr>
      <w:r w:rsidRPr="00091A78">
        <w:rPr>
          <w:rFonts w:asciiTheme="minorHAnsi" w:hAnsiTheme="minorHAnsi" w:cstheme="minorHAnsi"/>
          <w:b/>
          <w:sz w:val="18"/>
          <w:szCs w:val="22"/>
        </w:rPr>
        <w:t>Kabinet pro standardizaci, o. p. s., (</w:t>
      </w:r>
      <w:proofErr w:type="spellStart"/>
      <w:r w:rsidRPr="00091A78">
        <w:rPr>
          <w:rFonts w:asciiTheme="minorHAnsi" w:hAnsiTheme="minorHAnsi" w:cstheme="minorHAnsi"/>
          <w:b/>
          <w:sz w:val="18"/>
          <w:szCs w:val="22"/>
        </w:rPr>
        <w:t>KaStan</w:t>
      </w:r>
      <w:proofErr w:type="spellEnd"/>
      <w:r w:rsidRPr="00091A78">
        <w:rPr>
          <w:rFonts w:asciiTheme="minorHAnsi" w:hAnsiTheme="minorHAnsi" w:cstheme="minorHAnsi"/>
          <w:b/>
          <w:sz w:val="18"/>
          <w:szCs w:val="22"/>
        </w:rPr>
        <w:t>)</w:t>
      </w:r>
      <w:r w:rsidRPr="00091A78">
        <w:rPr>
          <w:rFonts w:asciiTheme="minorHAnsi" w:hAnsiTheme="minorHAnsi" w:cstheme="minorHAnsi"/>
          <w:sz w:val="18"/>
          <w:szCs w:val="22"/>
        </w:rPr>
        <w:t xml:space="preserve"> - je nezávislou obecně prospěšnou společností založenou Sdružením českých spotřebitelů (SČS). Cílem je zvyšování bezpečnosti a kvality výrobků a služeb vytvářením a podporou funkce nástrojů zajišťujících účinné zapojení spotřebitelů do standardizačních procesů (technická normalizace, certifikace a posuzování shody, akreditace, dozor nad trhem), včetně uplatňování technických předpisů a norem ve prospěch spotřebitelů a korektního trhu. </w:t>
      </w:r>
    </w:p>
    <w:p w14:paraId="478A358B" w14:textId="77777777" w:rsidR="00504797" w:rsidRPr="00091A78" w:rsidRDefault="00504797" w:rsidP="00312988">
      <w:pPr>
        <w:spacing w:after="120"/>
        <w:ind w:right="-284"/>
        <w:jc w:val="both"/>
        <w:rPr>
          <w:rFonts w:asciiTheme="minorHAnsi" w:hAnsiTheme="minorHAnsi" w:cstheme="minorHAnsi"/>
          <w:sz w:val="18"/>
          <w:szCs w:val="22"/>
        </w:rPr>
      </w:pPr>
      <w:r w:rsidRPr="00091A78">
        <w:rPr>
          <w:rFonts w:asciiTheme="minorHAnsi" w:hAnsiTheme="minorHAnsi" w:cstheme="minorHAnsi"/>
          <w:sz w:val="18"/>
          <w:szCs w:val="22"/>
        </w:rPr>
        <w:t>IČO 28984072, DIČ CZ28984072, sídlo Pod Altánem 99/103, Strašnice, 100 00 Praha 10, zapsaný v rejstříku obecně prospěšných společností vedeném u Městského soudu v Praze v odd. O, vložce č. 696 ke dni 24. 11. 2009 (změna sídla ze dne 14. března 2014). Bankovní spojení: 2301482858/2010 (</w:t>
      </w:r>
      <w:proofErr w:type="spellStart"/>
      <w:r w:rsidRPr="00091A78">
        <w:rPr>
          <w:rFonts w:asciiTheme="minorHAnsi" w:hAnsiTheme="minorHAnsi" w:cstheme="minorHAnsi"/>
          <w:sz w:val="18"/>
          <w:szCs w:val="22"/>
        </w:rPr>
        <w:t>FioBanka</w:t>
      </w:r>
      <w:proofErr w:type="spellEnd"/>
      <w:r w:rsidRPr="00091A78">
        <w:rPr>
          <w:rFonts w:asciiTheme="minorHAnsi" w:hAnsiTheme="minorHAnsi" w:cstheme="minorHAnsi"/>
          <w:sz w:val="18"/>
          <w:szCs w:val="22"/>
        </w:rPr>
        <w:t>)</w:t>
      </w:r>
    </w:p>
    <w:p w14:paraId="1C34F615" w14:textId="77777777" w:rsidR="00504797" w:rsidRPr="00091A78" w:rsidRDefault="00504797" w:rsidP="00312988">
      <w:pPr>
        <w:spacing w:after="120"/>
        <w:ind w:right="-284"/>
        <w:jc w:val="both"/>
        <w:rPr>
          <w:rFonts w:asciiTheme="minorHAnsi" w:hAnsiTheme="minorHAnsi" w:cstheme="minorHAnsi"/>
          <w:sz w:val="18"/>
          <w:szCs w:val="22"/>
        </w:rPr>
      </w:pPr>
      <w:r w:rsidRPr="00091A78">
        <w:rPr>
          <w:rFonts w:asciiTheme="minorHAnsi" w:hAnsiTheme="minorHAnsi" w:cstheme="minorHAnsi"/>
          <w:sz w:val="18"/>
          <w:szCs w:val="22"/>
        </w:rPr>
        <w:t xml:space="preserve">Zastoupený statutárním orgánem – ředitelem společnosti – Ing. Liborem Dupalem (viz zakládací listina čl. 6 – </w:t>
      </w:r>
      <w:hyperlink r:id="rId11" w:history="1">
        <w:r w:rsidRPr="00091A78">
          <w:rPr>
            <w:rStyle w:val="Hypertextovodkaz"/>
            <w:rFonts w:asciiTheme="minorHAnsi" w:eastAsiaTheme="minorEastAsia" w:hAnsiTheme="minorHAnsi" w:cstheme="minorHAnsi"/>
            <w:sz w:val="18"/>
            <w:szCs w:val="22"/>
          </w:rPr>
          <w:t>Zde</w:t>
        </w:r>
      </w:hyperlink>
      <w:r w:rsidRPr="00091A78">
        <w:rPr>
          <w:rFonts w:asciiTheme="minorHAnsi" w:hAnsiTheme="minorHAnsi" w:cstheme="minorHAnsi"/>
          <w:sz w:val="18"/>
          <w:szCs w:val="22"/>
        </w:rPr>
        <w:t>)</w:t>
      </w:r>
    </w:p>
    <w:p w14:paraId="36D13C47" w14:textId="77777777" w:rsidR="00504797" w:rsidRPr="00A6263E" w:rsidRDefault="00504797" w:rsidP="00312988">
      <w:pPr>
        <w:spacing w:after="120"/>
        <w:ind w:right="-284"/>
        <w:jc w:val="both"/>
        <w:rPr>
          <w:rFonts w:asciiTheme="minorHAnsi" w:hAnsiTheme="minorHAnsi" w:cstheme="minorHAnsi"/>
          <w:b/>
          <w:sz w:val="10"/>
          <w:szCs w:val="22"/>
        </w:rPr>
      </w:pPr>
    </w:p>
    <w:p w14:paraId="14022F8F" w14:textId="77777777" w:rsidR="00504797" w:rsidRPr="00850C4D" w:rsidRDefault="00504797" w:rsidP="00312988">
      <w:pPr>
        <w:spacing w:after="120"/>
        <w:ind w:right="-284"/>
        <w:jc w:val="both"/>
        <w:rPr>
          <w:rFonts w:asciiTheme="minorHAnsi" w:hAnsiTheme="minorHAnsi" w:cstheme="minorHAnsi"/>
          <w:sz w:val="22"/>
          <w:szCs w:val="22"/>
        </w:rPr>
      </w:pPr>
      <w:r w:rsidRPr="00850C4D">
        <w:rPr>
          <w:rFonts w:asciiTheme="minorHAnsi" w:hAnsiTheme="minorHAnsi" w:cstheme="minorHAnsi"/>
          <w:b/>
          <w:sz w:val="22"/>
          <w:szCs w:val="22"/>
        </w:rPr>
        <w:t>Název úkolu</w:t>
      </w:r>
    </w:p>
    <w:p w14:paraId="32E74A88" w14:textId="77777777" w:rsidR="00504797" w:rsidRPr="00850C4D" w:rsidRDefault="00504797" w:rsidP="00312988">
      <w:pPr>
        <w:pBdr>
          <w:top w:val="single" w:sz="4" w:space="1" w:color="auto"/>
          <w:left w:val="single" w:sz="4" w:space="4" w:color="auto"/>
          <w:bottom w:val="single" w:sz="4" w:space="1" w:color="auto"/>
          <w:right w:val="single" w:sz="4" w:space="4" w:color="auto"/>
        </w:pBdr>
        <w:spacing w:after="120"/>
        <w:ind w:right="-284"/>
        <w:jc w:val="both"/>
        <w:rPr>
          <w:rFonts w:asciiTheme="minorHAnsi" w:hAnsiTheme="minorHAnsi" w:cstheme="minorHAnsi"/>
          <w:b/>
          <w:sz w:val="22"/>
          <w:szCs w:val="22"/>
        </w:rPr>
      </w:pPr>
      <w:r w:rsidRPr="00850C4D">
        <w:rPr>
          <w:rFonts w:asciiTheme="minorHAnsi" w:hAnsiTheme="minorHAnsi" w:cstheme="minorHAnsi"/>
          <w:b/>
          <w:sz w:val="22"/>
          <w:szCs w:val="22"/>
        </w:rPr>
        <w:t>KOORDINACE ZAPOJENÍ ČESKÝCH SPOTŘEBITELŮ V ISO COPOLCO</w:t>
      </w:r>
      <w:r>
        <w:rPr>
          <w:rFonts w:asciiTheme="minorHAnsi" w:hAnsiTheme="minorHAnsi" w:cstheme="minorHAnsi"/>
          <w:b/>
          <w:sz w:val="22"/>
          <w:szCs w:val="22"/>
        </w:rPr>
        <w:t xml:space="preserve"> S PŘIHLÉDNUTÍM K EVROPSKÉ NORMALIZACI</w:t>
      </w:r>
      <w:r w:rsidRPr="00850C4D">
        <w:rPr>
          <w:rFonts w:asciiTheme="minorHAnsi" w:hAnsiTheme="minorHAnsi" w:cstheme="minorHAnsi"/>
          <w:b/>
          <w:sz w:val="22"/>
          <w:szCs w:val="22"/>
        </w:rPr>
        <w:t xml:space="preserve"> PRO ROK 202</w:t>
      </w:r>
      <w:r>
        <w:rPr>
          <w:rFonts w:asciiTheme="minorHAnsi" w:hAnsiTheme="minorHAnsi" w:cstheme="minorHAnsi"/>
          <w:b/>
          <w:sz w:val="22"/>
          <w:szCs w:val="22"/>
        </w:rPr>
        <w:t>4</w:t>
      </w:r>
    </w:p>
    <w:p w14:paraId="6E23051E" w14:textId="77777777" w:rsidR="00504797" w:rsidRDefault="00504797" w:rsidP="00312988">
      <w:pPr>
        <w:spacing w:after="120"/>
        <w:ind w:right="-284"/>
        <w:jc w:val="both"/>
        <w:rPr>
          <w:rFonts w:asciiTheme="minorHAnsi" w:hAnsiTheme="minorHAnsi" w:cstheme="minorHAnsi"/>
          <w:b/>
          <w:sz w:val="22"/>
          <w:szCs w:val="22"/>
        </w:rPr>
      </w:pPr>
      <w:r w:rsidRPr="00850C4D">
        <w:rPr>
          <w:rFonts w:asciiTheme="minorHAnsi" w:hAnsiTheme="minorHAnsi" w:cstheme="minorHAnsi"/>
          <w:b/>
          <w:sz w:val="22"/>
          <w:szCs w:val="22"/>
        </w:rPr>
        <w:t xml:space="preserve">Souhrn pro </w:t>
      </w:r>
      <w:r>
        <w:rPr>
          <w:rFonts w:asciiTheme="minorHAnsi" w:hAnsiTheme="minorHAnsi" w:cstheme="minorHAnsi"/>
          <w:b/>
          <w:sz w:val="22"/>
          <w:szCs w:val="22"/>
        </w:rPr>
        <w:t xml:space="preserve">zadání: </w:t>
      </w:r>
      <w:r w:rsidRPr="000B0875">
        <w:rPr>
          <w:rFonts w:asciiTheme="minorHAnsi" w:hAnsiTheme="minorHAnsi" w:cstheme="minorHAnsi"/>
          <w:sz w:val="22"/>
          <w:szCs w:val="22"/>
        </w:rPr>
        <w:t>dodavatel</w:t>
      </w:r>
    </w:p>
    <w:p w14:paraId="50883533" w14:textId="77777777" w:rsidR="00504797" w:rsidRPr="008675CF" w:rsidRDefault="00504797" w:rsidP="00312988">
      <w:pPr>
        <w:pStyle w:val="Odstavecseseznamem"/>
        <w:numPr>
          <w:ilvl w:val="0"/>
          <w:numId w:val="15"/>
        </w:numPr>
        <w:spacing w:after="120"/>
        <w:ind w:right="-284"/>
        <w:jc w:val="both"/>
        <w:rPr>
          <w:rFonts w:asciiTheme="minorHAnsi" w:hAnsiTheme="minorHAnsi" w:cstheme="minorHAnsi"/>
          <w:sz w:val="22"/>
          <w:szCs w:val="22"/>
        </w:rPr>
      </w:pPr>
      <w:r w:rsidRPr="008675CF">
        <w:rPr>
          <w:rFonts w:asciiTheme="minorHAnsi" w:hAnsiTheme="minorHAnsi" w:cstheme="minorHAnsi"/>
          <w:sz w:val="22"/>
          <w:szCs w:val="22"/>
        </w:rPr>
        <w:t>zajistí funkci a využití již existujících struktur pro koordinaci zapojení spotřebitelů v oblasti ISO COPOLCO; touto strukturou se zejména rozumí národní Pracovní skupina pro ISO COPOLCO, jejíž funkci vykonává Programový výbor Kabinetu pro standardizaci (PV);</w:t>
      </w:r>
    </w:p>
    <w:p w14:paraId="146DD58C" w14:textId="77777777" w:rsidR="00504797" w:rsidRDefault="00504797" w:rsidP="00312988">
      <w:pPr>
        <w:pStyle w:val="Odstavecseseznamem"/>
        <w:numPr>
          <w:ilvl w:val="0"/>
          <w:numId w:val="15"/>
        </w:numPr>
        <w:spacing w:after="120"/>
        <w:ind w:right="-284"/>
        <w:jc w:val="both"/>
        <w:rPr>
          <w:rFonts w:asciiTheme="minorHAnsi" w:hAnsiTheme="minorHAnsi" w:cstheme="minorHAnsi"/>
          <w:sz w:val="22"/>
          <w:szCs w:val="22"/>
        </w:rPr>
      </w:pPr>
      <w:r>
        <w:rPr>
          <w:rFonts w:asciiTheme="minorHAnsi" w:hAnsiTheme="minorHAnsi" w:cstheme="minorHAnsi"/>
          <w:sz w:val="22"/>
          <w:szCs w:val="22"/>
        </w:rPr>
        <w:t>připraví nástroje k e</w:t>
      </w:r>
      <w:r w:rsidRPr="000B0875">
        <w:rPr>
          <w:rFonts w:asciiTheme="minorHAnsi" w:hAnsiTheme="minorHAnsi" w:cstheme="minorHAnsi"/>
          <w:sz w:val="22"/>
          <w:szCs w:val="22"/>
        </w:rPr>
        <w:t>dukac</w:t>
      </w:r>
      <w:r>
        <w:rPr>
          <w:rFonts w:asciiTheme="minorHAnsi" w:hAnsiTheme="minorHAnsi" w:cstheme="minorHAnsi"/>
          <w:sz w:val="22"/>
          <w:szCs w:val="22"/>
        </w:rPr>
        <w:t>i se</w:t>
      </w:r>
      <w:r w:rsidRPr="000B0875">
        <w:rPr>
          <w:rFonts w:asciiTheme="minorHAnsi" w:hAnsiTheme="minorHAnsi" w:cstheme="minorHAnsi"/>
          <w:sz w:val="22"/>
          <w:szCs w:val="22"/>
        </w:rPr>
        <w:t xml:space="preserve"> zaměřen</w:t>
      </w:r>
      <w:r>
        <w:rPr>
          <w:rFonts w:asciiTheme="minorHAnsi" w:hAnsiTheme="minorHAnsi" w:cstheme="minorHAnsi"/>
          <w:sz w:val="22"/>
          <w:szCs w:val="22"/>
        </w:rPr>
        <w:t>ím</w:t>
      </w:r>
      <w:r w:rsidRPr="000B0875">
        <w:rPr>
          <w:rFonts w:asciiTheme="minorHAnsi" w:hAnsiTheme="minorHAnsi" w:cstheme="minorHAnsi"/>
          <w:sz w:val="22"/>
          <w:szCs w:val="22"/>
        </w:rPr>
        <w:t xml:space="preserve"> na spotřebitele i malé a střední podniky</w:t>
      </w:r>
      <w:r>
        <w:rPr>
          <w:rFonts w:asciiTheme="minorHAnsi" w:hAnsiTheme="minorHAnsi" w:cstheme="minorHAnsi"/>
          <w:sz w:val="22"/>
          <w:szCs w:val="22"/>
        </w:rPr>
        <w:t xml:space="preserve">, a sice </w:t>
      </w:r>
      <w:r w:rsidRPr="000B0875">
        <w:rPr>
          <w:rFonts w:asciiTheme="minorHAnsi" w:hAnsiTheme="minorHAnsi" w:cstheme="minorHAnsi"/>
          <w:sz w:val="22"/>
          <w:szCs w:val="22"/>
        </w:rPr>
        <w:t xml:space="preserve">dvou témat </w:t>
      </w:r>
    </w:p>
    <w:p w14:paraId="54A6248A" w14:textId="77777777" w:rsidR="00504797" w:rsidRDefault="00504797" w:rsidP="00312988">
      <w:pPr>
        <w:pStyle w:val="Odstavecseseznamem"/>
        <w:numPr>
          <w:ilvl w:val="1"/>
          <w:numId w:val="15"/>
        </w:numPr>
        <w:spacing w:after="120"/>
        <w:ind w:right="-284"/>
        <w:jc w:val="both"/>
        <w:rPr>
          <w:rFonts w:asciiTheme="minorHAnsi" w:hAnsiTheme="minorHAnsi" w:cstheme="minorHAnsi"/>
          <w:sz w:val="22"/>
          <w:szCs w:val="22"/>
        </w:rPr>
      </w:pPr>
      <w:r w:rsidRPr="000B0875">
        <w:rPr>
          <w:rFonts w:asciiTheme="minorHAnsi" w:hAnsiTheme="minorHAnsi" w:cstheme="minorHAnsi"/>
          <w:sz w:val="22"/>
          <w:szCs w:val="22"/>
        </w:rPr>
        <w:t>nov</w:t>
      </w:r>
      <w:r>
        <w:rPr>
          <w:rFonts w:asciiTheme="minorHAnsi" w:hAnsiTheme="minorHAnsi" w:cstheme="minorHAnsi"/>
          <w:sz w:val="22"/>
          <w:szCs w:val="22"/>
        </w:rPr>
        <w:t>é</w:t>
      </w:r>
      <w:r w:rsidRPr="000B0875">
        <w:rPr>
          <w:rFonts w:asciiTheme="minorHAnsi" w:hAnsiTheme="minorHAnsi" w:cstheme="minorHAnsi"/>
          <w:sz w:val="22"/>
          <w:szCs w:val="22"/>
        </w:rPr>
        <w:t xml:space="preserve"> nařízení o obecné bezpečnosti výrobků </w:t>
      </w:r>
      <w:r>
        <w:rPr>
          <w:rFonts w:asciiTheme="minorHAnsi" w:hAnsiTheme="minorHAnsi" w:cstheme="minorHAnsi"/>
          <w:sz w:val="22"/>
          <w:szCs w:val="22"/>
        </w:rPr>
        <w:t>– co</w:t>
      </w:r>
      <w:r w:rsidRPr="000B0875">
        <w:rPr>
          <w:rFonts w:asciiTheme="minorHAnsi" w:hAnsiTheme="minorHAnsi" w:cstheme="minorHAnsi"/>
          <w:sz w:val="22"/>
          <w:szCs w:val="22"/>
        </w:rPr>
        <w:t xml:space="preserve"> přináší nového</w:t>
      </w:r>
      <w:r>
        <w:rPr>
          <w:rFonts w:asciiTheme="minorHAnsi" w:hAnsiTheme="minorHAnsi" w:cstheme="minorHAnsi"/>
          <w:sz w:val="22"/>
          <w:szCs w:val="22"/>
        </w:rPr>
        <w:t>? p</w:t>
      </w:r>
      <w:r w:rsidRPr="000B0875">
        <w:rPr>
          <w:rFonts w:asciiTheme="minorHAnsi" w:hAnsiTheme="minorHAnsi" w:cstheme="minorHAnsi"/>
          <w:sz w:val="22"/>
          <w:szCs w:val="22"/>
        </w:rPr>
        <w:t xml:space="preserve">odpora porozumění technických norem </w:t>
      </w:r>
      <w:r>
        <w:rPr>
          <w:rFonts w:asciiTheme="minorHAnsi" w:hAnsiTheme="minorHAnsi" w:cstheme="minorHAnsi"/>
          <w:sz w:val="22"/>
          <w:szCs w:val="22"/>
        </w:rPr>
        <w:t>ve vztahu k n</w:t>
      </w:r>
      <w:r w:rsidRPr="000B0875">
        <w:rPr>
          <w:rFonts w:asciiTheme="minorHAnsi" w:hAnsiTheme="minorHAnsi" w:cstheme="minorHAnsi"/>
          <w:sz w:val="22"/>
          <w:szCs w:val="22"/>
        </w:rPr>
        <w:t>ařízení</w:t>
      </w:r>
      <w:r>
        <w:rPr>
          <w:rFonts w:asciiTheme="minorHAnsi" w:hAnsiTheme="minorHAnsi" w:cstheme="minorHAnsi"/>
          <w:sz w:val="22"/>
          <w:szCs w:val="22"/>
        </w:rPr>
        <w:t>,</w:t>
      </w:r>
    </w:p>
    <w:p w14:paraId="04D4A352" w14:textId="77777777" w:rsidR="00504797" w:rsidRDefault="00504797" w:rsidP="00312988">
      <w:pPr>
        <w:pStyle w:val="Odstavecseseznamem"/>
        <w:numPr>
          <w:ilvl w:val="1"/>
          <w:numId w:val="15"/>
        </w:numPr>
        <w:spacing w:after="120"/>
        <w:ind w:right="-284"/>
        <w:jc w:val="both"/>
        <w:rPr>
          <w:rFonts w:asciiTheme="minorHAnsi" w:hAnsiTheme="minorHAnsi" w:cstheme="minorHAnsi"/>
          <w:sz w:val="22"/>
          <w:szCs w:val="22"/>
        </w:rPr>
      </w:pPr>
      <w:r w:rsidRPr="000B0875">
        <w:rPr>
          <w:rFonts w:asciiTheme="minorHAnsi" w:hAnsiTheme="minorHAnsi" w:cstheme="minorHAnsi"/>
          <w:sz w:val="22"/>
          <w:szCs w:val="22"/>
        </w:rPr>
        <w:t>zviditelnění technických norem (a normalizace obecně) na příkladu konkrétního tématu a oblastí normalizace (různé sféry služeb informační společnosti, včetně umělé inteligence)</w:t>
      </w:r>
      <w:r>
        <w:rPr>
          <w:rFonts w:asciiTheme="minorHAnsi" w:hAnsiTheme="minorHAnsi" w:cstheme="minorHAnsi"/>
          <w:sz w:val="22"/>
          <w:szCs w:val="22"/>
        </w:rPr>
        <w:t>;</w:t>
      </w:r>
    </w:p>
    <w:p w14:paraId="6C8A2474" w14:textId="77777777" w:rsidR="00504797" w:rsidRPr="00176974" w:rsidRDefault="00504797" w:rsidP="00312988">
      <w:pPr>
        <w:pStyle w:val="Odstavecseseznamem"/>
        <w:numPr>
          <w:ilvl w:val="0"/>
          <w:numId w:val="15"/>
        </w:numPr>
        <w:spacing w:after="120"/>
        <w:ind w:right="-284"/>
        <w:jc w:val="both"/>
        <w:rPr>
          <w:rFonts w:asciiTheme="minorHAnsi" w:hAnsiTheme="minorHAnsi" w:cstheme="minorHAnsi"/>
          <w:sz w:val="22"/>
          <w:szCs w:val="22"/>
        </w:rPr>
      </w:pPr>
      <w:r w:rsidRPr="00176974">
        <w:rPr>
          <w:rFonts w:asciiTheme="minorHAnsi" w:hAnsiTheme="minorHAnsi" w:cstheme="minorHAnsi"/>
          <w:sz w:val="22"/>
          <w:szCs w:val="22"/>
        </w:rPr>
        <w:t>zpracuje diskusní materiál na základě dokumentu ISO COPOLCO „COPOLCO REVISED STAKEHOLDER ENGAGEMENT STRATEGY“ (ANNEX to COPOLCO N712</w:t>
      </w:r>
      <w:r>
        <w:rPr>
          <w:rFonts w:asciiTheme="minorHAnsi" w:hAnsiTheme="minorHAnsi" w:cstheme="minorHAnsi"/>
          <w:sz w:val="22"/>
          <w:szCs w:val="22"/>
        </w:rPr>
        <w:t>, 12 2023), s případným využitím dalších dostupných dokumentů k tomuto tématu;</w:t>
      </w:r>
    </w:p>
    <w:p w14:paraId="0AA561AB" w14:textId="77777777" w:rsidR="00504797" w:rsidRDefault="00504797" w:rsidP="00312988">
      <w:pPr>
        <w:pStyle w:val="Odstavecseseznamem"/>
        <w:numPr>
          <w:ilvl w:val="0"/>
          <w:numId w:val="15"/>
        </w:numPr>
        <w:spacing w:after="120"/>
        <w:ind w:right="-284"/>
        <w:jc w:val="both"/>
        <w:rPr>
          <w:rFonts w:asciiTheme="minorHAnsi" w:hAnsiTheme="minorHAnsi" w:cstheme="minorHAnsi"/>
          <w:sz w:val="22"/>
          <w:szCs w:val="22"/>
        </w:rPr>
      </w:pPr>
      <w:r w:rsidRPr="000B0875">
        <w:rPr>
          <w:rFonts w:asciiTheme="minorHAnsi" w:hAnsiTheme="minorHAnsi" w:cstheme="minorHAnsi"/>
          <w:sz w:val="22"/>
          <w:szCs w:val="22"/>
        </w:rPr>
        <w:t xml:space="preserve">připraví návrh/y pro </w:t>
      </w:r>
      <w:r>
        <w:rPr>
          <w:rFonts w:asciiTheme="minorHAnsi" w:hAnsiTheme="minorHAnsi" w:cstheme="minorHAnsi"/>
          <w:sz w:val="22"/>
          <w:szCs w:val="22"/>
        </w:rPr>
        <w:t xml:space="preserve">elektronickou </w:t>
      </w:r>
      <w:r w:rsidRPr="000B0875">
        <w:rPr>
          <w:rFonts w:asciiTheme="minorHAnsi" w:hAnsiTheme="minorHAnsi" w:cstheme="minorHAnsi"/>
          <w:sz w:val="22"/>
          <w:szCs w:val="22"/>
        </w:rPr>
        <w:t xml:space="preserve">prezentaci národních aktivit na globální </w:t>
      </w:r>
      <w:r>
        <w:rPr>
          <w:rFonts w:asciiTheme="minorHAnsi" w:hAnsiTheme="minorHAnsi" w:cstheme="minorHAnsi"/>
          <w:sz w:val="22"/>
          <w:szCs w:val="22"/>
        </w:rPr>
        <w:t xml:space="preserve">a evropské </w:t>
      </w:r>
      <w:r w:rsidRPr="000B0875">
        <w:rPr>
          <w:rFonts w:asciiTheme="minorHAnsi" w:hAnsiTheme="minorHAnsi" w:cstheme="minorHAnsi"/>
          <w:sz w:val="22"/>
          <w:szCs w:val="22"/>
        </w:rPr>
        <w:t>úrovni (pro newsletter ISO COPOLCO</w:t>
      </w:r>
      <w:r>
        <w:rPr>
          <w:rFonts w:asciiTheme="minorHAnsi" w:hAnsiTheme="minorHAnsi" w:cstheme="minorHAnsi"/>
          <w:sz w:val="22"/>
          <w:szCs w:val="22"/>
        </w:rPr>
        <w:t xml:space="preserve">); </w:t>
      </w:r>
    </w:p>
    <w:p w14:paraId="05A0836A" w14:textId="77777777" w:rsidR="00504797" w:rsidRDefault="00504797" w:rsidP="00312988">
      <w:pPr>
        <w:pStyle w:val="Odstavecseseznamem"/>
        <w:numPr>
          <w:ilvl w:val="0"/>
          <w:numId w:val="15"/>
        </w:numPr>
        <w:spacing w:after="120"/>
        <w:ind w:right="-284"/>
        <w:jc w:val="both"/>
        <w:rPr>
          <w:rFonts w:asciiTheme="minorHAnsi" w:hAnsiTheme="minorHAnsi" w:cstheme="minorHAnsi"/>
          <w:sz w:val="22"/>
          <w:szCs w:val="22"/>
        </w:rPr>
      </w:pPr>
      <w:r w:rsidRPr="000B0875">
        <w:rPr>
          <w:rFonts w:asciiTheme="minorHAnsi" w:hAnsiTheme="minorHAnsi" w:cstheme="minorHAnsi"/>
          <w:sz w:val="22"/>
          <w:szCs w:val="22"/>
        </w:rPr>
        <w:t xml:space="preserve">vhodnou cestou </w:t>
      </w:r>
      <w:r>
        <w:rPr>
          <w:rFonts w:asciiTheme="minorHAnsi" w:hAnsiTheme="minorHAnsi" w:cstheme="minorHAnsi"/>
          <w:sz w:val="22"/>
          <w:szCs w:val="22"/>
        </w:rPr>
        <w:t>bude t</w:t>
      </w:r>
      <w:r w:rsidRPr="000B0875">
        <w:rPr>
          <w:rFonts w:asciiTheme="minorHAnsi" w:hAnsiTheme="minorHAnsi" w:cstheme="minorHAnsi"/>
          <w:sz w:val="22"/>
          <w:szCs w:val="22"/>
        </w:rPr>
        <w:t>émata a konkrétní výstupy realizované v rámci zakázky prezentov</w:t>
      </w:r>
      <w:r>
        <w:rPr>
          <w:rFonts w:asciiTheme="minorHAnsi" w:hAnsiTheme="minorHAnsi" w:cstheme="minorHAnsi"/>
          <w:sz w:val="22"/>
          <w:szCs w:val="22"/>
        </w:rPr>
        <w:t>at</w:t>
      </w:r>
      <w:r w:rsidRPr="000B0875">
        <w:rPr>
          <w:rFonts w:asciiTheme="minorHAnsi" w:hAnsiTheme="minorHAnsi" w:cstheme="minorHAnsi"/>
          <w:sz w:val="22"/>
          <w:szCs w:val="22"/>
        </w:rPr>
        <w:t xml:space="preserve"> pro veřejnost (tiskové zprávy, web).</w:t>
      </w:r>
    </w:p>
    <w:p w14:paraId="79DE2603" w14:textId="77777777" w:rsidR="00504797" w:rsidRPr="003D699B" w:rsidRDefault="00504797" w:rsidP="00312988">
      <w:pPr>
        <w:spacing w:after="120"/>
        <w:ind w:right="-284"/>
        <w:jc w:val="both"/>
        <w:rPr>
          <w:rFonts w:asciiTheme="minorHAnsi" w:hAnsiTheme="minorHAnsi" w:cstheme="minorHAnsi"/>
          <w:sz w:val="22"/>
          <w:szCs w:val="22"/>
        </w:rPr>
      </w:pPr>
      <w:r>
        <w:rPr>
          <w:rFonts w:asciiTheme="minorHAnsi" w:hAnsiTheme="minorHAnsi" w:cstheme="minorHAnsi"/>
          <w:sz w:val="22"/>
          <w:szCs w:val="22"/>
        </w:rPr>
        <w:t>Náklady na realizaci nabídky v této struktuře jsou v dalším vyčísleny na 180.000,00 Kč.</w:t>
      </w:r>
    </w:p>
    <w:p w14:paraId="7BA6B988" w14:textId="77777777" w:rsidR="00504797" w:rsidRDefault="00504797" w:rsidP="00312988">
      <w:pPr>
        <w:spacing w:after="120"/>
        <w:ind w:right="-284"/>
        <w:jc w:val="both"/>
        <w:rPr>
          <w:rFonts w:asciiTheme="minorHAnsi" w:hAnsiTheme="minorHAnsi" w:cstheme="minorHAnsi"/>
          <w:b/>
          <w:sz w:val="22"/>
          <w:szCs w:val="22"/>
        </w:rPr>
      </w:pPr>
      <w:r w:rsidRPr="00AA58E3">
        <w:rPr>
          <w:rFonts w:asciiTheme="minorHAnsi" w:hAnsiTheme="minorHAnsi" w:cstheme="minorHAnsi"/>
          <w:b/>
          <w:sz w:val="22"/>
          <w:szCs w:val="22"/>
        </w:rPr>
        <w:t>Popis úkolu</w:t>
      </w:r>
      <w:r>
        <w:rPr>
          <w:rFonts w:asciiTheme="minorHAnsi" w:hAnsiTheme="minorHAnsi" w:cstheme="minorHAnsi"/>
          <w:b/>
          <w:sz w:val="22"/>
          <w:szCs w:val="22"/>
        </w:rPr>
        <w:t xml:space="preserve"> (realizační kroky, v</w:t>
      </w:r>
      <w:r w:rsidRPr="00850C4D">
        <w:rPr>
          <w:rFonts w:asciiTheme="minorHAnsi" w:hAnsiTheme="minorHAnsi" w:cstheme="minorHAnsi"/>
          <w:b/>
          <w:sz w:val="22"/>
          <w:szCs w:val="22"/>
        </w:rPr>
        <w:t>ýstupy řešení</w:t>
      </w:r>
      <w:r>
        <w:rPr>
          <w:rFonts w:asciiTheme="minorHAnsi" w:hAnsiTheme="minorHAnsi" w:cstheme="minorHAnsi"/>
          <w:b/>
          <w:sz w:val="22"/>
          <w:szCs w:val="22"/>
        </w:rPr>
        <w:t>)</w:t>
      </w:r>
    </w:p>
    <w:p w14:paraId="46289902" w14:textId="77777777" w:rsidR="00504797" w:rsidRDefault="00504797" w:rsidP="00312988">
      <w:pPr>
        <w:spacing w:after="120"/>
        <w:ind w:right="-284"/>
        <w:jc w:val="both"/>
        <w:rPr>
          <w:rFonts w:asciiTheme="minorHAnsi" w:hAnsiTheme="minorHAnsi" w:cstheme="minorHAnsi"/>
          <w:sz w:val="22"/>
          <w:szCs w:val="22"/>
        </w:rPr>
      </w:pPr>
      <w:r>
        <w:rPr>
          <w:rFonts w:asciiTheme="minorHAnsi" w:hAnsiTheme="minorHAnsi" w:cstheme="minorHAnsi"/>
          <w:sz w:val="22"/>
          <w:szCs w:val="22"/>
        </w:rPr>
        <w:t>Zakázka bude dodavatelem realizována následujícími aktivitami, které jsou zároveň výčtem výstupů k doložení splnění zakázky.</w:t>
      </w:r>
    </w:p>
    <w:p w14:paraId="1E82AC48" w14:textId="5C072303" w:rsidR="00504797" w:rsidRDefault="00504797" w:rsidP="00312988">
      <w:pPr>
        <w:spacing w:after="120"/>
        <w:ind w:right="-284"/>
        <w:jc w:val="both"/>
        <w:rPr>
          <w:rFonts w:asciiTheme="minorHAnsi" w:hAnsiTheme="minorHAnsi" w:cstheme="minorHAnsi"/>
          <w:sz w:val="22"/>
          <w:szCs w:val="22"/>
        </w:rPr>
      </w:pPr>
      <w:r>
        <w:rPr>
          <w:rFonts w:asciiTheme="minorHAnsi" w:hAnsiTheme="minorHAnsi" w:cstheme="minorHAnsi"/>
          <w:sz w:val="22"/>
          <w:szCs w:val="22"/>
        </w:rPr>
        <w:t>V</w:t>
      </w:r>
      <w:r w:rsidRPr="009B76D2">
        <w:rPr>
          <w:rFonts w:asciiTheme="minorHAnsi" w:hAnsiTheme="minorHAnsi" w:cstheme="minorHAnsi"/>
          <w:sz w:val="22"/>
          <w:szCs w:val="22"/>
        </w:rPr>
        <w:t xml:space="preserve">ěcný obsah </w:t>
      </w:r>
      <w:r>
        <w:rPr>
          <w:rFonts w:asciiTheme="minorHAnsi" w:hAnsiTheme="minorHAnsi" w:cstheme="minorHAnsi"/>
          <w:sz w:val="22"/>
          <w:szCs w:val="22"/>
        </w:rPr>
        <w:t>nabídky vychází z a</w:t>
      </w:r>
      <w:r w:rsidRPr="009B76D2">
        <w:rPr>
          <w:rFonts w:asciiTheme="minorHAnsi" w:hAnsiTheme="minorHAnsi" w:cstheme="minorHAnsi"/>
          <w:sz w:val="22"/>
          <w:szCs w:val="22"/>
        </w:rPr>
        <w:t>ktualizovan</w:t>
      </w:r>
      <w:r>
        <w:rPr>
          <w:rFonts w:asciiTheme="minorHAnsi" w:hAnsiTheme="minorHAnsi" w:cstheme="minorHAnsi"/>
          <w:sz w:val="22"/>
          <w:szCs w:val="22"/>
        </w:rPr>
        <w:t>ého</w:t>
      </w:r>
      <w:r w:rsidRPr="009B76D2">
        <w:rPr>
          <w:rFonts w:asciiTheme="minorHAnsi" w:hAnsiTheme="minorHAnsi" w:cstheme="minorHAnsi"/>
          <w:sz w:val="22"/>
          <w:szCs w:val="22"/>
        </w:rPr>
        <w:t xml:space="preserve"> </w:t>
      </w:r>
      <w:proofErr w:type="spellStart"/>
      <w:r w:rsidRPr="009B76D2">
        <w:rPr>
          <w:rFonts w:asciiTheme="minorHAnsi" w:hAnsiTheme="minorHAnsi" w:cstheme="minorHAnsi"/>
          <w:sz w:val="22"/>
          <w:szCs w:val="22"/>
        </w:rPr>
        <w:t>mediaplán</w:t>
      </w:r>
      <w:r>
        <w:rPr>
          <w:rFonts w:asciiTheme="minorHAnsi" w:hAnsiTheme="minorHAnsi" w:cstheme="minorHAnsi"/>
          <w:sz w:val="22"/>
          <w:szCs w:val="22"/>
        </w:rPr>
        <w:t>u</w:t>
      </w:r>
      <w:proofErr w:type="spellEnd"/>
      <w:r>
        <w:rPr>
          <w:rFonts w:asciiTheme="minorHAnsi" w:hAnsiTheme="minorHAnsi" w:cstheme="minorHAnsi"/>
          <w:sz w:val="22"/>
          <w:szCs w:val="22"/>
        </w:rPr>
        <w:t xml:space="preserve">, který byl součástí výstupů zakázky ČAS v r. </w:t>
      </w:r>
      <w:r w:rsidRPr="009B76D2">
        <w:rPr>
          <w:rFonts w:asciiTheme="minorHAnsi" w:hAnsiTheme="minorHAnsi" w:cstheme="minorHAnsi"/>
          <w:sz w:val="22"/>
          <w:szCs w:val="22"/>
        </w:rPr>
        <w:t>2023</w:t>
      </w:r>
      <w:r>
        <w:rPr>
          <w:rFonts w:asciiTheme="minorHAnsi" w:hAnsiTheme="minorHAnsi" w:cstheme="minorHAnsi"/>
          <w:sz w:val="22"/>
          <w:szCs w:val="22"/>
        </w:rPr>
        <w:t>, případně i v letech předcházejících.</w:t>
      </w:r>
    </w:p>
    <w:p w14:paraId="6B12AAC0" w14:textId="77777777" w:rsidR="009328E2" w:rsidRPr="00312988" w:rsidRDefault="009328E2" w:rsidP="00312988">
      <w:pPr>
        <w:spacing w:after="120"/>
        <w:ind w:right="-284"/>
        <w:jc w:val="both"/>
        <w:rPr>
          <w:rFonts w:asciiTheme="minorHAnsi" w:hAnsiTheme="minorHAnsi" w:cstheme="minorHAnsi"/>
          <w:sz w:val="10"/>
          <w:szCs w:val="22"/>
        </w:rPr>
      </w:pPr>
    </w:p>
    <w:p w14:paraId="35067D07" w14:textId="77777777" w:rsidR="00504797" w:rsidRPr="00662D99" w:rsidRDefault="00504797" w:rsidP="00312988">
      <w:pPr>
        <w:pStyle w:val="Odstavecseseznamem"/>
        <w:numPr>
          <w:ilvl w:val="0"/>
          <w:numId w:val="19"/>
        </w:numPr>
        <w:spacing w:after="120"/>
        <w:ind w:right="-284"/>
        <w:jc w:val="both"/>
        <w:rPr>
          <w:rFonts w:asciiTheme="minorHAnsi" w:hAnsiTheme="minorHAnsi" w:cstheme="minorHAnsi"/>
          <w:b/>
          <w:bCs/>
          <w:sz w:val="22"/>
          <w:szCs w:val="22"/>
        </w:rPr>
      </w:pPr>
      <w:r w:rsidRPr="00662D99">
        <w:rPr>
          <w:rFonts w:asciiTheme="minorHAnsi" w:hAnsiTheme="minorHAnsi" w:cstheme="minorHAnsi"/>
          <w:b/>
          <w:bCs/>
          <w:sz w:val="22"/>
          <w:szCs w:val="22"/>
        </w:rPr>
        <w:t>Rozvíjení infrastruktury, podpora koordinace a komunikace:</w:t>
      </w:r>
    </w:p>
    <w:p w14:paraId="54F74411" w14:textId="77777777" w:rsidR="00504797" w:rsidRPr="00662D99" w:rsidRDefault="00504797" w:rsidP="00312988">
      <w:pPr>
        <w:pStyle w:val="Odstavecseseznamem"/>
        <w:spacing w:after="120"/>
        <w:ind w:left="360" w:right="-284"/>
        <w:jc w:val="both"/>
        <w:rPr>
          <w:rFonts w:asciiTheme="minorHAnsi" w:hAnsiTheme="minorHAnsi" w:cstheme="minorHAnsi"/>
          <w:b/>
          <w:bCs/>
          <w:sz w:val="22"/>
          <w:szCs w:val="22"/>
        </w:rPr>
      </w:pPr>
      <w:r w:rsidRPr="00662D99">
        <w:rPr>
          <w:rFonts w:asciiTheme="minorHAnsi" w:hAnsiTheme="minorHAnsi" w:cstheme="minorHAnsi"/>
          <w:b/>
          <w:bCs/>
          <w:sz w:val="22"/>
          <w:szCs w:val="22"/>
        </w:rPr>
        <w:t xml:space="preserve">Využití a rozvíjení funkce existujících struktur pro koordinaci zapojení spotřebitelů v oblasti ISO COPOLCO </w:t>
      </w:r>
    </w:p>
    <w:p w14:paraId="2CFB27CE" w14:textId="77777777" w:rsidR="00504797" w:rsidRDefault="00504797" w:rsidP="00312988">
      <w:pPr>
        <w:pStyle w:val="Odstavecseseznamem"/>
        <w:spacing w:after="120"/>
        <w:ind w:left="360" w:right="-284"/>
        <w:jc w:val="both"/>
        <w:rPr>
          <w:rFonts w:asciiTheme="minorHAnsi" w:hAnsiTheme="minorHAnsi" w:cstheme="minorHAnsi"/>
          <w:sz w:val="22"/>
          <w:szCs w:val="22"/>
        </w:rPr>
      </w:pPr>
      <w:r w:rsidRPr="005B1A84">
        <w:rPr>
          <w:rFonts w:asciiTheme="minorHAnsi" w:hAnsiTheme="minorHAnsi" w:cstheme="minorHAnsi"/>
          <w:sz w:val="22"/>
          <w:szCs w:val="22"/>
        </w:rPr>
        <w:t>V rámci zakázky</w:t>
      </w:r>
      <w:r>
        <w:rPr>
          <w:rFonts w:asciiTheme="minorHAnsi" w:hAnsiTheme="minorHAnsi" w:cstheme="minorHAnsi"/>
          <w:sz w:val="22"/>
          <w:szCs w:val="22"/>
        </w:rPr>
        <w:t xml:space="preserve"> v této části </w:t>
      </w:r>
      <w:r w:rsidRPr="005B1A84">
        <w:rPr>
          <w:rFonts w:asciiTheme="minorHAnsi" w:hAnsiTheme="minorHAnsi" w:cstheme="minorHAnsi"/>
          <w:sz w:val="22"/>
          <w:szCs w:val="22"/>
        </w:rPr>
        <w:t>dodavatel zajistí</w:t>
      </w:r>
      <w:r>
        <w:rPr>
          <w:rFonts w:asciiTheme="minorHAnsi" w:hAnsiTheme="minorHAnsi" w:cstheme="minorHAnsi"/>
          <w:sz w:val="22"/>
          <w:szCs w:val="22"/>
        </w:rPr>
        <w:t>:</w:t>
      </w:r>
      <w:r w:rsidRPr="005B1A84">
        <w:rPr>
          <w:rFonts w:asciiTheme="minorHAnsi" w:hAnsiTheme="minorHAnsi" w:cstheme="minorHAnsi"/>
          <w:sz w:val="22"/>
          <w:szCs w:val="22"/>
        </w:rPr>
        <w:t xml:space="preserve"> </w:t>
      </w:r>
    </w:p>
    <w:p w14:paraId="3A32C554" w14:textId="77777777" w:rsidR="00504797" w:rsidRPr="00850C4D" w:rsidRDefault="00504797" w:rsidP="00312988">
      <w:pPr>
        <w:numPr>
          <w:ilvl w:val="0"/>
          <w:numId w:val="17"/>
        </w:numPr>
        <w:spacing w:after="120"/>
        <w:ind w:right="-284"/>
        <w:jc w:val="both"/>
        <w:rPr>
          <w:rFonts w:asciiTheme="minorHAnsi" w:hAnsiTheme="minorHAnsi" w:cstheme="minorHAnsi"/>
          <w:sz w:val="22"/>
          <w:szCs w:val="22"/>
        </w:rPr>
      </w:pPr>
      <w:r w:rsidRPr="00850C4D">
        <w:rPr>
          <w:rFonts w:asciiTheme="minorHAnsi" w:hAnsiTheme="minorHAnsi" w:cstheme="minorHAnsi"/>
          <w:sz w:val="22"/>
          <w:szCs w:val="22"/>
        </w:rPr>
        <w:lastRenderedPageBreak/>
        <w:t>Funkci národní Pracovní skupiny pro ISO COPOLCO</w:t>
      </w:r>
      <w:r>
        <w:rPr>
          <w:rFonts w:asciiTheme="minorHAnsi" w:hAnsiTheme="minorHAnsi" w:cstheme="minorHAnsi"/>
          <w:sz w:val="22"/>
          <w:szCs w:val="22"/>
        </w:rPr>
        <w:t>, kterou</w:t>
      </w:r>
      <w:r w:rsidRPr="00850C4D">
        <w:rPr>
          <w:rFonts w:asciiTheme="minorHAnsi" w:hAnsiTheme="minorHAnsi" w:cstheme="minorHAnsi"/>
          <w:sz w:val="22"/>
          <w:szCs w:val="22"/>
        </w:rPr>
        <w:t xml:space="preserve"> vykonává Programový výbor Kabinetu pro standard</w:t>
      </w:r>
      <w:r>
        <w:rPr>
          <w:rFonts w:asciiTheme="minorHAnsi" w:hAnsiTheme="minorHAnsi" w:cstheme="minorHAnsi"/>
          <w:sz w:val="22"/>
          <w:szCs w:val="22"/>
        </w:rPr>
        <w:t xml:space="preserve">izaci (PV), složený aktuálně z </w:t>
      </w:r>
      <w:r w:rsidRPr="00984DF2">
        <w:rPr>
          <w:rFonts w:asciiTheme="minorHAnsi" w:hAnsiTheme="minorHAnsi" w:cstheme="minorHAnsi"/>
          <w:sz w:val="22"/>
          <w:szCs w:val="22"/>
        </w:rPr>
        <w:t>16</w:t>
      </w:r>
      <w:r w:rsidRPr="00850C4D">
        <w:rPr>
          <w:rFonts w:asciiTheme="minorHAnsi" w:hAnsiTheme="minorHAnsi" w:cstheme="minorHAnsi"/>
          <w:sz w:val="22"/>
          <w:szCs w:val="22"/>
        </w:rPr>
        <w:t xml:space="preserve"> partnerských zainteresovaných stran (</w:t>
      </w:r>
      <w:r>
        <w:rPr>
          <w:rFonts w:asciiTheme="minorHAnsi" w:hAnsiTheme="minorHAnsi" w:cstheme="minorHAnsi"/>
          <w:sz w:val="22"/>
          <w:szCs w:val="22"/>
        </w:rPr>
        <w:t xml:space="preserve">včetně ČAS a dále  </w:t>
      </w:r>
      <w:r w:rsidRPr="00850C4D">
        <w:rPr>
          <w:rFonts w:asciiTheme="minorHAnsi" w:hAnsiTheme="minorHAnsi" w:cstheme="minorHAnsi"/>
          <w:sz w:val="22"/>
          <w:szCs w:val="22"/>
        </w:rPr>
        <w:t>spotřebitelské organizace, malé a střední podniky, organizace osob se zdravotním postižením, Rada seniorů, veřejné orgány (ČIA), subjekty posuzování shody (</w:t>
      </w:r>
      <w:proofErr w:type="spellStart"/>
      <w:r w:rsidRPr="00850C4D">
        <w:rPr>
          <w:rFonts w:asciiTheme="minorHAnsi" w:hAnsiTheme="minorHAnsi" w:cstheme="minorHAnsi"/>
          <w:sz w:val="22"/>
          <w:szCs w:val="22"/>
        </w:rPr>
        <w:t>Eurolab</w:t>
      </w:r>
      <w:proofErr w:type="spellEnd"/>
      <w:r w:rsidRPr="00850C4D">
        <w:rPr>
          <w:rFonts w:asciiTheme="minorHAnsi" w:hAnsiTheme="minorHAnsi" w:cstheme="minorHAnsi"/>
          <w:sz w:val="22"/>
          <w:szCs w:val="22"/>
        </w:rPr>
        <w:t xml:space="preserve">, AAAO)). </w:t>
      </w:r>
    </w:p>
    <w:p w14:paraId="48C909E5" w14:textId="77777777" w:rsidR="00504797" w:rsidRDefault="00504797" w:rsidP="00312988">
      <w:pPr>
        <w:spacing w:after="120"/>
        <w:ind w:left="785" w:right="-284"/>
        <w:jc w:val="both"/>
        <w:rPr>
          <w:rFonts w:asciiTheme="minorHAnsi" w:hAnsiTheme="minorHAnsi" w:cstheme="minorHAnsi"/>
          <w:sz w:val="22"/>
          <w:szCs w:val="22"/>
        </w:rPr>
      </w:pPr>
      <w:r w:rsidRPr="00850C4D">
        <w:rPr>
          <w:rFonts w:asciiTheme="minorHAnsi" w:hAnsiTheme="minorHAnsi" w:cstheme="minorHAnsi"/>
          <w:sz w:val="22"/>
          <w:szCs w:val="22"/>
        </w:rPr>
        <w:t xml:space="preserve">Urgentně vnímanou problematikou se dále v případě potřeby zabývá užší Operativní výbor, složený z dobrovolných členů PV. </w:t>
      </w:r>
    </w:p>
    <w:p w14:paraId="638D82FC" w14:textId="77777777" w:rsidR="00504797" w:rsidRPr="00850C4D" w:rsidRDefault="00504797" w:rsidP="00312988">
      <w:pPr>
        <w:spacing w:after="120"/>
        <w:ind w:left="785" w:right="-284"/>
        <w:jc w:val="both"/>
        <w:rPr>
          <w:rFonts w:asciiTheme="minorHAnsi" w:hAnsiTheme="minorHAnsi" w:cstheme="minorHAnsi"/>
          <w:sz w:val="22"/>
          <w:szCs w:val="22"/>
        </w:rPr>
      </w:pPr>
      <w:r w:rsidRPr="00850C4D">
        <w:rPr>
          <w:rFonts w:asciiTheme="minorHAnsi" w:hAnsiTheme="minorHAnsi" w:cstheme="minorHAnsi"/>
          <w:sz w:val="22"/>
          <w:szCs w:val="22"/>
        </w:rPr>
        <w:t xml:space="preserve">Tato osvědčená pracovní struktura bude </w:t>
      </w:r>
      <w:r>
        <w:rPr>
          <w:rFonts w:asciiTheme="minorHAnsi" w:hAnsiTheme="minorHAnsi" w:cstheme="minorHAnsi"/>
          <w:sz w:val="22"/>
          <w:szCs w:val="22"/>
        </w:rPr>
        <w:t xml:space="preserve">uchována a </w:t>
      </w:r>
      <w:r w:rsidRPr="00850C4D">
        <w:rPr>
          <w:rFonts w:asciiTheme="minorHAnsi" w:hAnsiTheme="minorHAnsi" w:cstheme="minorHAnsi"/>
          <w:sz w:val="22"/>
          <w:szCs w:val="22"/>
        </w:rPr>
        <w:t xml:space="preserve">dále využívána. </w:t>
      </w:r>
    </w:p>
    <w:p w14:paraId="46E6F3DC" w14:textId="77777777" w:rsidR="00504797" w:rsidRPr="00850C4D" w:rsidRDefault="00504797" w:rsidP="00312988">
      <w:pPr>
        <w:numPr>
          <w:ilvl w:val="0"/>
          <w:numId w:val="17"/>
        </w:numPr>
        <w:spacing w:after="120"/>
        <w:ind w:right="-284"/>
        <w:jc w:val="both"/>
        <w:rPr>
          <w:rFonts w:asciiTheme="minorHAnsi" w:hAnsiTheme="minorHAnsi" w:cstheme="minorHAnsi"/>
          <w:sz w:val="22"/>
          <w:szCs w:val="22"/>
        </w:rPr>
      </w:pPr>
      <w:r w:rsidRPr="00850C4D">
        <w:rPr>
          <w:rFonts w:asciiTheme="minorHAnsi" w:hAnsiTheme="minorHAnsi" w:cstheme="minorHAnsi"/>
          <w:sz w:val="22"/>
          <w:szCs w:val="22"/>
        </w:rPr>
        <w:t>Na rok 202</w:t>
      </w:r>
      <w:r>
        <w:rPr>
          <w:rFonts w:asciiTheme="minorHAnsi" w:hAnsiTheme="minorHAnsi" w:cstheme="minorHAnsi"/>
          <w:sz w:val="22"/>
          <w:szCs w:val="22"/>
        </w:rPr>
        <w:t>4</w:t>
      </w:r>
      <w:r w:rsidRPr="00850C4D">
        <w:rPr>
          <w:rFonts w:asciiTheme="minorHAnsi" w:hAnsiTheme="minorHAnsi" w:cstheme="minorHAnsi"/>
          <w:sz w:val="22"/>
          <w:szCs w:val="22"/>
        </w:rPr>
        <w:t xml:space="preserve"> se předpokládají dvě </w:t>
      </w:r>
      <w:r>
        <w:rPr>
          <w:rFonts w:asciiTheme="minorHAnsi" w:hAnsiTheme="minorHAnsi" w:cstheme="minorHAnsi"/>
          <w:sz w:val="22"/>
          <w:szCs w:val="22"/>
        </w:rPr>
        <w:t xml:space="preserve">fyzická </w:t>
      </w:r>
      <w:r w:rsidRPr="00850C4D">
        <w:rPr>
          <w:rFonts w:asciiTheme="minorHAnsi" w:hAnsiTheme="minorHAnsi" w:cstheme="minorHAnsi"/>
          <w:sz w:val="22"/>
          <w:szCs w:val="22"/>
        </w:rPr>
        <w:t xml:space="preserve">zasedání </w:t>
      </w:r>
      <w:r>
        <w:rPr>
          <w:rFonts w:asciiTheme="minorHAnsi" w:hAnsiTheme="minorHAnsi" w:cstheme="minorHAnsi"/>
          <w:sz w:val="22"/>
          <w:szCs w:val="22"/>
        </w:rPr>
        <w:t xml:space="preserve">PV; v případě kritické situace budou zajištěna zasedání on-line. </w:t>
      </w:r>
    </w:p>
    <w:p w14:paraId="2526117F" w14:textId="77777777" w:rsidR="00504797" w:rsidRPr="00850C4D" w:rsidRDefault="00504797" w:rsidP="00312988">
      <w:pPr>
        <w:numPr>
          <w:ilvl w:val="0"/>
          <w:numId w:val="17"/>
        </w:numPr>
        <w:spacing w:after="120"/>
        <w:ind w:right="-284"/>
        <w:jc w:val="both"/>
        <w:rPr>
          <w:rFonts w:asciiTheme="minorHAnsi" w:hAnsiTheme="minorHAnsi" w:cstheme="minorHAnsi"/>
          <w:sz w:val="22"/>
          <w:szCs w:val="22"/>
        </w:rPr>
      </w:pPr>
      <w:r w:rsidRPr="00850C4D">
        <w:rPr>
          <w:rFonts w:asciiTheme="minorHAnsi" w:hAnsiTheme="minorHAnsi" w:cstheme="minorHAnsi"/>
          <w:sz w:val="22"/>
          <w:szCs w:val="22"/>
        </w:rPr>
        <w:t xml:space="preserve">Operativní komunikace a projednávání dokumentů </w:t>
      </w:r>
      <w:r>
        <w:rPr>
          <w:rFonts w:asciiTheme="minorHAnsi" w:hAnsiTheme="minorHAnsi" w:cstheme="minorHAnsi"/>
          <w:sz w:val="22"/>
          <w:szCs w:val="22"/>
        </w:rPr>
        <w:t>bude</w:t>
      </w:r>
      <w:r w:rsidRPr="00850C4D">
        <w:rPr>
          <w:rFonts w:asciiTheme="minorHAnsi" w:hAnsiTheme="minorHAnsi" w:cstheme="minorHAnsi"/>
          <w:sz w:val="22"/>
          <w:szCs w:val="22"/>
        </w:rPr>
        <w:t xml:space="preserve"> zajištěno průběžně korespondenčně, v případě potřeby </w:t>
      </w:r>
      <w:r w:rsidRPr="00C63519">
        <w:rPr>
          <w:rFonts w:asciiTheme="minorHAnsi" w:hAnsiTheme="minorHAnsi" w:cstheme="minorHAnsi"/>
          <w:i/>
          <w:sz w:val="22"/>
          <w:szCs w:val="22"/>
        </w:rPr>
        <w:t>per rollam</w:t>
      </w:r>
      <w:r w:rsidRPr="00850C4D">
        <w:rPr>
          <w:rFonts w:asciiTheme="minorHAnsi" w:hAnsiTheme="minorHAnsi" w:cstheme="minorHAnsi"/>
          <w:sz w:val="22"/>
          <w:szCs w:val="22"/>
        </w:rPr>
        <w:t xml:space="preserve"> projednáním a </w:t>
      </w:r>
      <w:r>
        <w:rPr>
          <w:rFonts w:asciiTheme="minorHAnsi" w:hAnsiTheme="minorHAnsi" w:cstheme="minorHAnsi"/>
          <w:sz w:val="22"/>
          <w:szCs w:val="22"/>
        </w:rPr>
        <w:t>s</w:t>
      </w:r>
      <w:r w:rsidRPr="00850C4D">
        <w:rPr>
          <w:rFonts w:asciiTheme="minorHAnsi" w:hAnsiTheme="minorHAnsi" w:cstheme="minorHAnsi"/>
          <w:sz w:val="22"/>
          <w:szCs w:val="22"/>
        </w:rPr>
        <w:t>chválením.</w:t>
      </w:r>
    </w:p>
    <w:p w14:paraId="4079EF0E" w14:textId="77777777" w:rsidR="00504797" w:rsidRPr="00850C4D" w:rsidRDefault="00504797" w:rsidP="00312988">
      <w:pPr>
        <w:numPr>
          <w:ilvl w:val="0"/>
          <w:numId w:val="17"/>
        </w:numPr>
        <w:spacing w:after="120"/>
        <w:ind w:right="-284"/>
        <w:jc w:val="both"/>
        <w:rPr>
          <w:rFonts w:asciiTheme="minorHAnsi" w:hAnsiTheme="minorHAnsi" w:cstheme="minorHAnsi"/>
          <w:sz w:val="22"/>
          <w:szCs w:val="22"/>
        </w:rPr>
      </w:pPr>
      <w:r w:rsidRPr="00850C4D">
        <w:rPr>
          <w:rFonts w:asciiTheme="minorHAnsi" w:hAnsiTheme="minorHAnsi" w:cstheme="minorHAnsi"/>
          <w:sz w:val="22"/>
          <w:szCs w:val="22"/>
        </w:rPr>
        <w:t>V PV mají zastoupení stálí i jako hosté přizvávaní zástupci ČAS. Podávají průběžně informace o vývoji z pozice ČAS a mohou aktivně přispívat k programu zasedání PV.</w:t>
      </w:r>
    </w:p>
    <w:p w14:paraId="20D4D596" w14:textId="77777777" w:rsidR="00504797" w:rsidRPr="00850C4D" w:rsidRDefault="00504797" w:rsidP="00312988">
      <w:pPr>
        <w:pStyle w:val="Odstavecseseznamem"/>
        <w:numPr>
          <w:ilvl w:val="0"/>
          <w:numId w:val="18"/>
        </w:numPr>
        <w:spacing w:after="120"/>
        <w:ind w:right="-284"/>
        <w:jc w:val="both"/>
        <w:rPr>
          <w:rFonts w:asciiTheme="minorHAnsi" w:hAnsiTheme="minorHAnsi" w:cstheme="minorHAnsi"/>
          <w:sz w:val="22"/>
          <w:szCs w:val="22"/>
        </w:rPr>
      </w:pPr>
      <w:r w:rsidRPr="00850C4D">
        <w:rPr>
          <w:rFonts w:asciiTheme="minorHAnsi" w:hAnsiTheme="minorHAnsi" w:cstheme="minorHAnsi"/>
          <w:sz w:val="22"/>
          <w:szCs w:val="22"/>
        </w:rPr>
        <w:t xml:space="preserve">Programy zasedání </w:t>
      </w:r>
      <w:r>
        <w:rPr>
          <w:rFonts w:asciiTheme="minorHAnsi" w:hAnsiTheme="minorHAnsi" w:cstheme="minorHAnsi"/>
          <w:sz w:val="22"/>
          <w:szCs w:val="22"/>
        </w:rPr>
        <w:t xml:space="preserve">PV </w:t>
      </w:r>
      <w:r w:rsidRPr="00850C4D">
        <w:rPr>
          <w:rFonts w:asciiTheme="minorHAnsi" w:hAnsiTheme="minorHAnsi" w:cstheme="minorHAnsi"/>
          <w:sz w:val="22"/>
          <w:szCs w:val="22"/>
        </w:rPr>
        <w:t xml:space="preserve">jsou vystaveny na adrese </w:t>
      </w:r>
      <w:hyperlink r:id="rId12" w:history="1">
        <w:r w:rsidRPr="00850C4D">
          <w:rPr>
            <w:rStyle w:val="Hypertextovodkaz"/>
            <w:rFonts w:asciiTheme="minorHAnsi" w:eastAsiaTheme="minorEastAsia" w:hAnsiTheme="minorHAnsi" w:cstheme="minorHAnsi"/>
            <w:sz w:val="22"/>
            <w:szCs w:val="22"/>
          </w:rPr>
          <w:t>https://www.top-normy.cz/kabinet-pro-standardizaci/dokumenty-a-organy/pracovni-dokumenty.php</w:t>
        </w:r>
      </w:hyperlink>
      <w:r w:rsidRPr="00850C4D">
        <w:rPr>
          <w:rFonts w:asciiTheme="minorHAnsi" w:hAnsiTheme="minorHAnsi" w:cstheme="minorHAnsi"/>
          <w:sz w:val="22"/>
          <w:szCs w:val="22"/>
        </w:rPr>
        <w:t xml:space="preserve">. </w:t>
      </w:r>
    </w:p>
    <w:p w14:paraId="2012ABBE" w14:textId="77777777" w:rsidR="00504797" w:rsidRPr="00850C4D" w:rsidRDefault="00504797" w:rsidP="00312988">
      <w:pPr>
        <w:pStyle w:val="Odstavecseseznamem"/>
        <w:numPr>
          <w:ilvl w:val="0"/>
          <w:numId w:val="18"/>
        </w:numPr>
        <w:spacing w:after="120"/>
        <w:ind w:right="-284"/>
        <w:jc w:val="both"/>
        <w:rPr>
          <w:rFonts w:asciiTheme="minorHAnsi" w:hAnsiTheme="minorHAnsi" w:cstheme="minorHAnsi"/>
          <w:sz w:val="22"/>
          <w:szCs w:val="22"/>
        </w:rPr>
      </w:pPr>
      <w:r w:rsidRPr="00850C4D">
        <w:rPr>
          <w:rFonts w:asciiTheme="minorHAnsi" w:hAnsiTheme="minorHAnsi" w:cstheme="minorHAnsi"/>
          <w:sz w:val="22"/>
          <w:szCs w:val="22"/>
        </w:rPr>
        <w:t>Výstupem aktivity bude písemná informace (o programech i obsahu zasedání)</w:t>
      </w:r>
      <w:r>
        <w:rPr>
          <w:rFonts w:asciiTheme="minorHAnsi" w:hAnsiTheme="minorHAnsi" w:cstheme="minorHAnsi"/>
          <w:sz w:val="22"/>
          <w:szCs w:val="22"/>
        </w:rPr>
        <w:t xml:space="preserve"> jako součást závěrečné zprávy</w:t>
      </w:r>
      <w:r w:rsidRPr="00850C4D">
        <w:rPr>
          <w:rFonts w:asciiTheme="minorHAnsi" w:hAnsiTheme="minorHAnsi" w:cstheme="minorHAnsi"/>
          <w:sz w:val="22"/>
          <w:szCs w:val="22"/>
        </w:rPr>
        <w:t>.</w:t>
      </w:r>
    </w:p>
    <w:p w14:paraId="0753601C" w14:textId="77777777" w:rsidR="00504797" w:rsidRPr="00150F30" w:rsidRDefault="00504797" w:rsidP="00312988">
      <w:pPr>
        <w:pStyle w:val="Odstavecseseznamem"/>
        <w:numPr>
          <w:ilvl w:val="0"/>
          <w:numId w:val="19"/>
        </w:numPr>
        <w:spacing w:after="120"/>
        <w:ind w:right="-284"/>
        <w:jc w:val="both"/>
        <w:rPr>
          <w:rFonts w:asciiTheme="minorHAnsi" w:hAnsiTheme="minorHAnsi" w:cstheme="minorHAnsi"/>
          <w:b/>
          <w:bCs/>
          <w:sz w:val="22"/>
          <w:szCs w:val="22"/>
        </w:rPr>
      </w:pPr>
      <w:r>
        <w:rPr>
          <w:rFonts w:asciiTheme="minorHAnsi" w:hAnsiTheme="minorHAnsi" w:cstheme="minorHAnsi"/>
          <w:b/>
          <w:bCs/>
          <w:sz w:val="22"/>
          <w:szCs w:val="22"/>
        </w:rPr>
        <w:t>Vzdělávání zainteresovaných stran, zejména spotřebitelů a MSP</w:t>
      </w:r>
    </w:p>
    <w:p w14:paraId="249ABB9C" w14:textId="77777777" w:rsidR="00504797" w:rsidRPr="00DE4C17" w:rsidRDefault="00504797" w:rsidP="00312988">
      <w:pPr>
        <w:pStyle w:val="Odstavecseseznamem"/>
        <w:numPr>
          <w:ilvl w:val="0"/>
          <w:numId w:val="21"/>
        </w:numPr>
        <w:spacing w:after="120"/>
        <w:ind w:right="-284"/>
        <w:rPr>
          <w:rFonts w:asciiTheme="minorHAnsi" w:hAnsiTheme="minorHAnsi" w:cstheme="minorHAnsi"/>
          <w:b/>
          <w:sz w:val="22"/>
          <w:szCs w:val="22"/>
        </w:rPr>
      </w:pPr>
      <w:r w:rsidRPr="00DE4C17">
        <w:rPr>
          <w:rFonts w:asciiTheme="minorHAnsi" w:hAnsiTheme="minorHAnsi" w:cstheme="minorHAnsi"/>
          <w:b/>
          <w:sz w:val="22"/>
          <w:szCs w:val="22"/>
        </w:rPr>
        <w:t>Podpora porozumění technických norem</w:t>
      </w:r>
    </w:p>
    <w:p w14:paraId="5F1C144E" w14:textId="77777777" w:rsidR="00504797" w:rsidRDefault="00504797" w:rsidP="00312988">
      <w:pPr>
        <w:pStyle w:val="Odstavecseseznamem"/>
        <w:numPr>
          <w:ilvl w:val="1"/>
          <w:numId w:val="20"/>
        </w:numPr>
        <w:spacing w:after="120"/>
        <w:ind w:left="1069" w:right="-284"/>
        <w:jc w:val="both"/>
        <w:rPr>
          <w:rFonts w:asciiTheme="minorHAnsi" w:hAnsiTheme="minorHAnsi" w:cstheme="minorHAnsi"/>
          <w:sz w:val="22"/>
          <w:szCs w:val="22"/>
        </w:rPr>
      </w:pPr>
      <w:r w:rsidRPr="00984DF2">
        <w:rPr>
          <w:rFonts w:asciiTheme="minorHAnsi" w:hAnsiTheme="minorHAnsi" w:cstheme="minorHAnsi"/>
          <w:sz w:val="22"/>
          <w:szCs w:val="22"/>
        </w:rPr>
        <w:t xml:space="preserve">Dodavatel zpracuje </w:t>
      </w:r>
      <w:r>
        <w:rPr>
          <w:rFonts w:asciiTheme="minorHAnsi" w:hAnsiTheme="minorHAnsi" w:cstheme="minorHAnsi"/>
          <w:sz w:val="22"/>
          <w:szCs w:val="22"/>
        </w:rPr>
        <w:t>e-</w:t>
      </w:r>
      <w:r w:rsidRPr="00984DF2">
        <w:rPr>
          <w:rFonts w:asciiTheme="minorHAnsi" w:hAnsiTheme="minorHAnsi" w:cstheme="minorHAnsi"/>
          <w:sz w:val="22"/>
          <w:szCs w:val="22"/>
        </w:rPr>
        <w:t xml:space="preserve">publikaci </w:t>
      </w:r>
      <w:r>
        <w:rPr>
          <w:rFonts w:asciiTheme="minorHAnsi" w:hAnsiTheme="minorHAnsi" w:cstheme="minorHAnsi"/>
          <w:sz w:val="22"/>
          <w:szCs w:val="22"/>
        </w:rPr>
        <w:t xml:space="preserve">pro vystavení na webu o druzích technických norem s důrazem na aplikaci </w:t>
      </w:r>
      <w:r w:rsidRPr="00984DF2">
        <w:rPr>
          <w:rFonts w:asciiTheme="minorHAnsi" w:hAnsiTheme="minorHAnsi" w:cstheme="minorHAnsi"/>
          <w:sz w:val="22"/>
          <w:szCs w:val="22"/>
        </w:rPr>
        <w:t xml:space="preserve">nového </w:t>
      </w:r>
      <w:r>
        <w:rPr>
          <w:rFonts w:asciiTheme="minorHAnsi" w:hAnsiTheme="minorHAnsi" w:cstheme="minorHAnsi"/>
          <w:sz w:val="22"/>
          <w:szCs w:val="22"/>
        </w:rPr>
        <w:t xml:space="preserve">nařízení o </w:t>
      </w:r>
      <w:r w:rsidRPr="00824F19">
        <w:rPr>
          <w:rFonts w:asciiTheme="minorHAnsi" w:hAnsiTheme="minorHAnsi" w:cstheme="minorHAnsi"/>
          <w:sz w:val="22"/>
          <w:szCs w:val="22"/>
        </w:rPr>
        <w:t>obecné bezpečnosti výrobků</w:t>
      </w:r>
      <w:r>
        <w:rPr>
          <w:rFonts w:asciiTheme="minorHAnsi" w:hAnsiTheme="minorHAnsi" w:cstheme="minorHAnsi"/>
          <w:sz w:val="22"/>
          <w:szCs w:val="22"/>
        </w:rPr>
        <w:t xml:space="preserve"> (</w:t>
      </w:r>
      <w:r w:rsidRPr="00984DF2">
        <w:rPr>
          <w:rFonts w:asciiTheme="minorHAnsi" w:hAnsiTheme="minorHAnsi" w:cstheme="minorHAnsi"/>
          <w:sz w:val="22"/>
          <w:szCs w:val="22"/>
        </w:rPr>
        <w:t>GPSR</w:t>
      </w:r>
      <w:r>
        <w:rPr>
          <w:rFonts w:asciiTheme="minorHAnsi" w:hAnsiTheme="minorHAnsi" w:cstheme="minorHAnsi"/>
          <w:sz w:val="22"/>
          <w:szCs w:val="22"/>
        </w:rPr>
        <w:t>)</w:t>
      </w:r>
      <w:r>
        <w:rPr>
          <w:rStyle w:val="Znakapoznpodarou"/>
          <w:rFonts w:asciiTheme="minorHAnsi" w:hAnsiTheme="minorHAnsi" w:cstheme="minorHAnsi"/>
          <w:sz w:val="22"/>
          <w:szCs w:val="22"/>
        </w:rPr>
        <w:footnoteReference w:id="1"/>
      </w:r>
      <w:r w:rsidRPr="00824F19">
        <w:rPr>
          <w:rFonts w:asciiTheme="minorHAnsi" w:hAnsiTheme="minorHAnsi" w:cstheme="minorHAnsi"/>
          <w:sz w:val="22"/>
          <w:szCs w:val="22"/>
        </w:rPr>
        <w:t xml:space="preserve"> </w:t>
      </w:r>
      <w:r>
        <w:rPr>
          <w:rFonts w:asciiTheme="minorHAnsi" w:hAnsiTheme="minorHAnsi" w:cstheme="minorHAnsi"/>
          <w:sz w:val="22"/>
          <w:szCs w:val="22"/>
        </w:rPr>
        <w:t xml:space="preserve">s rekapitulací informací o normách </w:t>
      </w:r>
      <w:r w:rsidRPr="00984DF2">
        <w:rPr>
          <w:rFonts w:asciiTheme="minorHAnsi" w:hAnsiTheme="minorHAnsi" w:cstheme="minorHAnsi"/>
          <w:sz w:val="22"/>
          <w:szCs w:val="22"/>
        </w:rPr>
        <w:t>harmonizovan</w:t>
      </w:r>
      <w:r>
        <w:rPr>
          <w:rFonts w:asciiTheme="minorHAnsi" w:hAnsiTheme="minorHAnsi" w:cstheme="minorHAnsi"/>
          <w:sz w:val="22"/>
          <w:szCs w:val="22"/>
        </w:rPr>
        <w:t>ých</w:t>
      </w:r>
      <w:r w:rsidRPr="00984DF2">
        <w:rPr>
          <w:rFonts w:asciiTheme="minorHAnsi" w:hAnsiTheme="minorHAnsi" w:cstheme="minorHAnsi"/>
          <w:sz w:val="22"/>
          <w:szCs w:val="22"/>
        </w:rPr>
        <w:t>, určen</w:t>
      </w:r>
      <w:r>
        <w:rPr>
          <w:rFonts w:asciiTheme="minorHAnsi" w:hAnsiTheme="minorHAnsi" w:cstheme="minorHAnsi"/>
          <w:sz w:val="22"/>
          <w:szCs w:val="22"/>
        </w:rPr>
        <w:t>ých</w:t>
      </w:r>
      <w:r w:rsidRPr="00984DF2">
        <w:rPr>
          <w:rFonts w:asciiTheme="minorHAnsi" w:hAnsiTheme="minorHAnsi" w:cstheme="minorHAnsi"/>
          <w:sz w:val="22"/>
          <w:szCs w:val="22"/>
        </w:rPr>
        <w:t>, atp.</w:t>
      </w:r>
      <w:r>
        <w:rPr>
          <w:rFonts w:asciiTheme="minorHAnsi" w:hAnsiTheme="minorHAnsi" w:cstheme="minorHAnsi"/>
          <w:sz w:val="22"/>
          <w:szCs w:val="22"/>
        </w:rPr>
        <w:t xml:space="preserve"> ve smyslu evropské i národní legislativy. Podle situace a aktuálního vývoje bude případně podchycen vývoj resp. následky vývoje </w:t>
      </w:r>
      <w:r w:rsidRPr="00984DF2">
        <w:rPr>
          <w:rFonts w:asciiTheme="minorHAnsi" w:hAnsiTheme="minorHAnsi" w:cstheme="minorHAnsi"/>
          <w:sz w:val="22"/>
          <w:szCs w:val="22"/>
        </w:rPr>
        <w:t>ohledně dostupnosti závazných norem zdarma</w:t>
      </w:r>
      <w:r w:rsidRPr="0070395F">
        <w:rPr>
          <w:rFonts w:asciiTheme="minorHAnsi" w:hAnsiTheme="minorHAnsi" w:cstheme="minorHAnsi"/>
          <w:sz w:val="22"/>
          <w:szCs w:val="22"/>
        </w:rPr>
        <w:t xml:space="preserve"> </w:t>
      </w:r>
      <w:r w:rsidRPr="00984DF2">
        <w:rPr>
          <w:rFonts w:asciiTheme="minorHAnsi" w:hAnsiTheme="minorHAnsi" w:cstheme="minorHAnsi"/>
          <w:sz w:val="22"/>
          <w:szCs w:val="22"/>
        </w:rPr>
        <w:t>atd</w:t>
      </w:r>
      <w:r>
        <w:rPr>
          <w:rFonts w:asciiTheme="minorHAnsi" w:hAnsiTheme="minorHAnsi" w:cstheme="minorHAnsi"/>
          <w:sz w:val="22"/>
          <w:szCs w:val="22"/>
        </w:rPr>
        <w:t>.</w:t>
      </w:r>
    </w:p>
    <w:p w14:paraId="5343DCDC" w14:textId="77777777" w:rsidR="00504797" w:rsidRDefault="00504797" w:rsidP="00312988">
      <w:pPr>
        <w:pStyle w:val="Odstavecseseznamem"/>
        <w:numPr>
          <w:ilvl w:val="1"/>
          <w:numId w:val="20"/>
        </w:numPr>
        <w:spacing w:after="120"/>
        <w:ind w:left="1069" w:right="-284"/>
        <w:jc w:val="both"/>
        <w:rPr>
          <w:rFonts w:asciiTheme="minorHAnsi" w:hAnsiTheme="minorHAnsi" w:cstheme="minorHAnsi"/>
          <w:sz w:val="22"/>
          <w:szCs w:val="22"/>
        </w:rPr>
      </w:pPr>
      <w:r>
        <w:rPr>
          <w:rFonts w:asciiTheme="minorHAnsi" w:hAnsiTheme="minorHAnsi" w:cstheme="minorHAnsi"/>
          <w:sz w:val="22"/>
          <w:szCs w:val="22"/>
        </w:rPr>
        <w:t>Informace šířené na webu budou prioritně určeny MSP a spotřebitelům.</w:t>
      </w:r>
    </w:p>
    <w:p w14:paraId="6D7CCCAB" w14:textId="77777777" w:rsidR="00504797" w:rsidRPr="00824F19" w:rsidRDefault="00504797" w:rsidP="00312988">
      <w:pPr>
        <w:pStyle w:val="Odstavecseseznamem"/>
        <w:numPr>
          <w:ilvl w:val="0"/>
          <w:numId w:val="21"/>
        </w:numPr>
        <w:spacing w:after="120"/>
        <w:ind w:right="-284"/>
        <w:rPr>
          <w:rFonts w:asciiTheme="minorHAnsi" w:hAnsiTheme="minorHAnsi" w:cstheme="minorHAnsi"/>
          <w:b/>
          <w:sz w:val="22"/>
          <w:szCs w:val="22"/>
        </w:rPr>
      </w:pPr>
      <w:r>
        <w:rPr>
          <w:rFonts w:asciiTheme="minorHAnsi" w:hAnsiTheme="minorHAnsi" w:cstheme="minorHAnsi"/>
          <w:b/>
          <w:sz w:val="22"/>
          <w:szCs w:val="22"/>
        </w:rPr>
        <w:t>Nařízení o o</w:t>
      </w:r>
      <w:r w:rsidRPr="00824F19">
        <w:rPr>
          <w:rFonts w:asciiTheme="minorHAnsi" w:hAnsiTheme="minorHAnsi" w:cstheme="minorHAnsi"/>
          <w:b/>
          <w:sz w:val="22"/>
          <w:szCs w:val="22"/>
        </w:rPr>
        <w:t>becn</w:t>
      </w:r>
      <w:r>
        <w:rPr>
          <w:rFonts w:asciiTheme="minorHAnsi" w:hAnsiTheme="minorHAnsi" w:cstheme="minorHAnsi"/>
          <w:b/>
          <w:sz w:val="22"/>
          <w:szCs w:val="22"/>
        </w:rPr>
        <w:t>é</w:t>
      </w:r>
      <w:r w:rsidRPr="00824F19">
        <w:rPr>
          <w:rFonts w:asciiTheme="minorHAnsi" w:hAnsiTheme="minorHAnsi" w:cstheme="minorHAnsi"/>
          <w:b/>
          <w:sz w:val="22"/>
          <w:szCs w:val="22"/>
        </w:rPr>
        <w:t xml:space="preserve"> bezpečnost</w:t>
      </w:r>
      <w:r>
        <w:rPr>
          <w:rFonts w:asciiTheme="minorHAnsi" w:hAnsiTheme="minorHAnsi" w:cstheme="minorHAnsi"/>
          <w:b/>
          <w:sz w:val="22"/>
          <w:szCs w:val="22"/>
        </w:rPr>
        <w:t>i</w:t>
      </w:r>
      <w:r w:rsidRPr="00824F19">
        <w:rPr>
          <w:rFonts w:asciiTheme="minorHAnsi" w:hAnsiTheme="minorHAnsi" w:cstheme="minorHAnsi"/>
          <w:b/>
          <w:sz w:val="22"/>
          <w:szCs w:val="22"/>
        </w:rPr>
        <w:t xml:space="preserve"> výrobků </w:t>
      </w:r>
      <w:r>
        <w:rPr>
          <w:rFonts w:asciiTheme="minorHAnsi" w:hAnsiTheme="minorHAnsi" w:cstheme="minorHAnsi"/>
          <w:b/>
          <w:sz w:val="22"/>
          <w:szCs w:val="22"/>
        </w:rPr>
        <w:t xml:space="preserve">– co přináší nového </w:t>
      </w:r>
    </w:p>
    <w:p w14:paraId="67C4B9C6" w14:textId="77777777" w:rsidR="00504797" w:rsidRDefault="00504797" w:rsidP="00312988">
      <w:pPr>
        <w:pStyle w:val="Odstavecseseznamem"/>
        <w:numPr>
          <w:ilvl w:val="1"/>
          <w:numId w:val="20"/>
        </w:numPr>
        <w:spacing w:after="120"/>
        <w:ind w:left="1069" w:right="-284"/>
        <w:jc w:val="both"/>
        <w:rPr>
          <w:rFonts w:asciiTheme="minorHAnsi" w:hAnsiTheme="minorHAnsi" w:cstheme="minorHAnsi"/>
          <w:sz w:val="22"/>
          <w:szCs w:val="22"/>
        </w:rPr>
      </w:pPr>
      <w:r w:rsidRPr="00984DF2">
        <w:rPr>
          <w:rFonts w:asciiTheme="minorHAnsi" w:hAnsiTheme="minorHAnsi" w:cstheme="minorHAnsi"/>
          <w:sz w:val="22"/>
          <w:szCs w:val="22"/>
        </w:rPr>
        <w:t>GPSR</w:t>
      </w:r>
      <w:r>
        <w:rPr>
          <w:rFonts w:asciiTheme="minorHAnsi" w:hAnsiTheme="minorHAnsi" w:cstheme="minorHAnsi"/>
          <w:sz w:val="22"/>
          <w:szCs w:val="22"/>
        </w:rPr>
        <w:t xml:space="preserve"> nabývá </w:t>
      </w:r>
      <w:r w:rsidRPr="00824F19">
        <w:rPr>
          <w:rFonts w:asciiTheme="minorHAnsi" w:hAnsiTheme="minorHAnsi" w:cstheme="minorHAnsi"/>
          <w:sz w:val="22"/>
          <w:szCs w:val="22"/>
        </w:rPr>
        <w:t>ú</w:t>
      </w:r>
      <w:r>
        <w:rPr>
          <w:rFonts w:asciiTheme="minorHAnsi" w:hAnsiTheme="minorHAnsi" w:cstheme="minorHAnsi"/>
          <w:sz w:val="22"/>
          <w:szCs w:val="22"/>
        </w:rPr>
        <w:t>činnosti v prosinci 2024</w:t>
      </w:r>
      <w:r w:rsidRPr="00824F19">
        <w:rPr>
          <w:rFonts w:asciiTheme="minorHAnsi" w:hAnsiTheme="minorHAnsi" w:cstheme="minorHAnsi"/>
          <w:sz w:val="22"/>
          <w:szCs w:val="22"/>
        </w:rPr>
        <w:t xml:space="preserve"> </w:t>
      </w:r>
      <w:r>
        <w:rPr>
          <w:rFonts w:asciiTheme="minorHAnsi" w:hAnsiTheme="minorHAnsi" w:cstheme="minorHAnsi"/>
          <w:sz w:val="22"/>
          <w:szCs w:val="22"/>
        </w:rPr>
        <w:t>a přináší z pohledu MSP a spotřebitelů řadu novinek. K tomu vydalo v r. 2023 Sdružení českých spotřebitelů zevrubnou informaci (Zde). Předpokládá se vedení širších kampaně ze strany odpovědných orgánů ke zviditelnění nových aspektů vnitřního trhu v této souvislosti.</w:t>
      </w:r>
    </w:p>
    <w:p w14:paraId="0117D24D" w14:textId="77777777" w:rsidR="00504797" w:rsidRDefault="00504797" w:rsidP="00312988">
      <w:pPr>
        <w:pStyle w:val="Odstavecseseznamem"/>
        <w:numPr>
          <w:ilvl w:val="1"/>
          <w:numId w:val="20"/>
        </w:numPr>
        <w:spacing w:after="120"/>
        <w:ind w:left="1069" w:right="-284"/>
        <w:jc w:val="both"/>
        <w:rPr>
          <w:rFonts w:asciiTheme="minorHAnsi" w:hAnsiTheme="minorHAnsi" w:cstheme="minorHAnsi"/>
          <w:sz w:val="22"/>
          <w:szCs w:val="22"/>
        </w:rPr>
      </w:pPr>
      <w:r>
        <w:rPr>
          <w:rFonts w:asciiTheme="minorHAnsi" w:hAnsiTheme="minorHAnsi" w:cstheme="minorHAnsi"/>
          <w:sz w:val="22"/>
          <w:szCs w:val="22"/>
        </w:rPr>
        <w:t>Kabinet nabízí, jako součást takové kampaně zpracování informativního přehledu změn opatření nového nařízení oproti dosavadní směrnici. Takový krok si vyžádali členové Programového výboru Kabinetu.</w:t>
      </w:r>
    </w:p>
    <w:p w14:paraId="09EB80A2" w14:textId="77777777" w:rsidR="00504797" w:rsidRDefault="00504797" w:rsidP="00312988">
      <w:pPr>
        <w:pStyle w:val="Odstavecseseznamem"/>
        <w:numPr>
          <w:ilvl w:val="1"/>
          <w:numId w:val="20"/>
        </w:numPr>
        <w:spacing w:after="120"/>
        <w:ind w:left="1069" w:right="-284"/>
        <w:jc w:val="both"/>
        <w:rPr>
          <w:rFonts w:asciiTheme="minorHAnsi" w:hAnsiTheme="minorHAnsi" w:cstheme="minorHAnsi"/>
          <w:sz w:val="22"/>
          <w:szCs w:val="22"/>
        </w:rPr>
      </w:pPr>
      <w:r>
        <w:rPr>
          <w:rFonts w:asciiTheme="minorHAnsi" w:hAnsiTheme="minorHAnsi" w:cstheme="minorHAnsi"/>
          <w:sz w:val="22"/>
          <w:szCs w:val="22"/>
        </w:rPr>
        <w:t>Informace tedy bude určena pro šíření elektronickými prostředky včetně vystavení na webu.</w:t>
      </w:r>
    </w:p>
    <w:p w14:paraId="2AB28438" w14:textId="77777777" w:rsidR="00504797" w:rsidRPr="008372E0" w:rsidRDefault="00504797" w:rsidP="00312988">
      <w:pPr>
        <w:pStyle w:val="Odstavecseseznamem"/>
        <w:numPr>
          <w:ilvl w:val="0"/>
          <w:numId w:val="19"/>
        </w:numPr>
        <w:spacing w:after="120"/>
        <w:ind w:right="-284"/>
        <w:jc w:val="both"/>
        <w:rPr>
          <w:rFonts w:asciiTheme="minorHAnsi" w:hAnsiTheme="minorHAnsi" w:cstheme="minorHAnsi"/>
          <w:b/>
          <w:bCs/>
          <w:sz w:val="22"/>
          <w:szCs w:val="22"/>
        </w:rPr>
      </w:pPr>
      <w:r w:rsidRPr="008372E0">
        <w:rPr>
          <w:rFonts w:asciiTheme="minorHAnsi" w:hAnsiTheme="minorHAnsi" w:cstheme="minorHAnsi"/>
          <w:b/>
          <w:bCs/>
          <w:sz w:val="22"/>
          <w:szCs w:val="22"/>
        </w:rPr>
        <w:t>Zviditelnění technických norem (a normalizace obecně) na příkladu konkrétního tématu a oblastí normalizace.</w:t>
      </w:r>
    </w:p>
    <w:p w14:paraId="1D87349F" w14:textId="7022A064" w:rsidR="00504797" w:rsidRDefault="00504797" w:rsidP="00312988">
      <w:pPr>
        <w:pStyle w:val="Odstavecseseznamem"/>
        <w:spacing w:after="120"/>
        <w:ind w:left="360" w:right="-284"/>
        <w:jc w:val="both"/>
        <w:rPr>
          <w:rFonts w:asciiTheme="minorHAnsi" w:hAnsiTheme="minorHAnsi" w:cstheme="minorHAnsi"/>
          <w:sz w:val="22"/>
          <w:szCs w:val="22"/>
        </w:rPr>
      </w:pPr>
      <w:r w:rsidRPr="005B1A84">
        <w:rPr>
          <w:rFonts w:asciiTheme="minorHAnsi" w:hAnsiTheme="minorHAnsi" w:cstheme="minorHAnsi"/>
          <w:sz w:val="22"/>
          <w:szCs w:val="22"/>
        </w:rPr>
        <w:t>Dodavatel přispěje ke zviditelnění technických norem (a normalizace obecně) na příkladu konkrétní</w:t>
      </w:r>
      <w:r>
        <w:rPr>
          <w:rFonts w:asciiTheme="minorHAnsi" w:hAnsiTheme="minorHAnsi" w:cstheme="minorHAnsi"/>
          <w:sz w:val="22"/>
          <w:szCs w:val="22"/>
        </w:rPr>
        <w:t>ho</w:t>
      </w:r>
      <w:r w:rsidRPr="005B1A84">
        <w:rPr>
          <w:rFonts w:asciiTheme="minorHAnsi" w:hAnsiTheme="minorHAnsi" w:cstheme="minorHAnsi"/>
          <w:sz w:val="22"/>
          <w:szCs w:val="22"/>
        </w:rPr>
        <w:t xml:space="preserve"> témat</w:t>
      </w:r>
      <w:r>
        <w:rPr>
          <w:rFonts w:asciiTheme="minorHAnsi" w:hAnsiTheme="minorHAnsi" w:cstheme="minorHAnsi"/>
          <w:sz w:val="22"/>
          <w:szCs w:val="22"/>
        </w:rPr>
        <w:t>u</w:t>
      </w:r>
      <w:r w:rsidRPr="005B1A84">
        <w:rPr>
          <w:rFonts w:asciiTheme="minorHAnsi" w:hAnsiTheme="minorHAnsi" w:cstheme="minorHAnsi"/>
          <w:sz w:val="22"/>
          <w:szCs w:val="22"/>
        </w:rPr>
        <w:t xml:space="preserve"> a oblast</w:t>
      </w:r>
      <w:r>
        <w:rPr>
          <w:rFonts w:asciiTheme="minorHAnsi" w:hAnsiTheme="minorHAnsi" w:cstheme="minorHAnsi"/>
          <w:sz w:val="22"/>
          <w:szCs w:val="22"/>
        </w:rPr>
        <w:t>i</w:t>
      </w:r>
      <w:r w:rsidRPr="005B1A84">
        <w:rPr>
          <w:rFonts w:asciiTheme="minorHAnsi" w:hAnsiTheme="minorHAnsi" w:cstheme="minorHAnsi"/>
          <w:sz w:val="22"/>
          <w:szCs w:val="22"/>
        </w:rPr>
        <w:t xml:space="preserve"> normalizace; východiskem bude „</w:t>
      </w:r>
      <w:proofErr w:type="spellStart"/>
      <w:r w:rsidRPr="005B1A84">
        <w:rPr>
          <w:rFonts w:asciiTheme="minorHAnsi" w:hAnsiTheme="minorHAnsi" w:cstheme="minorHAnsi"/>
          <w:sz w:val="22"/>
          <w:szCs w:val="22"/>
        </w:rPr>
        <w:t>mediaplán</w:t>
      </w:r>
      <w:proofErr w:type="spellEnd"/>
      <w:r w:rsidRPr="005B1A84">
        <w:rPr>
          <w:rFonts w:asciiTheme="minorHAnsi" w:hAnsiTheme="minorHAnsi" w:cstheme="minorHAnsi"/>
          <w:sz w:val="22"/>
          <w:szCs w:val="22"/>
        </w:rPr>
        <w:t xml:space="preserve">“ </w:t>
      </w:r>
      <w:r>
        <w:rPr>
          <w:rFonts w:asciiTheme="minorHAnsi" w:hAnsiTheme="minorHAnsi" w:cstheme="minorHAnsi"/>
          <w:sz w:val="22"/>
          <w:szCs w:val="22"/>
        </w:rPr>
        <w:t xml:space="preserve">2023-24 </w:t>
      </w:r>
      <w:r w:rsidRPr="005B1A84">
        <w:rPr>
          <w:rFonts w:asciiTheme="minorHAnsi" w:hAnsiTheme="minorHAnsi" w:cstheme="minorHAnsi"/>
          <w:sz w:val="22"/>
          <w:szCs w:val="22"/>
        </w:rPr>
        <w:t xml:space="preserve">zpracovaný jako výstup projektu </w:t>
      </w:r>
      <w:r>
        <w:rPr>
          <w:rFonts w:asciiTheme="minorHAnsi" w:hAnsiTheme="minorHAnsi" w:cstheme="minorHAnsi"/>
          <w:sz w:val="22"/>
          <w:szCs w:val="22"/>
        </w:rPr>
        <w:t xml:space="preserve">(2022) </w:t>
      </w:r>
      <w:r w:rsidRPr="005B1A84">
        <w:rPr>
          <w:rFonts w:asciiTheme="minorHAnsi" w:hAnsiTheme="minorHAnsi" w:cstheme="minorHAnsi"/>
          <w:sz w:val="22"/>
          <w:szCs w:val="22"/>
        </w:rPr>
        <w:t xml:space="preserve">Koordinace zapojení českých spotřebitelů v ISO COPOLCO s přihlédnutím k evropské normalizaci. Zohledněn může být aktuální požadavek ČAS. </w:t>
      </w:r>
      <w:r>
        <w:rPr>
          <w:rFonts w:asciiTheme="minorHAnsi" w:hAnsiTheme="minorHAnsi" w:cstheme="minorHAnsi"/>
          <w:sz w:val="22"/>
          <w:szCs w:val="22"/>
        </w:rPr>
        <w:t>Předpokládá se následující téma</w:t>
      </w:r>
      <w:r w:rsidRPr="005B1A84">
        <w:rPr>
          <w:rFonts w:asciiTheme="minorHAnsi" w:hAnsiTheme="minorHAnsi" w:cstheme="minorHAnsi"/>
          <w:sz w:val="22"/>
          <w:szCs w:val="22"/>
        </w:rPr>
        <w:t xml:space="preserve"> témata pro zviditelnění:</w:t>
      </w:r>
    </w:p>
    <w:p w14:paraId="7B7005C0" w14:textId="77777777" w:rsidR="00312988" w:rsidRPr="005B1A84" w:rsidRDefault="00312988" w:rsidP="00312988">
      <w:pPr>
        <w:pStyle w:val="Odstavecseseznamem"/>
        <w:spacing w:after="120"/>
        <w:ind w:left="360" w:right="-284"/>
        <w:jc w:val="both"/>
        <w:rPr>
          <w:rFonts w:asciiTheme="minorHAnsi" w:hAnsiTheme="minorHAnsi" w:cstheme="minorHAnsi"/>
          <w:sz w:val="22"/>
          <w:szCs w:val="22"/>
        </w:rPr>
      </w:pPr>
    </w:p>
    <w:p w14:paraId="66FA728A" w14:textId="77777777" w:rsidR="00504797" w:rsidRPr="004A2457" w:rsidRDefault="00504797" w:rsidP="00312988">
      <w:pPr>
        <w:pStyle w:val="Odstavecseseznamem"/>
        <w:spacing w:after="120"/>
        <w:ind w:left="720" w:right="-284"/>
        <w:rPr>
          <w:rFonts w:asciiTheme="minorHAnsi" w:hAnsiTheme="minorHAnsi" w:cstheme="minorHAnsi"/>
          <w:b/>
          <w:sz w:val="22"/>
          <w:szCs w:val="22"/>
        </w:rPr>
      </w:pPr>
      <w:r w:rsidRPr="004A2457">
        <w:rPr>
          <w:rFonts w:asciiTheme="minorHAnsi" w:hAnsiTheme="minorHAnsi" w:cstheme="minorHAnsi"/>
          <w:b/>
          <w:sz w:val="22"/>
          <w:szCs w:val="22"/>
        </w:rPr>
        <w:lastRenderedPageBreak/>
        <w:t>Spotřebitel a normalizace v oblasti digitální společnosti</w:t>
      </w:r>
    </w:p>
    <w:p w14:paraId="31091839" w14:textId="77777777" w:rsidR="00504797" w:rsidRDefault="00504797" w:rsidP="00312988">
      <w:pPr>
        <w:pStyle w:val="Odstavecseseznamem"/>
        <w:spacing w:after="120"/>
        <w:ind w:right="-284"/>
        <w:jc w:val="both"/>
        <w:rPr>
          <w:rFonts w:asciiTheme="minorHAnsi" w:hAnsiTheme="minorHAnsi" w:cstheme="minorHAnsi"/>
          <w:sz w:val="22"/>
          <w:szCs w:val="22"/>
        </w:rPr>
      </w:pPr>
      <w:r>
        <w:rPr>
          <w:rFonts w:asciiTheme="minorHAnsi" w:hAnsiTheme="minorHAnsi" w:cstheme="minorHAnsi"/>
          <w:sz w:val="22"/>
          <w:szCs w:val="22"/>
        </w:rPr>
        <w:t>Téma přiměřeně obsáhne k</w:t>
      </w:r>
      <w:r w:rsidRPr="00465DB8">
        <w:rPr>
          <w:rFonts w:asciiTheme="minorHAnsi" w:hAnsiTheme="minorHAnsi" w:cstheme="minorHAnsi"/>
          <w:sz w:val="22"/>
          <w:szCs w:val="22"/>
        </w:rPr>
        <w:t>ybernetick</w:t>
      </w:r>
      <w:r>
        <w:rPr>
          <w:rFonts w:asciiTheme="minorHAnsi" w:hAnsiTheme="minorHAnsi" w:cstheme="minorHAnsi"/>
          <w:sz w:val="22"/>
          <w:szCs w:val="22"/>
        </w:rPr>
        <w:t>ou</w:t>
      </w:r>
      <w:r w:rsidRPr="00465DB8">
        <w:rPr>
          <w:rFonts w:asciiTheme="minorHAnsi" w:hAnsiTheme="minorHAnsi" w:cstheme="minorHAnsi"/>
          <w:sz w:val="22"/>
          <w:szCs w:val="22"/>
        </w:rPr>
        <w:t xml:space="preserve"> bezpečnost a její dostupnost, uměl</w:t>
      </w:r>
      <w:r>
        <w:rPr>
          <w:rFonts w:asciiTheme="minorHAnsi" w:hAnsiTheme="minorHAnsi" w:cstheme="minorHAnsi"/>
          <w:sz w:val="22"/>
          <w:szCs w:val="22"/>
        </w:rPr>
        <w:t>ou</w:t>
      </w:r>
      <w:r w:rsidRPr="00465DB8">
        <w:rPr>
          <w:rFonts w:asciiTheme="minorHAnsi" w:hAnsiTheme="minorHAnsi" w:cstheme="minorHAnsi"/>
          <w:sz w:val="22"/>
          <w:szCs w:val="22"/>
        </w:rPr>
        <w:t xml:space="preserve"> inteligenc</w:t>
      </w:r>
      <w:r>
        <w:rPr>
          <w:rFonts w:asciiTheme="minorHAnsi" w:hAnsiTheme="minorHAnsi" w:cstheme="minorHAnsi"/>
          <w:sz w:val="22"/>
          <w:szCs w:val="22"/>
        </w:rPr>
        <w:t>i</w:t>
      </w:r>
      <w:r w:rsidRPr="00465DB8">
        <w:rPr>
          <w:rFonts w:asciiTheme="minorHAnsi" w:hAnsiTheme="minorHAnsi" w:cstheme="minorHAnsi"/>
          <w:sz w:val="22"/>
          <w:szCs w:val="22"/>
        </w:rPr>
        <w:t xml:space="preserve"> atd</w:t>
      </w:r>
      <w:r>
        <w:rPr>
          <w:rFonts w:asciiTheme="minorHAnsi" w:hAnsiTheme="minorHAnsi" w:cstheme="minorHAnsi"/>
          <w:sz w:val="22"/>
          <w:szCs w:val="22"/>
        </w:rPr>
        <w:t>. s důrazem na r</w:t>
      </w:r>
      <w:r w:rsidRPr="00465DB8">
        <w:rPr>
          <w:rFonts w:asciiTheme="minorHAnsi" w:hAnsiTheme="minorHAnsi" w:cstheme="minorHAnsi"/>
          <w:sz w:val="22"/>
          <w:szCs w:val="22"/>
        </w:rPr>
        <w:t xml:space="preserve">izika a přínosy, bezpečnost, </w:t>
      </w:r>
      <w:r>
        <w:rPr>
          <w:rFonts w:asciiTheme="minorHAnsi" w:hAnsiTheme="minorHAnsi" w:cstheme="minorHAnsi"/>
          <w:sz w:val="22"/>
          <w:szCs w:val="22"/>
        </w:rPr>
        <w:t xml:space="preserve">a samozřejmě na </w:t>
      </w:r>
      <w:r w:rsidRPr="00465DB8">
        <w:rPr>
          <w:rFonts w:asciiTheme="minorHAnsi" w:hAnsiTheme="minorHAnsi" w:cstheme="minorHAnsi"/>
          <w:sz w:val="22"/>
          <w:szCs w:val="22"/>
        </w:rPr>
        <w:t>úloh</w:t>
      </w:r>
      <w:r>
        <w:rPr>
          <w:rFonts w:asciiTheme="minorHAnsi" w:hAnsiTheme="minorHAnsi" w:cstheme="minorHAnsi"/>
          <w:sz w:val="22"/>
          <w:szCs w:val="22"/>
        </w:rPr>
        <w:t>u</w:t>
      </w:r>
      <w:r w:rsidRPr="00465DB8">
        <w:rPr>
          <w:rFonts w:asciiTheme="minorHAnsi" w:hAnsiTheme="minorHAnsi" w:cstheme="minorHAnsi"/>
          <w:sz w:val="22"/>
          <w:szCs w:val="22"/>
        </w:rPr>
        <w:t xml:space="preserve"> TN</w:t>
      </w:r>
      <w:r>
        <w:rPr>
          <w:rFonts w:asciiTheme="minorHAnsi" w:hAnsiTheme="minorHAnsi" w:cstheme="minorHAnsi"/>
          <w:sz w:val="22"/>
          <w:szCs w:val="22"/>
        </w:rPr>
        <w:t>.</w:t>
      </w:r>
      <w:r w:rsidRPr="008372E0">
        <w:rPr>
          <w:rFonts w:asciiTheme="minorHAnsi" w:hAnsiTheme="minorHAnsi" w:cstheme="minorHAnsi"/>
          <w:sz w:val="22"/>
          <w:szCs w:val="22"/>
        </w:rPr>
        <w:t xml:space="preserve"> </w:t>
      </w:r>
    </w:p>
    <w:p w14:paraId="44F31D12" w14:textId="77777777" w:rsidR="00504797" w:rsidRPr="00270E20" w:rsidRDefault="00504797" w:rsidP="00312988">
      <w:pPr>
        <w:pStyle w:val="Odstavecseseznamem"/>
        <w:numPr>
          <w:ilvl w:val="1"/>
          <w:numId w:val="20"/>
        </w:numPr>
        <w:spacing w:after="120"/>
        <w:ind w:left="1069" w:right="-284"/>
        <w:jc w:val="both"/>
        <w:rPr>
          <w:rFonts w:asciiTheme="minorHAnsi" w:hAnsiTheme="minorHAnsi" w:cstheme="minorHAnsi"/>
          <w:sz w:val="22"/>
          <w:szCs w:val="22"/>
        </w:rPr>
      </w:pPr>
      <w:r w:rsidRPr="00270E20">
        <w:rPr>
          <w:rFonts w:asciiTheme="minorHAnsi" w:hAnsiTheme="minorHAnsi" w:cstheme="minorHAnsi"/>
          <w:sz w:val="22"/>
          <w:szCs w:val="22"/>
        </w:rPr>
        <w:t xml:space="preserve">Dodavatel zpracuje pro podporu a medializaci </w:t>
      </w:r>
      <w:r>
        <w:rPr>
          <w:rFonts w:asciiTheme="minorHAnsi" w:hAnsiTheme="minorHAnsi" w:cstheme="minorHAnsi"/>
          <w:sz w:val="22"/>
          <w:szCs w:val="22"/>
        </w:rPr>
        <w:t>s</w:t>
      </w:r>
      <w:r w:rsidRPr="00270E20">
        <w:rPr>
          <w:rFonts w:asciiTheme="minorHAnsi" w:hAnsiTheme="minorHAnsi" w:cstheme="minorHAnsi"/>
          <w:sz w:val="22"/>
          <w:szCs w:val="22"/>
        </w:rPr>
        <w:t>hrnující a podrobněji rozpracovan</w:t>
      </w:r>
      <w:r>
        <w:rPr>
          <w:rFonts w:asciiTheme="minorHAnsi" w:hAnsiTheme="minorHAnsi" w:cstheme="minorHAnsi"/>
          <w:sz w:val="22"/>
          <w:szCs w:val="22"/>
        </w:rPr>
        <w:t>ou</w:t>
      </w:r>
      <w:r w:rsidRPr="00270E20">
        <w:rPr>
          <w:rFonts w:asciiTheme="minorHAnsi" w:hAnsiTheme="minorHAnsi" w:cstheme="minorHAnsi"/>
          <w:sz w:val="22"/>
          <w:szCs w:val="22"/>
        </w:rPr>
        <w:t xml:space="preserve"> informac</w:t>
      </w:r>
      <w:r>
        <w:rPr>
          <w:rFonts w:asciiTheme="minorHAnsi" w:hAnsiTheme="minorHAnsi" w:cstheme="minorHAnsi"/>
          <w:sz w:val="22"/>
          <w:szCs w:val="22"/>
        </w:rPr>
        <w:t>i</w:t>
      </w:r>
      <w:r w:rsidRPr="00270E20">
        <w:rPr>
          <w:rFonts w:asciiTheme="minorHAnsi" w:hAnsiTheme="minorHAnsi" w:cstheme="minorHAnsi"/>
          <w:sz w:val="22"/>
          <w:szCs w:val="22"/>
        </w:rPr>
        <w:t xml:space="preserve"> k tématu, </w:t>
      </w:r>
      <w:r>
        <w:rPr>
          <w:rFonts w:asciiTheme="minorHAnsi" w:hAnsiTheme="minorHAnsi" w:cstheme="minorHAnsi"/>
          <w:sz w:val="22"/>
          <w:szCs w:val="22"/>
        </w:rPr>
        <w:t xml:space="preserve">která bude k dispozici k </w:t>
      </w:r>
      <w:r w:rsidRPr="00270E20">
        <w:rPr>
          <w:rFonts w:asciiTheme="minorHAnsi" w:hAnsiTheme="minorHAnsi" w:cstheme="minorHAnsi"/>
          <w:sz w:val="22"/>
          <w:szCs w:val="22"/>
        </w:rPr>
        <w:t>vystaven</w:t>
      </w:r>
      <w:r>
        <w:rPr>
          <w:rFonts w:asciiTheme="minorHAnsi" w:hAnsiTheme="minorHAnsi" w:cstheme="minorHAnsi"/>
          <w:sz w:val="22"/>
          <w:szCs w:val="22"/>
        </w:rPr>
        <w:t>í</w:t>
      </w:r>
      <w:r w:rsidRPr="00270E20">
        <w:rPr>
          <w:rFonts w:asciiTheme="minorHAnsi" w:hAnsiTheme="minorHAnsi" w:cstheme="minorHAnsi"/>
          <w:sz w:val="22"/>
          <w:szCs w:val="22"/>
        </w:rPr>
        <w:t xml:space="preserve"> na webu dodavatele (a podle uvážení zadavatele na jeho webu</w:t>
      </w:r>
      <w:r>
        <w:rPr>
          <w:rFonts w:asciiTheme="minorHAnsi" w:hAnsiTheme="minorHAnsi" w:cstheme="minorHAnsi"/>
          <w:sz w:val="22"/>
          <w:szCs w:val="22"/>
        </w:rPr>
        <w:t>, případně n</w:t>
      </w:r>
      <w:r w:rsidRPr="00270E20">
        <w:rPr>
          <w:rFonts w:asciiTheme="minorHAnsi" w:hAnsiTheme="minorHAnsi" w:cstheme="minorHAnsi"/>
          <w:sz w:val="22"/>
          <w:szCs w:val="22"/>
        </w:rPr>
        <w:t>a dalších e-prostředcích).</w:t>
      </w:r>
    </w:p>
    <w:p w14:paraId="3DAF17A0" w14:textId="77777777" w:rsidR="00504797" w:rsidRDefault="00504797" w:rsidP="00312988">
      <w:pPr>
        <w:pStyle w:val="Odstavecseseznamem"/>
        <w:numPr>
          <w:ilvl w:val="1"/>
          <w:numId w:val="20"/>
        </w:numPr>
        <w:spacing w:after="120"/>
        <w:ind w:left="1069" w:right="-284"/>
        <w:jc w:val="both"/>
        <w:rPr>
          <w:rFonts w:asciiTheme="minorHAnsi" w:hAnsiTheme="minorHAnsi" w:cstheme="minorHAnsi"/>
          <w:sz w:val="22"/>
          <w:szCs w:val="22"/>
        </w:rPr>
      </w:pPr>
      <w:r w:rsidRPr="008E5226">
        <w:rPr>
          <w:rFonts w:asciiTheme="minorHAnsi" w:hAnsiTheme="minorHAnsi" w:cstheme="minorHAnsi"/>
          <w:sz w:val="22"/>
          <w:szCs w:val="22"/>
        </w:rPr>
        <w:t xml:space="preserve">V této </w:t>
      </w:r>
      <w:r>
        <w:rPr>
          <w:rFonts w:asciiTheme="minorHAnsi" w:hAnsiTheme="minorHAnsi" w:cstheme="minorHAnsi"/>
          <w:sz w:val="22"/>
          <w:szCs w:val="22"/>
        </w:rPr>
        <w:t xml:space="preserve">velmi komplexní </w:t>
      </w:r>
      <w:r w:rsidRPr="008E5226">
        <w:rPr>
          <w:rFonts w:asciiTheme="minorHAnsi" w:hAnsiTheme="minorHAnsi" w:cstheme="minorHAnsi"/>
          <w:sz w:val="22"/>
          <w:szCs w:val="22"/>
        </w:rPr>
        <w:t xml:space="preserve">oblasti probíhá </w:t>
      </w:r>
      <w:r>
        <w:rPr>
          <w:rFonts w:asciiTheme="minorHAnsi" w:hAnsiTheme="minorHAnsi" w:cstheme="minorHAnsi"/>
          <w:sz w:val="22"/>
          <w:szCs w:val="22"/>
        </w:rPr>
        <w:t xml:space="preserve">či již proběhlo </w:t>
      </w:r>
      <w:r w:rsidRPr="008E5226">
        <w:rPr>
          <w:rFonts w:asciiTheme="minorHAnsi" w:hAnsiTheme="minorHAnsi" w:cstheme="minorHAnsi"/>
          <w:sz w:val="22"/>
          <w:szCs w:val="22"/>
        </w:rPr>
        <w:t>několikero legislativních procesů k harmonizaci evropských podmínek (rádiová zařízení, akt o umělé inteligenc</w:t>
      </w:r>
      <w:r>
        <w:rPr>
          <w:rFonts w:asciiTheme="minorHAnsi" w:hAnsiTheme="minorHAnsi" w:cstheme="minorHAnsi"/>
          <w:sz w:val="22"/>
          <w:szCs w:val="22"/>
        </w:rPr>
        <w:t xml:space="preserve">i, akt o kybernetické odolnosti, akt o digitálních službách </w:t>
      </w:r>
      <w:r w:rsidRPr="008E5226">
        <w:rPr>
          <w:rFonts w:asciiTheme="minorHAnsi" w:hAnsiTheme="minorHAnsi" w:cstheme="minorHAnsi"/>
          <w:sz w:val="22"/>
          <w:szCs w:val="22"/>
        </w:rPr>
        <w:t>aj.);</w:t>
      </w:r>
      <w:r>
        <w:rPr>
          <w:rFonts w:asciiTheme="minorHAnsi" w:hAnsiTheme="minorHAnsi" w:cstheme="minorHAnsi"/>
          <w:sz w:val="22"/>
          <w:szCs w:val="22"/>
        </w:rPr>
        <w:t xml:space="preserve"> Vývoj ohledně této harmonizace bude součástí nabízené situační analýzy.</w:t>
      </w:r>
    </w:p>
    <w:p w14:paraId="012A3809" w14:textId="77777777" w:rsidR="00504797" w:rsidRPr="008E5226" w:rsidRDefault="00504797" w:rsidP="00312988">
      <w:pPr>
        <w:pStyle w:val="Odstavecseseznamem"/>
        <w:numPr>
          <w:ilvl w:val="1"/>
          <w:numId w:val="20"/>
        </w:numPr>
        <w:spacing w:after="120"/>
        <w:ind w:left="1069" w:right="-284"/>
        <w:jc w:val="both"/>
        <w:rPr>
          <w:rFonts w:asciiTheme="minorHAnsi" w:hAnsiTheme="minorHAnsi" w:cstheme="minorHAnsi"/>
          <w:sz w:val="22"/>
          <w:szCs w:val="22"/>
        </w:rPr>
      </w:pPr>
      <w:r>
        <w:rPr>
          <w:rFonts w:asciiTheme="minorHAnsi" w:hAnsiTheme="minorHAnsi" w:cstheme="minorHAnsi"/>
          <w:sz w:val="22"/>
          <w:szCs w:val="22"/>
        </w:rPr>
        <w:t>Tato legislativa je či bude podpořena technickými normami. Jejich význam a zaměření budou další součástí výstupu.</w:t>
      </w:r>
    </w:p>
    <w:p w14:paraId="4BB45BC1" w14:textId="77777777" w:rsidR="00504797" w:rsidRDefault="00504797" w:rsidP="00312988">
      <w:pPr>
        <w:pStyle w:val="Odstavecseseznamem"/>
        <w:numPr>
          <w:ilvl w:val="1"/>
          <w:numId w:val="20"/>
        </w:numPr>
        <w:spacing w:after="120"/>
        <w:ind w:left="1069" w:right="-284"/>
        <w:jc w:val="both"/>
        <w:rPr>
          <w:rFonts w:asciiTheme="minorHAnsi" w:hAnsiTheme="minorHAnsi" w:cstheme="minorHAnsi"/>
          <w:sz w:val="22"/>
          <w:szCs w:val="22"/>
        </w:rPr>
      </w:pPr>
      <w:r w:rsidRPr="00270E20">
        <w:rPr>
          <w:rFonts w:asciiTheme="minorHAnsi" w:hAnsiTheme="minorHAnsi" w:cstheme="minorHAnsi"/>
          <w:sz w:val="22"/>
          <w:szCs w:val="22"/>
        </w:rPr>
        <w:t>K tématu bude zpracována a zveřejněna tisková informace, tedy s cílem přiblížit zainteresovaným stranám zmíněný legislativní vývoj a předpokládaný předmět budoucích harmonizovaných norem a obecně příno</w:t>
      </w:r>
      <w:r>
        <w:rPr>
          <w:rFonts w:asciiTheme="minorHAnsi" w:hAnsiTheme="minorHAnsi" w:cstheme="minorHAnsi"/>
          <w:sz w:val="22"/>
          <w:szCs w:val="22"/>
        </w:rPr>
        <w:t>sy standardizace v oblastech AI.</w:t>
      </w:r>
    </w:p>
    <w:p w14:paraId="6130D494" w14:textId="77777777" w:rsidR="00504797" w:rsidRDefault="00504797" w:rsidP="00312988">
      <w:pPr>
        <w:pStyle w:val="Odstavecseseznamem"/>
        <w:numPr>
          <w:ilvl w:val="0"/>
          <w:numId w:val="19"/>
        </w:numPr>
        <w:spacing w:after="120"/>
        <w:ind w:right="-284"/>
        <w:jc w:val="both"/>
        <w:rPr>
          <w:rFonts w:asciiTheme="minorHAnsi" w:hAnsiTheme="minorHAnsi" w:cstheme="minorHAnsi"/>
          <w:b/>
          <w:bCs/>
          <w:sz w:val="22"/>
          <w:szCs w:val="22"/>
        </w:rPr>
      </w:pPr>
      <w:r>
        <w:rPr>
          <w:rFonts w:asciiTheme="minorHAnsi" w:hAnsiTheme="minorHAnsi" w:cstheme="minorHAnsi"/>
          <w:b/>
          <w:bCs/>
          <w:sz w:val="22"/>
          <w:szCs w:val="22"/>
        </w:rPr>
        <w:t xml:space="preserve">Zapojení zainteresovaných stran do standardizace </w:t>
      </w:r>
    </w:p>
    <w:p w14:paraId="2958126D" w14:textId="77777777" w:rsidR="00504797" w:rsidRPr="00531CE7" w:rsidRDefault="00504797" w:rsidP="00312988">
      <w:pPr>
        <w:pStyle w:val="Odstavecseseznamem"/>
        <w:spacing w:after="120"/>
        <w:ind w:left="360" w:right="-284"/>
        <w:jc w:val="both"/>
        <w:rPr>
          <w:rFonts w:asciiTheme="minorHAnsi" w:hAnsiTheme="minorHAnsi" w:cstheme="minorHAnsi"/>
          <w:sz w:val="22"/>
          <w:szCs w:val="22"/>
        </w:rPr>
      </w:pPr>
      <w:r w:rsidRPr="005B1A84">
        <w:rPr>
          <w:rFonts w:asciiTheme="minorHAnsi" w:hAnsiTheme="minorHAnsi" w:cstheme="minorHAnsi"/>
          <w:sz w:val="22"/>
          <w:szCs w:val="22"/>
        </w:rPr>
        <w:t xml:space="preserve">Dodavatel </w:t>
      </w:r>
      <w:r>
        <w:rPr>
          <w:rFonts w:asciiTheme="minorHAnsi" w:hAnsiTheme="minorHAnsi" w:cstheme="minorHAnsi"/>
          <w:sz w:val="22"/>
          <w:szCs w:val="22"/>
        </w:rPr>
        <w:t xml:space="preserve">zpracuje téze principů zapojení zainteresovaných stran do procesů standardizace s případnými doporučeními na jejich aplikaci. Východiskem bude dokument </w:t>
      </w:r>
      <w:r w:rsidRPr="00531CE7">
        <w:rPr>
          <w:rFonts w:asciiTheme="minorHAnsi" w:hAnsiTheme="minorHAnsi" w:cstheme="minorHAnsi"/>
          <w:sz w:val="22"/>
          <w:szCs w:val="22"/>
        </w:rPr>
        <w:t>ISO COPOLCO „COPOLCO REVISED STAKEHOLDER ENGAGEMENT STRATEGY“ (ANNEX to COPOLCO N712, 12 2023), s případným využitím dalších dostupných dokumentů k tomuto tématu.</w:t>
      </w:r>
    </w:p>
    <w:p w14:paraId="32C79F37" w14:textId="77777777" w:rsidR="00504797" w:rsidRPr="00DD1FB9" w:rsidRDefault="00504797" w:rsidP="00312988">
      <w:pPr>
        <w:pStyle w:val="Odstavecseseznamem"/>
        <w:numPr>
          <w:ilvl w:val="0"/>
          <w:numId w:val="19"/>
        </w:numPr>
        <w:spacing w:after="120"/>
        <w:ind w:right="-284"/>
        <w:jc w:val="both"/>
        <w:rPr>
          <w:rFonts w:asciiTheme="minorHAnsi" w:hAnsiTheme="minorHAnsi" w:cstheme="minorHAnsi"/>
          <w:b/>
          <w:bCs/>
          <w:sz w:val="22"/>
          <w:szCs w:val="22"/>
        </w:rPr>
      </w:pPr>
      <w:r w:rsidRPr="00DD1FB9">
        <w:rPr>
          <w:rFonts w:asciiTheme="minorHAnsi" w:hAnsiTheme="minorHAnsi" w:cstheme="minorHAnsi"/>
          <w:b/>
          <w:bCs/>
          <w:sz w:val="22"/>
          <w:szCs w:val="22"/>
        </w:rPr>
        <w:t>Prezentace vybraných národních aktivit na globální úrovni (pro newsletter ISO COPOLCO), s možným využitím pro jiné cesty šíření (nadnárodní média, např. newsletter ANEC).</w:t>
      </w:r>
    </w:p>
    <w:p w14:paraId="2F33BCA0" w14:textId="77777777" w:rsidR="00504797" w:rsidRDefault="00504797" w:rsidP="00312988">
      <w:pPr>
        <w:pStyle w:val="Odstavecseseznamem"/>
        <w:spacing w:after="120"/>
        <w:ind w:left="360" w:right="-284"/>
        <w:jc w:val="both"/>
        <w:rPr>
          <w:rFonts w:asciiTheme="minorHAnsi" w:hAnsiTheme="minorHAnsi" w:cstheme="minorHAnsi"/>
          <w:sz w:val="22"/>
          <w:szCs w:val="22"/>
        </w:rPr>
      </w:pPr>
      <w:r w:rsidRPr="005B1A84">
        <w:rPr>
          <w:rFonts w:asciiTheme="minorHAnsi" w:hAnsiTheme="minorHAnsi" w:cstheme="minorHAnsi"/>
          <w:sz w:val="22"/>
          <w:szCs w:val="22"/>
        </w:rPr>
        <w:t>Dodavatel připraví ná</w:t>
      </w:r>
      <w:r>
        <w:rPr>
          <w:rFonts w:asciiTheme="minorHAnsi" w:hAnsiTheme="minorHAnsi" w:cstheme="minorHAnsi"/>
          <w:sz w:val="22"/>
          <w:szCs w:val="22"/>
        </w:rPr>
        <w:t>vrh/y pro ČAS pro tuto formu prezentace – dle svého uvážení, anebo na základě vysloveného/vystaveného požadavku objednatele.</w:t>
      </w:r>
    </w:p>
    <w:p w14:paraId="6ED81014" w14:textId="77777777" w:rsidR="00504797" w:rsidRPr="00850C4D" w:rsidRDefault="00504797" w:rsidP="00312988">
      <w:pPr>
        <w:numPr>
          <w:ilvl w:val="0"/>
          <w:numId w:val="17"/>
        </w:numPr>
        <w:spacing w:after="120"/>
        <w:ind w:right="-284"/>
        <w:jc w:val="both"/>
        <w:rPr>
          <w:rFonts w:asciiTheme="minorHAnsi" w:hAnsiTheme="minorHAnsi" w:cstheme="minorHAnsi"/>
          <w:sz w:val="22"/>
          <w:szCs w:val="22"/>
        </w:rPr>
      </w:pPr>
      <w:r w:rsidRPr="00850C4D">
        <w:rPr>
          <w:rFonts w:asciiTheme="minorHAnsi" w:hAnsiTheme="minorHAnsi" w:cstheme="minorHAnsi"/>
          <w:sz w:val="22"/>
          <w:szCs w:val="22"/>
        </w:rPr>
        <w:t>V minulých letech bylo v elektronickém k</w:t>
      </w:r>
      <w:r>
        <w:rPr>
          <w:rFonts w:asciiTheme="minorHAnsi" w:hAnsiTheme="minorHAnsi" w:cstheme="minorHAnsi"/>
          <w:sz w:val="22"/>
          <w:szCs w:val="22"/>
        </w:rPr>
        <w:t>omunikačním nástroji ISO e-news</w:t>
      </w:r>
      <w:r w:rsidRPr="00850C4D">
        <w:rPr>
          <w:rFonts w:asciiTheme="minorHAnsi" w:hAnsiTheme="minorHAnsi" w:cstheme="minorHAnsi"/>
          <w:sz w:val="22"/>
          <w:szCs w:val="22"/>
        </w:rPr>
        <w:t xml:space="preserve">letter ISO COPOLCO pravidelně informováno o vývoji v ČR ve vztahu k praktické aplikaci modelu zapojení spotřebitelů do normalizace. Obvykle ÚNMZ/ČAS zpracované návrhy využily a sekretariátu ISO COPOLCO </w:t>
      </w:r>
      <w:r>
        <w:rPr>
          <w:rFonts w:asciiTheme="minorHAnsi" w:hAnsiTheme="minorHAnsi" w:cstheme="minorHAnsi"/>
          <w:sz w:val="22"/>
          <w:szCs w:val="22"/>
        </w:rPr>
        <w:t>je předaly;</w:t>
      </w:r>
      <w:r w:rsidRPr="00850C4D">
        <w:rPr>
          <w:rFonts w:asciiTheme="minorHAnsi" w:hAnsiTheme="minorHAnsi" w:cstheme="minorHAnsi"/>
          <w:sz w:val="22"/>
          <w:szCs w:val="22"/>
        </w:rPr>
        <w:t xml:space="preserve"> </w:t>
      </w:r>
      <w:r>
        <w:rPr>
          <w:rFonts w:asciiTheme="minorHAnsi" w:hAnsiTheme="minorHAnsi" w:cstheme="minorHAnsi"/>
          <w:sz w:val="22"/>
          <w:szCs w:val="22"/>
        </w:rPr>
        <w:t xml:space="preserve">tam </w:t>
      </w:r>
      <w:r w:rsidRPr="00850C4D">
        <w:rPr>
          <w:rFonts w:asciiTheme="minorHAnsi" w:hAnsiTheme="minorHAnsi" w:cstheme="minorHAnsi"/>
          <w:sz w:val="22"/>
          <w:szCs w:val="22"/>
        </w:rPr>
        <w:t xml:space="preserve">byly </w:t>
      </w:r>
      <w:r>
        <w:rPr>
          <w:rFonts w:asciiTheme="minorHAnsi" w:hAnsiTheme="minorHAnsi" w:cstheme="minorHAnsi"/>
          <w:sz w:val="22"/>
          <w:szCs w:val="22"/>
        </w:rPr>
        <w:t xml:space="preserve">následně </w:t>
      </w:r>
      <w:r w:rsidRPr="00850C4D">
        <w:rPr>
          <w:rFonts w:asciiTheme="minorHAnsi" w:hAnsiTheme="minorHAnsi" w:cstheme="minorHAnsi"/>
          <w:sz w:val="22"/>
          <w:szCs w:val="22"/>
        </w:rPr>
        <w:t>vždy publikovány.</w:t>
      </w:r>
    </w:p>
    <w:p w14:paraId="71EDB3D1" w14:textId="77777777" w:rsidR="00504797" w:rsidRPr="00850C4D" w:rsidRDefault="00504797" w:rsidP="00312988">
      <w:pPr>
        <w:numPr>
          <w:ilvl w:val="0"/>
          <w:numId w:val="17"/>
        </w:numPr>
        <w:spacing w:after="120"/>
        <w:ind w:right="-284"/>
        <w:jc w:val="both"/>
        <w:rPr>
          <w:rFonts w:asciiTheme="minorHAnsi" w:hAnsiTheme="minorHAnsi" w:cstheme="minorHAnsi"/>
          <w:sz w:val="22"/>
          <w:szCs w:val="22"/>
        </w:rPr>
      </w:pPr>
      <w:r w:rsidRPr="00850C4D">
        <w:rPr>
          <w:rFonts w:asciiTheme="minorHAnsi" w:hAnsiTheme="minorHAnsi" w:cstheme="minorHAnsi"/>
          <w:sz w:val="22"/>
          <w:szCs w:val="22"/>
        </w:rPr>
        <w:t>Kabinet měl na předcházejí</w:t>
      </w:r>
      <w:r>
        <w:rPr>
          <w:rFonts w:asciiTheme="minorHAnsi" w:hAnsiTheme="minorHAnsi" w:cstheme="minorHAnsi"/>
          <w:sz w:val="22"/>
          <w:szCs w:val="22"/>
        </w:rPr>
        <w:t>cí</w:t>
      </w:r>
      <w:r w:rsidRPr="00850C4D">
        <w:rPr>
          <w:rFonts w:asciiTheme="minorHAnsi" w:hAnsiTheme="minorHAnsi" w:cstheme="minorHAnsi"/>
          <w:sz w:val="22"/>
          <w:szCs w:val="22"/>
        </w:rPr>
        <w:t xml:space="preserve"> příspěvky vždy pozitivní reakce. Pokládá proto za prospěšné i v roce 202</w:t>
      </w:r>
      <w:r>
        <w:rPr>
          <w:rFonts w:asciiTheme="minorHAnsi" w:hAnsiTheme="minorHAnsi" w:cstheme="minorHAnsi"/>
          <w:sz w:val="22"/>
          <w:szCs w:val="22"/>
        </w:rPr>
        <w:t>4</w:t>
      </w:r>
      <w:r w:rsidRPr="00850C4D">
        <w:rPr>
          <w:rFonts w:asciiTheme="minorHAnsi" w:hAnsiTheme="minorHAnsi" w:cstheme="minorHAnsi"/>
          <w:sz w:val="22"/>
          <w:szCs w:val="22"/>
        </w:rPr>
        <w:t xml:space="preserve"> alespoň jeden návrh na aktuální informaci o dosažených výsledcích standardizace ve prospěch spotřebitelů prostřednictvím ČAS zpracovat</w:t>
      </w:r>
      <w:r>
        <w:rPr>
          <w:rFonts w:asciiTheme="minorHAnsi" w:hAnsiTheme="minorHAnsi" w:cstheme="minorHAnsi"/>
          <w:sz w:val="22"/>
          <w:szCs w:val="22"/>
        </w:rPr>
        <w:t xml:space="preserve"> a nabídnout.</w:t>
      </w:r>
      <w:r w:rsidRPr="00850C4D">
        <w:rPr>
          <w:rFonts w:asciiTheme="minorHAnsi" w:hAnsiTheme="minorHAnsi" w:cstheme="minorHAnsi"/>
          <w:sz w:val="22"/>
          <w:szCs w:val="22"/>
        </w:rPr>
        <w:t xml:space="preserve"> </w:t>
      </w:r>
      <w:r>
        <w:rPr>
          <w:rFonts w:asciiTheme="minorHAnsi" w:hAnsiTheme="minorHAnsi" w:cstheme="minorHAnsi"/>
          <w:sz w:val="22"/>
          <w:szCs w:val="22"/>
        </w:rPr>
        <w:t>Bude pak věcí ČAS, zda návrhy příspěvků použije.</w:t>
      </w:r>
    </w:p>
    <w:p w14:paraId="47185023" w14:textId="77777777" w:rsidR="00504797" w:rsidRDefault="00504797" w:rsidP="00312988">
      <w:pPr>
        <w:numPr>
          <w:ilvl w:val="0"/>
          <w:numId w:val="17"/>
        </w:numPr>
        <w:spacing w:after="120"/>
        <w:ind w:right="-284"/>
        <w:jc w:val="both"/>
        <w:rPr>
          <w:rFonts w:asciiTheme="minorHAnsi" w:hAnsiTheme="minorHAnsi" w:cstheme="minorHAnsi"/>
          <w:sz w:val="22"/>
          <w:szCs w:val="22"/>
        </w:rPr>
      </w:pPr>
      <w:r w:rsidRPr="00850C4D">
        <w:rPr>
          <w:rFonts w:asciiTheme="minorHAnsi" w:hAnsiTheme="minorHAnsi" w:cstheme="minorHAnsi"/>
          <w:sz w:val="22"/>
          <w:szCs w:val="22"/>
        </w:rPr>
        <w:t xml:space="preserve">Zpracované informace byly obvykle prezentovány </w:t>
      </w:r>
      <w:r>
        <w:rPr>
          <w:rFonts w:asciiTheme="minorHAnsi" w:hAnsiTheme="minorHAnsi" w:cstheme="minorHAnsi"/>
          <w:sz w:val="22"/>
          <w:szCs w:val="22"/>
        </w:rPr>
        <w:t>evropské veřejnosti</w:t>
      </w:r>
      <w:r w:rsidRPr="00850C4D">
        <w:rPr>
          <w:rFonts w:asciiTheme="minorHAnsi" w:hAnsiTheme="minorHAnsi" w:cstheme="minorHAnsi"/>
          <w:sz w:val="22"/>
          <w:szCs w:val="22"/>
        </w:rPr>
        <w:t xml:space="preserve"> prostřednictvím ANEC; tím se viditelnost řešení úkolu dále rozšíří. </w:t>
      </w:r>
    </w:p>
    <w:p w14:paraId="0AC72842" w14:textId="77777777" w:rsidR="00504797" w:rsidRDefault="00504797" w:rsidP="00312988">
      <w:pPr>
        <w:numPr>
          <w:ilvl w:val="0"/>
          <w:numId w:val="17"/>
        </w:numPr>
        <w:spacing w:after="120"/>
        <w:ind w:right="-284"/>
        <w:jc w:val="both"/>
        <w:rPr>
          <w:rFonts w:asciiTheme="minorHAnsi" w:hAnsiTheme="minorHAnsi" w:cstheme="minorHAnsi"/>
          <w:sz w:val="22"/>
          <w:szCs w:val="22"/>
        </w:rPr>
      </w:pPr>
      <w:r w:rsidRPr="00850C4D">
        <w:rPr>
          <w:rFonts w:asciiTheme="minorHAnsi" w:hAnsiTheme="minorHAnsi" w:cstheme="minorHAnsi"/>
          <w:sz w:val="22"/>
          <w:szCs w:val="22"/>
        </w:rPr>
        <w:t xml:space="preserve">Odkazy na minulé příspěvky jsou vystaveny </w:t>
      </w:r>
      <w:hyperlink r:id="rId13" w:history="1">
        <w:r w:rsidRPr="00F0584A">
          <w:rPr>
            <w:rFonts w:asciiTheme="minorHAnsi" w:hAnsiTheme="minorHAnsi" w:cstheme="minorHAnsi"/>
            <w:sz w:val="22"/>
            <w:szCs w:val="22"/>
            <w:u w:val="single"/>
          </w:rPr>
          <w:t>Zde</w:t>
        </w:r>
      </w:hyperlink>
      <w:r w:rsidRPr="00850C4D">
        <w:rPr>
          <w:rFonts w:asciiTheme="minorHAnsi" w:hAnsiTheme="minorHAnsi" w:cstheme="minorHAnsi"/>
          <w:sz w:val="22"/>
          <w:szCs w:val="22"/>
        </w:rPr>
        <w:t>.</w:t>
      </w:r>
    </w:p>
    <w:p w14:paraId="23FC92CE" w14:textId="54CB3F8A" w:rsidR="00504797" w:rsidRPr="00F135AF" w:rsidRDefault="00504797" w:rsidP="00312988">
      <w:pPr>
        <w:spacing w:after="120"/>
        <w:ind w:right="-284"/>
        <w:jc w:val="both"/>
        <w:rPr>
          <w:rFonts w:asciiTheme="minorHAnsi" w:hAnsiTheme="minorHAnsi" w:cstheme="minorHAnsi"/>
          <w:b/>
          <w:sz w:val="22"/>
          <w:szCs w:val="22"/>
        </w:rPr>
      </w:pPr>
      <w:r w:rsidRPr="00F135AF">
        <w:rPr>
          <w:rFonts w:asciiTheme="minorHAnsi" w:hAnsiTheme="minorHAnsi" w:cstheme="minorHAnsi"/>
          <w:b/>
          <w:sz w:val="22"/>
          <w:szCs w:val="22"/>
        </w:rPr>
        <w:t>Účel, důvod zadání</w:t>
      </w:r>
    </w:p>
    <w:p w14:paraId="2B98B590" w14:textId="77777777" w:rsidR="00504797" w:rsidRPr="00416AB7" w:rsidRDefault="00504797" w:rsidP="00312988">
      <w:pPr>
        <w:numPr>
          <w:ilvl w:val="0"/>
          <w:numId w:val="16"/>
        </w:numPr>
        <w:spacing w:after="120"/>
        <w:ind w:right="-284"/>
        <w:jc w:val="both"/>
        <w:rPr>
          <w:rFonts w:asciiTheme="minorHAnsi" w:hAnsiTheme="minorHAnsi" w:cstheme="minorHAnsi"/>
          <w:sz w:val="22"/>
          <w:szCs w:val="22"/>
        </w:rPr>
      </w:pPr>
      <w:r w:rsidRPr="00850C4D">
        <w:rPr>
          <w:rFonts w:asciiTheme="minorHAnsi" w:hAnsiTheme="minorHAnsi" w:cstheme="minorHAnsi"/>
          <w:sz w:val="22"/>
          <w:szCs w:val="22"/>
        </w:rPr>
        <w:t xml:space="preserve">Výbor pro spotřebitelské politiky (COPOLCO) v ISO je důležitou součástí činnosti této mezinárodní normalizační organizace, a tuto činnost významně ovlivňuje. V rámci ISO COPOCO jsou řešena mnohá témata </w:t>
      </w:r>
      <w:r>
        <w:rPr>
          <w:rFonts w:asciiTheme="minorHAnsi" w:hAnsiTheme="minorHAnsi" w:cstheme="minorHAnsi"/>
          <w:sz w:val="22"/>
          <w:szCs w:val="22"/>
        </w:rPr>
        <w:t xml:space="preserve">a služby informační společnosti jsou jednou z priorit. </w:t>
      </w:r>
    </w:p>
    <w:p w14:paraId="1C7A2F27" w14:textId="77777777" w:rsidR="00504797" w:rsidRDefault="00504797" w:rsidP="00312988">
      <w:pPr>
        <w:numPr>
          <w:ilvl w:val="0"/>
          <w:numId w:val="16"/>
        </w:numPr>
        <w:spacing w:after="120"/>
        <w:ind w:right="-284"/>
        <w:jc w:val="both"/>
        <w:rPr>
          <w:rFonts w:asciiTheme="minorHAnsi" w:hAnsiTheme="minorHAnsi" w:cstheme="minorHAnsi"/>
          <w:sz w:val="22"/>
          <w:szCs w:val="22"/>
        </w:rPr>
      </w:pPr>
      <w:r w:rsidRPr="00850C4D">
        <w:rPr>
          <w:rFonts w:asciiTheme="minorHAnsi" w:hAnsiTheme="minorHAnsi" w:cstheme="minorHAnsi"/>
          <w:sz w:val="22"/>
          <w:szCs w:val="22"/>
        </w:rPr>
        <w:t>Zapojení spotřebitelů do normalizace je součástí politik EU. Řešení úkolu tedy napomáhá v souladu s evropskými politikami a v souladu s principy ISO prakticky podpořit zapojení spotřebitelů do konkrétních témat technické normalizace. V rámci úkolu se má navázat na efektivní koordinaci spotřebitelů, podporovanou pravidelně v</w:t>
      </w:r>
      <w:r>
        <w:rPr>
          <w:rFonts w:asciiTheme="minorHAnsi" w:hAnsiTheme="minorHAnsi" w:cstheme="minorHAnsi"/>
          <w:sz w:val="22"/>
          <w:szCs w:val="22"/>
        </w:rPr>
        <w:t> </w:t>
      </w:r>
      <w:r w:rsidRPr="00850C4D">
        <w:rPr>
          <w:rFonts w:asciiTheme="minorHAnsi" w:hAnsiTheme="minorHAnsi" w:cstheme="minorHAnsi"/>
          <w:sz w:val="22"/>
          <w:szCs w:val="22"/>
        </w:rPr>
        <w:t>minulosti</w:t>
      </w:r>
      <w:r>
        <w:rPr>
          <w:rFonts w:asciiTheme="minorHAnsi" w:hAnsiTheme="minorHAnsi" w:cstheme="minorHAnsi"/>
          <w:sz w:val="22"/>
          <w:szCs w:val="22"/>
        </w:rPr>
        <w:t>.</w:t>
      </w:r>
    </w:p>
    <w:p w14:paraId="166FBCD8" w14:textId="77777777" w:rsidR="00504797" w:rsidRPr="00850C4D" w:rsidRDefault="00504797" w:rsidP="00312988">
      <w:pPr>
        <w:numPr>
          <w:ilvl w:val="0"/>
          <w:numId w:val="16"/>
        </w:numPr>
        <w:spacing w:after="120"/>
        <w:ind w:right="-284"/>
        <w:jc w:val="both"/>
        <w:rPr>
          <w:rFonts w:asciiTheme="minorHAnsi" w:hAnsiTheme="minorHAnsi" w:cstheme="minorHAnsi"/>
          <w:sz w:val="22"/>
          <w:szCs w:val="22"/>
        </w:rPr>
      </w:pPr>
      <w:r w:rsidRPr="00850C4D">
        <w:rPr>
          <w:rFonts w:asciiTheme="minorHAnsi" w:hAnsiTheme="minorHAnsi" w:cstheme="minorHAnsi"/>
          <w:sz w:val="22"/>
          <w:szCs w:val="22"/>
        </w:rPr>
        <w:t>Řešení navrženého úkolu má podpořit a vést:</w:t>
      </w:r>
    </w:p>
    <w:p w14:paraId="57AC5D7E" w14:textId="77777777" w:rsidR="00504797" w:rsidRPr="00850C4D" w:rsidRDefault="00504797" w:rsidP="00312988">
      <w:pPr>
        <w:numPr>
          <w:ilvl w:val="1"/>
          <w:numId w:val="16"/>
        </w:numPr>
        <w:spacing w:after="120"/>
        <w:ind w:left="709" w:right="-284" w:hanging="425"/>
        <w:jc w:val="both"/>
        <w:rPr>
          <w:rFonts w:asciiTheme="minorHAnsi" w:hAnsiTheme="minorHAnsi" w:cstheme="minorHAnsi"/>
          <w:sz w:val="22"/>
          <w:szCs w:val="22"/>
        </w:rPr>
      </w:pPr>
      <w:r w:rsidRPr="00850C4D">
        <w:rPr>
          <w:rFonts w:asciiTheme="minorHAnsi" w:hAnsiTheme="minorHAnsi" w:cstheme="minorHAnsi"/>
          <w:sz w:val="22"/>
          <w:szCs w:val="22"/>
        </w:rPr>
        <w:lastRenderedPageBreak/>
        <w:t>K podpoře systematického zapojování spotřebitelů do procesů technické normalizace a procesů souvisejících, včetně zajištění koordinovaných a projednaných stanovisek k dokumentům ISO COPOLCO a k podpoře k aktivní účasti na akcích a aktivitách ISO COPOLCO (nyní obvykle on-line);</w:t>
      </w:r>
    </w:p>
    <w:p w14:paraId="0A8B9F5E" w14:textId="77777777" w:rsidR="00504797" w:rsidRPr="00850C4D" w:rsidRDefault="00504797" w:rsidP="00312988">
      <w:pPr>
        <w:numPr>
          <w:ilvl w:val="1"/>
          <w:numId w:val="16"/>
        </w:numPr>
        <w:spacing w:after="120"/>
        <w:ind w:left="709" w:right="-284" w:hanging="425"/>
        <w:jc w:val="both"/>
        <w:rPr>
          <w:rFonts w:asciiTheme="minorHAnsi" w:hAnsiTheme="minorHAnsi" w:cstheme="minorHAnsi"/>
          <w:sz w:val="22"/>
          <w:szCs w:val="22"/>
        </w:rPr>
      </w:pPr>
      <w:r w:rsidRPr="00850C4D">
        <w:rPr>
          <w:rFonts w:asciiTheme="minorHAnsi" w:hAnsiTheme="minorHAnsi" w:cstheme="minorHAnsi"/>
          <w:sz w:val="22"/>
          <w:szCs w:val="22"/>
        </w:rPr>
        <w:t>Ke zlepšení toku informací a k posílení infrastruktury pro projednávání a koordinaci spolupráce mezi spotřebitelskými organizacemi</w:t>
      </w:r>
      <w:r>
        <w:rPr>
          <w:rFonts w:asciiTheme="minorHAnsi" w:hAnsiTheme="minorHAnsi" w:cstheme="minorHAnsi"/>
          <w:sz w:val="22"/>
          <w:szCs w:val="22"/>
        </w:rPr>
        <w:t xml:space="preserve"> a MSP;</w:t>
      </w:r>
    </w:p>
    <w:p w14:paraId="296D7E8A" w14:textId="77777777" w:rsidR="00504797" w:rsidRDefault="00504797" w:rsidP="00312988">
      <w:pPr>
        <w:numPr>
          <w:ilvl w:val="1"/>
          <w:numId w:val="16"/>
        </w:numPr>
        <w:spacing w:after="120"/>
        <w:ind w:left="709" w:right="-284" w:hanging="425"/>
        <w:jc w:val="both"/>
        <w:rPr>
          <w:rFonts w:asciiTheme="minorHAnsi" w:hAnsiTheme="minorHAnsi" w:cstheme="minorHAnsi"/>
          <w:sz w:val="22"/>
          <w:szCs w:val="22"/>
        </w:rPr>
      </w:pPr>
      <w:r w:rsidRPr="00850C4D">
        <w:rPr>
          <w:rFonts w:asciiTheme="minorHAnsi" w:hAnsiTheme="minorHAnsi" w:cstheme="minorHAnsi"/>
          <w:sz w:val="22"/>
          <w:szCs w:val="22"/>
        </w:rPr>
        <w:t>Ke zviditelnění významu technické normalizace obecně, zejména s ohledem na funkci ISO COPOLCO</w:t>
      </w:r>
      <w:r>
        <w:rPr>
          <w:rFonts w:asciiTheme="minorHAnsi" w:hAnsiTheme="minorHAnsi" w:cstheme="minorHAnsi"/>
          <w:sz w:val="22"/>
          <w:szCs w:val="22"/>
        </w:rPr>
        <w:t>, ale také evropské normalizace a rozvoj komunikace na národní úrovni;</w:t>
      </w:r>
    </w:p>
    <w:p w14:paraId="689C401C" w14:textId="77777777" w:rsidR="00504797" w:rsidRDefault="00504797" w:rsidP="00312988">
      <w:pPr>
        <w:numPr>
          <w:ilvl w:val="1"/>
          <w:numId w:val="16"/>
        </w:numPr>
        <w:spacing w:after="120"/>
        <w:ind w:left="709" w:right="-284" w:hanging="425"/>
        <w:jc w:val="both"/>
        <w:rPr>
          <w:rFonts w:asciiTheme="minorHAnsi" w:hAnsiTheme="minorHAnsi" w:cstheme="minorHAnsi"/>
          <w:sz w:val="22"/>
          <w:szCs w:val="22"/>
        </w:rPr>
      </w:pPr>
      <w:r w:rsidRPr="00850C4D">
        <w:rPr>
          <w:rFonts w:asciiTheme="minorHAnsi" w:hAnsiTheme="minorHAnsi" w:cstheme="minorHAnsi"/>
          <w:sz w:val="22"/>
          <w:szCs w:val="22"/>
        </w:rPr>
        <w:t>Ke zviditelnění ÚNMZ/ČAS jako člena ISO COPOLCO ve vztahu k podpoře zapojení spotřebitelů do standardizace</w:t>
      </w:r>
      <w:r>
        <w:rPr>
          <w:rFonts w:asciiTheme="minorHAnsi" w:hAnsiTheme="minorHAnsi" w:cstheme="minorHAnsi"/>
          <w:sz w:val="22"/>
          <w:szCs w:val="22"/>
        </w:rPr>
        <w:t xml:space="preserve"> a k doložení účinného naplňování strategie ISO COPOLCO 30, i strategií CEN/CENELEC 30.</w:t>
      </w:r>
    </w:p>
    <w:p w14:paraId="4D54530E" w14:textId="77777777" w:rsidR="00504797" w:rsidRDefault="00504797" w:rsidP="00312988">
      <w:pPr>
        <w:spacing w:after="120"/>
        <w:ind w:right="-284"/>
        <w:jc w:val="both"/>
        <w:rPr>
          <w:rFonts w:asciiTheme="minorHAnsi" w:hAnsiTheme="minorHAnsi" w:cstheme="minorHAnsi"/>
          <w:b/>
          <w:sz w:val="22"/>
          <w:szCs w:val="22"/>
        </w:rPr>
      </w:pPr>
      <w:r>
        <w:rPr>
          <w:rFonts w:asciiTheme="minorHAnsi" w:hAnsiTheme="minorHAnsi" w:cstheme="minorHAnsi"/>
          <w:b/>
          <w:sz w:val="22"/>
          <w:szCs w:val="22"/>
        </w:rPr>
        <w:t xml:space="preserve">Předání </w:t>
      </w:r>
      <w:r w:rsidRPr="00850C4D">
        <w:rPr>
          <w:rFonts w:asciiTheme="minorHAnsi" w:hAnsiTheme="minorHAnsi" w:cstheme="minorHAnsi"/>
          <w:b/>
          <w:sz w:val="22"/>
          <w:szCs w:val="22"/>
        </w:rPr>
        <w:t>výsledk</w:t>
      </w:r>
      <w:r>
        <w:rPr>
          <w:rFonts w:asciiTheme="minorHAnsi" w:hAnsiTheme="minorHAnsi" w:cstheme="minorHAnsi"/>
          <w:b/>
          <w:sz w:val="22"/>
          <w:szCs w:val="22"/>
        </w:rPr>
        <w:t>ů řešení díla - zakázky</w:t>
      </w:r>
    </w:p>
    <w:p w14:paraId="3703149B" w14:textId="77777777" w:rsidR="00504797" w:rsidRPr="00435B64" w:rsidRDefault="00504797" w:rsidP="00312988">
      <w:pPr>
        <w:spacing w:after="120"/>
        <w:ind w:right="-284"/>
        <w:jc w:val="both"/>
        <w:rPr>
          <w:rFonts w:asciiTheme="minorHAnsi" w:hAnsiTheme="minorHAnsi" w:cstheme="minorHAnsi"/>
          <w:i/>
          <w:sz w:val="22"/>
          <w:szCs w:val="22"/>
        </w:rPr>
      </w:pPr>
      <w:r w:rsidRPr="00850C4D">
        <w:rPr>
          <w:rFonts w:asciiTheme="minorHAnsi" w:hAnsiTheme="minorHAnsi" w:cstheme="minorHAnsi"/>
          <w:sz w:val="22"/>
          <w:szCs w:val="22"/>
        </w:rPr>
        <w:t>Závěrečná zpráva řešení díla</w:t>
      </w:r>
      <w:r>
        <w:rPr>
          <w:rFonts w:asciiTheme="minorHAnsi" w:hAnsiTheme="minorHAnsi" w:cstheme="minorHAnsi"/>
          <w:sz w:val="22"/>
          <w:szCs w:val="22"/>
        </w:rPr>
        <w:t xml:space="preserve"> popíše plnění jednotlivých aktivit věcným popisem, na jejichž základě dodavatel navrhne objednateli vyjádření </w:t>
      </w:r>
      <w:r w:rsidRPr="00435B64">
        <w:rPr>
          <w:rFonts w:asciiTheme="minorHAnsi" w:hAnsiTheme="minorHAnsi" w:cstheme="minorHAnsi"/>
          <w:i/>
          <w:sz w:val="22"/>
          <w:szCs w:val="22"/>
        </w:rPr>
        <w:t>splněno/nesplněno/splněno s výhradou - zdůvodnění.</w:t>
      </w:r>
    </w:p>
    <w:p w14:paraId="0C3A53F5" w14:textId="77777777" w:rsidR="00504797" w:rsidRDefault="00504797" w:rsidP="00312988">
      <w:pPr>
        <w:spacing w:after="120"/>
        <w:ind w:right="-284"/>
        <w:jc w:val="both"/>
        <w:rPr>
          <w:rFonts w:asciiTheme="minorHAnsi" w:hAnsiTheme="minorHAnsi" w:cstheme="minorHAnsi"/>
          <w:sz w:val="10"/>
          <w:szCs w:val="22"/>
        </w:rPr>
      </w:pPr>
    </w:p>
    <w:p w14:paraId="34B382B8" w14:textId="77777777" w:rsidR="00504797" w:rsidRPr="00850C4D" w:rsidRDefault="00504797" w:rsidP="00312988">
      <w:pPr>
        <w:ind w:right="-284"/>
        <w:jc w:val="both"/>
        <w:rPr>
          <w:rFonts w:asciiTheme="minorHAnsi" w:hAnsiTheme="minorHAnsi" w:cstheme="minorHAnsi"/>
          <w:b/>
          <w:sz w:val="22"/>
          <w:szCs w:val="22"/>
        </w:rPr>
      </w:pPr>
      <w:r w:rsidRPr="00850C4D">
        <w:rPr>
          <w:rFonts w:asciiTheme="minorHAnsi" w:hAnsiTheme="minorHAnsi" w:cstheme="minorHAnsi"/>
          <w:b/>
          <w:sz w:val="22"/>
          <w:szCs w:val="22"/>
        </w:rPr>
        <w:t>Smluvní cena:</w:t>
      </w:r>
      <w:r w:rsidRPr="00850C4D">
        <w:rPr>
          <w:rFonts w:asciiTheme="minorHAnsi" w:hAnsiTheme="minorHAnsi" w:cstheme="minorHAnsi"/>
          <w:sz w:val="22"/>
          <w:szCs w:val="22"/>
        </w:rPr>
        <w:t xml:space="preserve">  </w:t>
      </w:r>
      <w:r w:rsidRPr="00850C4D">
        <w:rPr>
          <w:rFonts w:asciiTheme="minorHAnsi" w:hAnsiTheme="minorHAnsi" w:cstheme="minorHAnsi"/>
          <w:sz w:val="22"/>
          <w:szCs w:val="22"/>
        </w:rPr>
        <w:tab/>
      </w:r>
      <w:r w:rsidRPr="00850C4D">
        <w:rPr>
          <w:rFonts w:asciiTheme="minorHAnsi" w:hAnsiTheme="minorHAnsi" w:cstheme="minorHAnsi"/>
          <w:sz w:val="22"/>
          <w:szCs w:val="22"/>
        </w:rPr>
        <w:tab/>
      </w:r>
      <w:r w:rsidRPr="00850C4D">
        <w:rPr>
          <w:rFonts w:asciiTheme="minorHAnsi" w:hAnsiTheme="minorHAnsi" w:cstheme="minorHAnsi"/>
          <w:sz w:val="22"/>
          <w:szCs w:val="22"/>
        </w:rPr>
        <w:tab/>
      </w:r>
      <w:r w:rsidRPr="00850C4D">
        <w:rPr>
          <w:rFonts w:asciiTheme="minorHAnsi" w:hAnsiTheme="minorHAnsi" w:cstheme="minorHAnsi"/>
          <w:sz w:val="22"/>
          <w:szCs w:val="22"/>
        </w:rPr>
        <w:tab/>
      </w:r>
      <w:r w:rsidRPr="00850C4D">
        <w:rPr>
          <w:rFonts w:asciiTheme="minorHAnsi" w:hAnsiTheme="minorHAnsi" w:cstheme="minorHAnsi"/>
          <w:b/>
          <w:sz w:val="22"/>
          <w:szCs w:val="22"/>
        </w:rPr>
        <w:t>1</w:t>
      </w:r>
      <w:r>
        <w:rPr>
          <w:rFonts w:asciiTheme="minorHAnsi" w:hAnsiTheme="minorHAnsi" w:cstheme="minorHAnsi"/>
          <w:b/>
          <w:sz w:val="22"/>
          <w:szCs w:val="22"/>
        </w:rPr>
        <w:t>80</w:t>
      </w:r>
      <w:r w:rsidRPr="00850C4D">
        <w:rPr>
          <w:rFonts w:asciiTheme="minorHAnsi" w:hAnsiTheme="minorHAnsi" w:cstheme="minorHAnsi"/>
          <w:b/>
          <w:sz w:val="22"/>
          <w:szCs w:val="22"/>
        </w:rPr>
        <w:t>.000 Kč bez DPH</w:t>
      </w:r>
    </w:p>
    <w:p w14:paraId="65AAA6D5" w14:textId="77777777" w:rsidR="00504797" w:rsidRPr="00850C4D" w:rsidRDefault="00504797" w:rsidP="00312988">
      <w:pPr>
        <w:ind w:left="2832" w:right="-284" w:firstLine="708"/>
        <w:jc w:val="both"/>
        <w:rPr>
          <w:rFonts w:asciiTheme="minorHAnsi" w:hAnsiTheme="minorHAnsi" w:cstheme="minorHAnsi"/>
          <w:sz w:val="22"/>
          <w:szCs w:val="22"/>
        </w:rPr>
      </w:pPr>
      <w:r w:rsidRPr="00850C4D">
        <w:rPr>
          <w:rFonts w:asciiTheme="minorHAnsi" w:hAnsiTheme="minorHAnsi" w:cstheme="minorHAnsi"/>
          <w:sz w:val="22"/>
          <w:szCs w:val="22"/>
        </w:rPr>
        <w:t xml:space="preserve">Kabinet </w:t>
      </w:r>
      <w:r>
        <w:rPr>
          <w:rFonts w:asciiTheme="minorHAnsi" w:hAnsiTheme="minorHAnsi" w:cstheme="minorHAnsi"/>
          <w:sz w:val="22"/>
          <w:szCs w:val="22"/>
        </w:rPr>
        <w:t xml:space="preserve">není </w:t>
      </w:r>
      <w:r w:rsidRPr="00850C4D">
        <w:rPr>
          <w:rFonts w:asciiTheme="minorHAnsi" w:hAnsiTheme="minorHAnsi" w:cstheme="minorHAnsi"/>
          <w:sz w:val="22"/>
          <w:szCs w:val="22"/>
        </w:rPr>
        <w:t>plátcem DPH</w:t>
      </w:r>
    </w:p>
    <w:p w14:paraId="5ECF18FC" w14:textId="4561E17D" w:rsidR="00504797" w:rsidRPr="00850C4D" w:rsidRDefault="00504797" w:rsidP="00312988">
      <w:pPr>
        <w:spacing w:after="120"/>
        <w:ind w:left="3540" w:right="-284"/>
        <w:jc w:val="both"/>
        <w:rPr>
          <w:rFonts w:asciiTheme="minorHAnsi" w:hAnsiTheme="minorHAnsi" w:cstheme="minorHAnsi"/>
          <w:sz w:val="22"/>
          <w:szCs w:val="22"/>
        </w:rPr>
      </w:pPr>
      <w:r w:rsidRPr="00850C4D">
        <w:rPr>
          <w:rFonts w:asciiTheme="minorHAnsi" w:hAnsiTheme="minorHAnsi" w:cstheme="minorHAnsi"/>
          <w:sz w:val="22"/>
          <w:szCs w:val="22"/>
        </w:rPr>
        <w:t xml:space="preserve">Kalkulace pro návrh rozpočtu řešení úkolu – náklady </w:t>
      </w:r>
      <w:r w:rsidR="00876BC3">
        <w:rPr>
          <w:rFonts w:asciiTheme="minorHAnsi" w:hAnsiTheme="minorHAnsi" w:cstheme="minorHAnsi"/>
          <w:sz w:val="22"/>
          <w:szCs w:val="22"/>
        </w:rPr>
        <w:t>–</w:t>
      </w:r>
      <w:r w:rsidRPr="00850C4D">
        <w:rPr>
          <w:rFonts w:asciiTheme="minorHAnsi" w:hAnsiTheme="minorHAnsi" w:cstheme="minorHAnsi"/>
          <w:sz w:val="22"/>
          <w:szCs w:val="22"/>
        </w:rPr>
        <w:t xml:space="preserve"> v</w:t>
      </w:r>
      <w:r w:rsidR="00876BC3">
        <w:rPr>
          <w:rFonts w:asciiTheme="minorHAnsi" w:hAnsiTheme="minorHAnsi" w:cstheme="minorHAnsi"/>
          <w:sz w:val="22"/>
          <w:szCs w:val="22"/>
        </w:rPr>
        <w:t> </w:t>
      </w:r>
      <w:r w:rsidRPr="00850C4D">
        <w:rPr>
          <w:rFonts w:asciiTheme="minorHAnsi" w:hAnsiTheme="minorHAnsi" w:cstheme="minorHAnsi"/>
          <w:sz w:val="22"/>
          <w:szCs w:val="22"/>
        </w:rPr>
        <w:t>příloze</w:t>
      </w:r>
    </w:p>
    <w:p w14:paraId="49FE730F" w14:textId="77777777" w:rsidR="00504797" w:rsidRPr="00850C4D" w:rsidRDefault="00504797" w:rsidP="00312988">
      <w:pPr>
        <w:spacing w:after="120"/>
        <w:ind w:right="-284"/>
        <w:jc w:val="both"/>
        <w:rPr>
          <w:rFonts w:asciiTheme="minorHAnsi" w:hAnsiTheme="minorHAnsi" w:cstheme="minorHAnsi"/>
          <w:sz w:val="22"/>
          <w:szCs w:val="22"/>
        </w:rPr>
      </w:pPr>
      <w:r w:rsidRPr="00850C4D">
        <w:rPr>
          <w:rFonts w:asciiTheme="minorHAnsi" w:hAnsiTheme="minorHAnsi" w:cstheme="minorHAnsi"/>
          <w:b/>
          <w:sz w:val="22"/>
          <w:szCs w:val="22"/>
        </w:rPr>
        <w:t>Termín dodání díla:</w:t>
      </w:r>
      <w:r w:rsidRPr="00850C4D">
        <w:rPr>
          <w:rFonts w:asciiTheme="minorHAnsi" w:hAnsiTheme="minorHAnsi" w:cstheme="minorHAnsi"/>
          <w:sz w:val="22"/>
          <w:szCs w:val="22"/>
        </w:rPr>
        <w:t xml:space="preserve">  </w:t>
      </w:r>
      <w:r w:rsidRPr="00850C4D">
        <w:rPr>
          <w:rFonts w:asciiTheme="minorHAnsi" w:hAnsiTheme="minorHAnsi" w:cstheme="minorHAnsi"/>
          <w:sz w:val="22"/>
          <w:szCs w:val="22"/>
        </w:rPr>
        <w:tab/>
      </w:r>
      <w:r w:rsidRPr="00850C4D">
        <w:rPr>
          <w:rFonts w:asciiTheme="minorHAnsi" w:hAnsiTheme="minorHAnsi" w:cstheme="minorHAnsi"/>
          <w:sz w:val="22"/>
          <w:szCs w:val="22"/>
        </w:rPr>
        <w:tab/>
      </w:r>
      <w:r w:rsidRPr="00850C4D">
        <w:rPr>
          <w:rFonts w:asciiTheme="minorHAnsi" w:hAnsiTheme="minorHAnsi" w:cstheme="minorHAnsi"/>
          <w:sz w:val="22"/>
          <w:szCs w:val="22"/>
        </w:rPr>
        <w:tab/>
      </w:r>
      <w:r>
        <w:rPr>
          <w:rFonts w:asciiTheme="minorHAnsi" w:hAnsiTheme="minorHAnsi" w:cstheme="minorHAnsi"/>
          <w:sz w:val="22"/>
          <w:szCs w:val="22"/>
        </w:rPr>
        <w:t>15. 11</w:t>
      </w:r>
      <w:r w:rsidRPr="00850C4D">
        <w:rPr>
          <w:rFonts w:asciiTheme="minorHAnsi" w:hAnsiTheme="minorHAnsi" w:cstheme="minorHAnsi"/>
          <w:sz w:val="22"/>
          <w:szCs w:val="22"/>
        </w:rPr>
        <w:t>. 202</w:t>
      </w:r>
      <w:r>
        <w:rPr>
          <w:rFonts w:asciiTheme="minorHAnsi" w:hAnsiTheme="minorHAnsi" w:cstheme="minorHAnsi"/>
          <w:sz w:val="22"/>
          <w:szCs w:val="22"/>
        </w:rPr>
        <w:t>4</w:t>
      </w:r>
    </w:p>
    <w:p w14:paraId="4190D56D" w14:textId="77777777" w:rsidR="00504797" w:rsidRPr="0019186D" w:rsidRDefault="00504797" w:rsidP="00312988">
      <w:pPr>
        <w:spacing w:after="120"/>
        <w:ind w:right="-284"/>
        <w:jc w:val="both"/>
        <w:rPr>
          <w:rFonts w:asciiTheme="minorHAnsi" w:hAnsiTheme="minorHAnsi" w:cstheme="minorHAnsi"/>
          <w:sz w:val="18"/>
          <w:szCs w:val="22"/>
        </w:rPr>
      </w:pPr>
      <w:r w:rsidRPr="0019186D">
        <w:rPr>
          <w:rFonts w:asciiTheme="minorHAnsi" w:hAnsiTheme="minorHAnsi" w:cstheme="minorHAnsi"/>
          <w:b/>
          <w:sz w:val="18"/>
          <w:szCs w:val="22"/>
        </w:rPr>
        <w:t>Bankovní spojení</w:t>
      </w:r>
      <w:r w:rsidRPr="0019186D">
        <w:rPr>
          <w:rFonts w:asciiTheme="minorHAnsi" w:hAnsiTheme="minorHAnsi" w:cstheme="minorHAnsi"/>
          <w:sz w:val="18"/>
          <w:szCs w:val="22"/>
        </w:rPr>
        <w:t xml:space="preserve"> </w:t>
      </w:r>
      <w:r w:rsidRPr="0019186D">
        <w:rPr>
          <w:rFonts w:asciiTheme="minorHAnsi" w:hAnsiTheme="minorHAnsi" w:cstheme="minorHAnsi"/>
          <w:sz w:val="18"/>
          <w:szCs w:val="22"/>
        </w:rPr>
        <w:tab/>
      </w:r>
      <w:r w:rsidRPr="0019186D">
        <w:rPr>
          <w:rFonts w:asciiTheme="minorHAnsi" w:hAnsiTheme="minorHAnsi" w:cstheme="minorHAnsi"/>
          <w:sz w:val="18"/>
          <w:szCs w:val="22"/>
        </w:rPr>
        <w:tab/>
      </w:r>
      <w:r w:rsidRPr="0019186D">
        <w:rPr>
          <w:rFonts w:asciiTheme="minorHAnsi" w:hAnsiTheme="minorHAnsi" w:cstheme="minorHAnsi"/>
          <w:sz w:val="18"/>
          <w:szCs w:val="22"/>
        </w:rPr>
        <w:tab/>
      </w:r>
      <w:r>
        <w:rPr>
          <w:rFonts w:asciiTheme="minorHAnsi" w:hAnsiTheme="minorHAnsi" w:cstheme="minorHAnsi"/>
          <w:sz w:val="18"/>
          <w:szCs w:val="22"/>
        </w:rPr>
        <w:tab/>
      </w:r>
      <w:proofErr w:type="spellStart"/>
      <w:r w:rsidRPr="0019186D">
        <w:rPr>
          <w:rFonts w:asciiTheme="minorHAnsi" w:hAnsiTheme="minorHAnsi" w:cstheme="minorHAnsi"/>
          <w:sz w:val="18"/>
          <w:szCs w:val="22"/>
        </w:rPr>
        <w:t>Fiobanka</w:t>
      </w:r>
      <w:proofErr w:type="spellEnd"/>
      <w:r w:rsidRPr="0019186D">
        <w:rPr>
          <w:rFonts w:asciiTheme="minorHAnsi" w:hAnsiTheme="minorHAnsi" w:cstheme="minorHAnsi"/>
          <w:sz w:val="18"/>
          <w:szCs w:val="22"/>
        </w:rPr>
        <w:tab/>
        <w:t xml:space="preserve"> </w:t>
      </w:r>
    </w:p>
    <w:p w14:paraId="6C587B4E" w14:textId="77777777" w:rsidR="00504797" w:rsidRPr="0019186D" w:rsidRDefault="00504797" w:rsidP="00312988">
      <w:pPr>
        <w:ind w:right="-284"/>
        <w:jc w:val="both"/>
        <w:rPr>
          <w:rFonts w:asciiTheme="minorHAnsi" w:hAnsiTheme="minorHAnsi" w:cstheme="minorHAnsi"/>
          <w:sz w:val="18"/>
          <w:szCs w:val="22"/>
        </w:rPr>
      </w:pPr>
      <w:r w:rsidRPr="0019186D">
        <w:rPr>
          <w:rFonts w:asciiTheme="minorHAnsi" w:hAnsiTheme="minorHAnsi" w:cstheme="minorHAnsi"/>
          <w:sz w:val="18"/>
          <w:szCs w:val="22"/>
        </w:rPr>
        <w:t>Nositel účtu:</w:t>
      </w:r>
      <w:r w:rsidRPr="0019186D">
        <w:rPr>
          <w:rFonts w:asciiTheme="minorHAnsi" w:hAnsiTheme="minorHAnsi" w:cstheme="minorHAnsi"/>
          <w:sz w:val="18"/>
          <w:szCs w:val="22"/>
        </w:rPr>
        <w:tab/>
      </w:r>
      <w:r w:rsidRPr="0019186D">
        <w:rPr>
          <w:rFonts w:asciiTheme="minorHAnsi" w:hAnsiTheme="minorHAnsi" w:cstheme="minorHAnsi"/>
          <w:sz w:val="18"/>
          <w:szCs w:val="22"/>
        </w:rPr>
        <w:tab/>
      </w:r>
      <w:r w:rsidRPr="0019186D">
        <w:rPr>
          <w:rFonts w:asciiTheme="minorHAnsi" w:hAnsiTheme="minorHAnsi" w:cstheme="minorHAnsi"/>
          <w:sz w:val="18"/>
          <w:szCs w:val="22"/>
        </w:rPr>
        <w:tab/>
      </w:r>
      <w:r w:rsidRPr="0019186D">
        <w:rPr>
          <w:rFonts w:asciiTheme="minorHAnsi" w:hAnsiTheme="minorHAnsi" w:cstheme="minorHAnsi"/>
          <w:sz w:val="18"/>
          <w:szCs w:val="22"/>
        </w:rPr>
        <w:tab/>
        <w:t>Kabinet pro standardizaci</w:t>
      </w:r>
    </w:p>
    <w:p w14:paraId="197F4ED5" w14:textId="77777777" w:rsidR="00504797" w:rsidRPr="0019186D" w:rsidRDefault="00504797" w:rsidP="00312988">
      <w:pPr>
        <w:ind w:right="-284"/>
        <w:jc w:val="both"/>
        <w:rPr>
          <w:rFonts w:asciiTheme="minorHAnsi" w:hAnsiTheme="minorHAnsi" w:cstheme="minorHAnsi"/>
          <w:sz w:val="18"/>
          <w:szCs w:val="22"/>
        </w:rPr>
      </w:pPr>
      <w:r w:rsidRPr="0019186D">
        <w:rPr>
          <w:rFonts w:asciiTheme="minorHAnsi" w:hAnsiTheme="minorHAnsi" w:cstheme="minorHAnsi"/>
          <w:sz w:val="18"/>
          <w:szCs w:val="22"/>
        </w:rPr>
        <w:t>Číslo účtu/</w:t>
      </w:r>
      <w:proofErr w:type="spellStart"/>
      <w:r w:rsidRPr="0019186D">
        <w:rPr>
          <w:rFonts w:asciiTheme="minorHAnsi" w:hAnsiTheme="minorHAnsi" w:cstheme="minorHAnsi"/>
          <w:sz w:val="18"/>
          <w:szCs w:val="22"/>
        </w:rPr>
        <w:t>Account</w:t>
      </w:r>
      <w:proofErr w:type="spellEnd"/>
      <w:r w:rsidRPr="0019186D">
        <w:rPr>
          <w:rFonts w:asciiTheme="minorHAnsi" w:hAnsiTheme="minorHAnsi" w:cstheme="minorHAnsi"/>
          <w:sz w:val="18"/>
          <w:szCs w:val="22"/>
        </w:rPr>
        <w:t xml:space="preserve"> No: </w:t>
      </w:r>
      <w:r w:rsidRPr="0019186D">
        <w:rPr>
          <w:rFonts w:asciiTheme="minorHAnsi" w:hAnsiTheme="minorHAnsi" w:cstheme="minorHAnsi"/>
          <w:sz w:val="18"/>
          <w:szCs w:val="22"/>
        </w:rPr>
        <w:tab/>
      </w:r>
      <w:r w:rsidRPr="0019186D">
        <w:rPr>
          <w:rFonts w:asciiTheme="minorHAnsi" w:hAnsiTheme="minorHAnsi" w:cstheme="minorHAnsi"/>
          <w:sz w:val="18"/>
          <w:szCs w:val="22"/>
        </w:rPr>
        <w:tab/>
      </w:r>
      <w:r w:rsidRPr="0019186D">
        <w:rPr>
          <w:rFonts w:asciiTheme="minorHAnsi" w:hAnsiTheme="minorHAnsi" w:cstheme="minorHAnsi"/>
          <w:sz w:val="18"/>
          <w:szCs w:val="22"/>
        </w:rPr>
        <w:tab/>
        <w:t>2301482858</w:t>
      </w:r>
    </w:p>
    <w:p w14:paraId="43FFFFA5" w14:textId="77777777" w:rsidR="00504797" w:rsidRPr="0019186D" w:rsidRDefault="00504797" w:rsidP="00312988">
      <w:pPr>
        <w:ind w:right="-284"/>
        <w:jc w:val="both"/>
        <w:rPr>
          <w:rFonts w:asciiTheme="minorHAnsi" w:hAnsiTheme="minorHAnsi" w:cstheme="minorHAnsi"/>
          <w:sz w:val="18"/>
          <w:szCs w:val="22"/>
        </w:rPr>
      </w:pPr>
      <w:r w:rsidRPr="0019186D">
        <w:rPr>
          <w:rFonts w:asciiTheme="minorHAnsi" w:hAnsiTheme="minorHAnsi" w:cstheme="minorHAnsi"/>
          <w:sz w:val="18"/>
          <w:szCs w:val="22"/>
        </w:rPr>
        <w:t xml:space="preserve">Kód banky/Bank Sort </w:t>
      </w:r>
      <w:proofErr w:type="spellStart"/>
      <w:r w:rsidRPr="0019186D">
        <w:rPr>
          <w:rFonts w:asciiTheme="minorHAnsi" w:hAnsiTheme="minorHAnsi" w:cstheme="minorHAnsi"/>
          <w:sz w:val="18"/>
          <w:szCs w:val="22"/>
        </w:rPr>
        <w:t>Code</w:t>
      </w:r>
      <w:proofErr w:type="spellEnd"/>
      <w:r w:rsidRPr="0019186D">
        <w:rPr>
          <w:rFonts w:asciiTheme="minorHAnsi" w:hAnsiTheme="minorHAnsi" w:cstheme="minorHAnsi"/>
          <w:sz w:val="18"/>
          <w:szCs w:val="22"/>
        </w:rPr>
        <w:t xml:space="preserve">: </w:t>
      </w:r>
      <w:r w:rsidRPr="0019186D">
        <w:rPr>
          <w:rFonts w:asciiTheme="minorHAnsi" w:hAnsiTheme="minorHAnsi" w:cstheme="minorHAnsi"/>
          <w:sz w:val="18"/>
          <w:szCs w:val="22"/>
        </w:rPr>
        <w:tab/>
      </w:r>
      <w:r w:rsidRPr="0019186D">
        <w:rPr>
          <w:rFonts w:asciiTheme="minorHAnsi" w:hAnsiTheme="minorHAnsi" w:cstheme="minorHAnsi"/>
          <w:sz w:val="18"/>
          <w:szCs w:val="22"/>
        </w:rPr>
        <w:tab/>
      </w:r>
      <w:r>
        <w:rPr>
          <w:rFonts w:asciiTheme="minorHAnsi" w:hAnsiTheme="minorHAnsi" w:cstheme="minorHAnsi"/>
          <w:sz w:val="18"/>
          <w:szCs w:val="22"/>
        </w:rPr>
        <w:tab/>
      </w:r>
      <w:r w:rsidRPr="0019186D">
        <w:rPr>
          <w:rFonts w:asciiTheme="minorHAnsi" w:hAnsiTheme="minorHAnsi" w:cstheme="minorHAnsi"/>
          <w:sz w:val="18"/>
          <w:szCs w:val="22"/>
        </w:rPr>
        <w:t>2010</w:t>
      </w:r>
    </w:p>
    <w:p w14:paraId="4EFF349B" w14:textId="77777777" w:rsidR="00504797" w:rsidRPr="0019186D" w:rsidRDefault="00504797" w:rsidP="00312988">
      <w:pPr>
        <w:ind w:right="-284"/>
        <w:jc w:val="both"/>
        <w:rPr>
          <w:rFonts w:asciiTheme="minorHAnsi" w:hAnsiTheme="minorHAnsi" w:cstheme="minorHAnsi"/>
          <w:sz w:val="18"/>
          <w:szCs w:val="22"/>
        </w:rPr>
      </w:pPr>
      <w:proofErr w:type="spellStart"/>
      <w:r w:rsidRPr="0019186D">
        <w:rPr>
          <w:rFonts w:asciiTheme="minorHAnsi" w:hAnsiTheme="minorHAnsi" w:cstheme="minorHAnsi"/>
          <w:sz w:val="18"/>
          <w:szCs w:val="22"/>
        </w:rPr>
        <w:t>Iban</w:t>
      </w:r>
      <w:proofErr w:type="spellEnd"/>
      <w:r w:rsidRPr="0019186D">
        <w:rPr>
          <w:rFonts w:asciiTheme="minorHAnsi" w:hAnsiTheme="minorHAnsi" w:cstheme="minorHAnsi"/>
          <w:sz w:val="18"/>
          <w:szCs w:val="22"/>
        </w:rPr>
        <w:t xml:space="preserve"> </w:t>
      </w:r>
      <w:proofErr w:type="spellStart"/>
      <w:r w:rsidRPr="0019186D">
        <w:rPr>
          <w:rFonts w:asciiTheme="minorHAnsi" w:hAnsiTheme="minorHAnsi" w:cstheme="minorHAnsi"/>
          <w:sz w:val="18"/>
          <w:szCs w:val="22"/>
        </w:rPr>
        <w:t>Code</w:t>
      </w:r>
      <w:proofErr w:type="spellEnd"/>
      <w:r w:rsidRPr="0019186D">
        <w:rPr>
          <w:rFonts w:asciiTheme="minorHAnsi" w:hAnsiTheme="minorHAnsi" w:cstheme="minorHAnsi"/>
          <w:sz w:val="18"/>
          <w:szCs w:val="22"/>
        </w:rPr>
        <w:t xml:space="preserve">: </w:t>
      </w:r>
      <w:r w:rsidRPr="0019186D">
        <w:rPr>
          <w:rFonts w:asciiTheme="minorHAnsi" w:hAnsiTheme="minorHAnsi" w:cstheme="minorHAnsi"/>
          <w:sz w:val="18"/>
          <w:szCs w:val="22"/>
        </w:rPr>
        <w:tab/>
      </w:r>
      <w:r w:rsidRPr="0019186D">
        <w:rPr>
          <w:rFonts w:asciiTheme="minorHAnsi" w:hAnsiTheme="minorHAnsi" w:cstheme="minorHAnsi"/>
          <w:sz w:val="18"/>
          <w:szCs w:val="22"/>
        </w:rPr>
        <w:tab/>
      </w:r>
      <w:r w:rsidRPr="0019186D">
        <w:rPr>
          <w:rFonts w:asciiTheme="minorHAnsi" w:hAnsiTheme="minorHAnsi" w:cstheme="minorHAnsi"/>
          <w:sz w:val="18"/>
          <w:szCs w:val="22"/>
        </w:rPr>
        <w:tab/>
      </w:r>
      <w:r w:rsidRPr="0019186D">
        <w:rPr>
          <w:rFonts w:asciiTheme="minorHAnsi" w:hAnsiTheme="minorHAnsi" w:cstheme="minorHAnsi"/>
          <w:sz w:val="18"/>
          <w:szCs w:val="22"/>
        </w:rPr>
        <w:tab/>
        <w:t>CZ8920100000002301482858</w:t>
      </w:r>
    </w:p>
    <w:p w14:paraId="2F920C14" w14:textId="77777777" w:rsidR="00504797" w:rsidRPr="0019186D" w:rsidRDefault="00504797" w:rsidP="00312988">
      <w:pPr>
        <w:ind w:right="-284"/>
        <w:jc w:val="both"/>
        <w:rPr>
          <w:rFonts w:asciiTheme="minorHAnsi" w:hAnsiTheme="minorHAnsi" w:cstheme="minorHAnsi"/>
          <w:sz w:val="18"/>
          <w:szCs w:val="22"/>
        </w:rPr>
      </w:pPr>
      <w:proofErr w:type="spellStart"/>
      <w:r w:rsidRPr="0019186D">
        <w:rPr>
          <w:rFonts w:asciiTheme="minorHAnsi" w:hAnsiTheme="minorHAnsi" w:cstheme="minorHAnsi"/>
          <w:sz w:val="18"/>
          <w:szCs w:val="22"/>
        </w:rPr>
        <w:t>Swift</w:t>
      </w:r>
      <w:proofErr w:type="spellEnd"/>
      <w:r w:rsidRPr="0019186D">
        <w:rPr>
          <w:rFonts w:asciiTheme="minorHAnsi" w:hAnsiTheme="minorHAnsi" w:cstheme="minorHAnsi"/>
          <w:sz w:val="18"/>
          <w:szCs w:val="22"/>
        </w:rPr>
        <w:t xml:space="preserve"> </w:t>
      </w:r>
      <w:proofErr w:type="spellStart"/>
      <w:r w:rsidRPr="0019186D">
        <w:rPr>
          <w:rFonts w:asciiTheme="minorHAnsi" w:hAnsiTheme="minorHAnsi" w:cstheme="minorHAnsi"/>
          <w:sz w:val="18"/>
          <w:szCs w:val="22"/>
        </w:rPr>
        <w:t>code</w:t>
      </w:r>
      <w:proofErr w:type="spellEnd"/>
      <w:r w:rsidRPr="0019186D">
        <w:rPr>
          <w:rFonts w:asciiTheme="minorHAnsi" w:hAnsiTheme="minorHAnsi" w:cstheme="minorHAnsi"/>
          <w:sz w:val="18"/>
          <w:szCs w:val="22"/>
        </w:rPr>
        <w:t xml:space="preserve"> /BIC: </w:t>
      </w:r>
      <w:r w:rsidRPr="0019186D">
        <w:rPr>
          <w:rFonts w:asciiTheme="minorHAnsi" w:hAnsiTheme="minorHAnsi" w:cstheme="minorHAnsi"/>
          <w:sz w:val="18"/>
          <w:szCs w:val="22"/>
        </w:rPr>
        <w:tab/>
      </w:r>
      <w:r w:rsidRPr="0019186D">
        <w:rPr>
          <w:rFonts w:asciiTheme="minorHAnsi" w:hAnsiTheme="minorHAnsi" w:cstheme="minorHAnsi"/>
          <w:sz w:val="18"/>
          <w:szCs w:val="22"/>
        </w:rPr>
        <w:tab/>
      </w:r>
      <w:r w:rsidRPr="0019186D">
        <w:rPr>
          <w:rFonts w:asciiTheme="minorHAnsi" w:hAnsiTheme="minorHAnsi" w:cstheme="minorHAnsi"/>
          <w:sz w:val="18"/>
          <w:szCs w:val="22"/>
        </w:rPr>
        <w:tab/>
      </w:r>
      <w:r>
        <w:rPr>
          <w:rFonts w:asciiTheme="minorHAnsi" w:hAnsiTheme="minorHAnsi" w:cstheme="minorHAnsi"/>
          <w:sz w:val="18"/>
          <w:szCs w:val="22"/>
        </w:rPr>
        <w:tab/>
      </w:r>
      <w:r w:rsidRPr="0019186D">
        <w:rPr>
          <w:rFonts w:asciiTheme="minorHAnsi" w:hAnsiTheme="minorHAnsi" w:cstheme="minorHAnsi"/>
          <w:sz w:val="18"/>
          <w:szCs w:val="22"/>
        </w:rPr>
        <w:t>FIOBCZPPXXX</w:t>
      </w:r>
    </w:p>
    <w:p w14:paraId="10E63914" w14:textId="77777777" w:rsidR="00504797" w:rsidRPr="004C097C" w:rsidRDefault="00504797" w:rsidP="00312988">
      <w:pPr>
        <w:ind w:right="-284"/>
        <w:jc w:val="both"/>
        <w:rPr>
          <w:rFonts w:asciiTheme="minorHAnsi" w:hAnsiTheme="minorHAnsi" w:cstheme="minorHAnsi"/>
          <w:sz w:val="18"/>
          <w:szCs w:val="18"/>
        </w:rPr>
      </w:pPr>
    </w:p>
    <w:p w14:paraId="6B2877A0" w14:textId="77777777" w:rsidR="00504797" w:rsidRDefault="00504797" w:rsidP="00312988">
      <w:pPr>
        <w:spacing w:after="120"/>
        <w:ind w:right="-284"/>
        <w:jc w:val="both"/>
        <w:rPr>
          <w:rFonts w:asciiTheme="minorHAnsi" w:hAnsiTheme="minorHAnsi" w:cstheme="minorHAnsi"/>
          <w:sz w:val="22"/>
          <w:szCs w:val="22"/>
        </w:rPr>
      </w:pPr>
      <w:r w:rsidRPr="00850C4D">
        <w:rPr>
          <w:rFonts w:asciiTheme="minorHAnsi" w:hAnsiTheme="minorHAnsi" w:cstheme="minorHAnsi"/>
          <w:b/>
          <w:sz w:val="22"/>
          <w:szCs w:val="22"/>
        </w:rPr>
        <w:t>Datum:</w:t>
      </w:r>
      <w:r w:rsidRPr="00850C4D">
        <w:rPr>
          <w:rFonts w:asciiTheme="minorHAnsi" w:hAnsiTheme="minorHAnsi" w:cstheme="minorHAnsi"/>
          <w:sz w:val="22"/>
          <w:szCs w:val="22"/>
        </w:rPr>
        <w:t xml:space="preserve">  </w:t>
      </w:r>
      <w:r w:rsidRPr="00850C4D">
        <w:rPr>
          <w:rFonts w:asciiTheme="minorHAnsi" w:hAnsiTheme="minorHAnsi" w:cstheme="minorHAnsi"/>
          <w:sz w:val="22"/>
          <w:szCs w:val="22"/>
        </w:rPr>
        <w:tab/>
      </w:r>
      <w:r w:rsidRPr="00850C4D">
        <w:rPr>
          <w:rFonts w:asciiTheme="minorHAnsi" w:hAnsiTheme="minorHAnsi" w:cstheme="minorHAnsi"/>
          <w:sz w:val="22"/>
          <w:szCs w:val="22"/>
        </w:rPr>
        <w:tab/>
      </w:r>
      <w:r w:rsidRPr="00850C4D">
        <w:rPr>
          <w:rFonts w:asciiTheme="minorHAnsi" w:hAnsiTheme="minorHAnsi" w:cstheme="minorHAnsi"/>
          <w:sz w:val="22"/>
          <w:szCs w:val="22"/>
        </w:rPr>
        <w:tab/>
      </w:r>
      <w:r w:rsidRPr="00850C4D">
        <w:rPr>
          <w:rFonts w:asciiTheme="minorHAnsi" w:hAnsiTheme="minorHAnsi" w:cstheme="minorHAnsi"/>
          <w:sz w:val="22"/>
          <w:szCs w:val="22"/>
        </w:rPr>
        <w:tab/>
      </w:r>
      <w:r>
        <w:rPr>
          <w:rFonts w:asciiTheme="minorHAnsi" w:hAnsiTheme="minorHAnsi" w:cstheme="minorHAnsi"/>
          <w:sz w:val="22"/>
          <w:szCs w:val="22"/>
        </w:rPr>
        <w:t>2024-02-01</w:t>
      </w:r>
    </w:p>
    <w:p w14:paraId="0A821A48" w14:textId="77777777" w:rsidR="00504797" w:rsidRPr="004C097C" w:rsidRDefault="00504797" w:rsidP="00312988">
      <w:pPr>
        <w:spacing w:after="120"/>
        <w:ind w:right="-284"/>
        <w:jc w:val="both"/>
        <w:rPr>
          <w:rFonts w:asciiTheme="minorHAnsi" w:hAnsiTheme="minorHAnsi" w:cstheme="minorHAnsi"/>
          <w:sz w:val="10"/>
          <w:szCs w:val="10"/>
        </w:rPr>
      </w:pPr>
    </w:p>
    <w:p w14:paraId="3C36F806" w14:textId="76E902D3" w:rsidR="00504797" w:rsidRPr="00850C4D" w:rsidRDefault="00504797" w:rsidP="00312988">
      <w:pPr>
        <w:spacing w:after="120"/>
        <w:ind w:left="1416" w:right="-284" w:firstLine="708"/>
        <w:jc w:val="both"/>
        <w:rPr>
          <w:rFonts w:asciiTheme="minorHAnsi" w:hAnsiTheme="minorHAnsi" w:cstheme="minorHAnsi"/>
          <w:noProof/>
          <w:sz w:val="22"/>
          <w:szCs w:val="22"/>
        </w:rPr>
      </w:pPr>
    </w:p>
    <w:p w14:paraId="7B0D634E" w14:textId="00A94E8B" w:rsidR="006014BC" w:rsidRPr="00CD00E0" w:rsidRDefault="00504797" w:rsidP="00312988">
      <w:pPr>
        <w:ind w:right="-284"/>
      </w:pPr>
      <w:r w:rsidRPr="00850C4D">
        <w:rPr>
          <w:rFonts w:asciiTheme="minorHAnsi" w:hAnsiTheme="minorHAnsi" w:cstheme="minorHAnsi"/>
          <w:sz w:val="22"/>
          <w:szCs w:val="22"/>
        </w:rPr>
        <w:t xml:space="preserve">Za předkladatele: </w:t>
      </w:r>
      <w:r w:rsidRPr="00850C4D">
        <w:rPr>
          <w:rFonts w:asciiTheme="minorHAnsi" w:hAnsiTheme="minorHAnsi" w:cstheme="minorHAnsi"/>
          <w:sz w:val="22"/>
          <w:szCs w:val="22"/>
        </w:rPr>
        <w:tab/>
        <w:t>Ing. Libor Dupal, ředitel společnosti</w:t>
      </w:r>
      <w:r w:rsidR="00876BC3">
        <w:rPr>
          <w:rFonts w:asciiTheme="minorHAnsi" w:hAnsiTheme="minorHAnsi" w:cstheme="minorHAnsi"/>
          <w:sz w:val="22"/>
          <w:szCs w:val="22"/>
        </w:rPr>
        <w:t>, v.r.</w:t>
      </w:r>
    </w:p>
    <w:p w14:paraId="7AC4A003" w14:textId="77777777" w:rsidR="006014BC" w:rsidRPr="00CD00E0" w:rsidRDefault="006014BC" w:rsidP="00312988">
      <w:pPr>
        <w:ind w:right="-284"/>
      </w:pPr>
    </w:p>
    <w:p w14:paraId="5D660C5E" w14:textId="77777777" w:rsidR="006014BC" w:rsidRPr="00CD00E0" w:rsidRDefault="006014BC" w:rsidP="00312988">
      <w:pPr>
        <w:ind w:right="-284"/>
      </w:pPr>
    </w:p>
    <w:p w14:paraId="1523070F" w14:textId="77777777" w:rsidR="006014BC" w:rsidRPr="00CD00E0" w:rsidRDefault="006014BC" w:rsidP="00312988">
      <w:pPr>
        <w:ind w:right="-284"/>
      </w:pPr>
    </w:p>
    <w:p w14:paraId="53DFAE29" w14:textId="77777777" w:rsidR="006014BC" w:rsidRPr="00CD00E0" w:rsidRDefault="006014BC" w:rsidP="00312988">
      <w:pPr>
        <w:ind w:right="-284"/>
      </w:pPr>
    </w:p>
    <w:p w14:paraId="118B70F9" w14:textId="77777777" w:rsidR="006014BC" w:rsidRPr="00CD00E0" w:rsidRDefault="006014BC" w:rsidP="00312988">
      <w:pPr>
        <w:ind w:right="-284"/>
      </w:pPr>
    </w:p>
    <w:p w14:paraId="52080D53" w14:textId="77777777" w:rsidR="006014BC" w:rsidRPr="00CD00E0" w:rsidRDefault="006014BC" w:rsidP="00312988">
      <w:pPr>
        <w:ind w:right="-284"/>
      </w:pPr>
    </w:p>
    <w:p w14:paraId="2BEF2805" w14:textId="77777777" w:rsidR="006014BC" w:rsidRPr="00CD00E0" w:rsidRDefault="006014BC" w:rsidP="00312988">
      <w:pPr>
        <w:ind w:right="-284"/>
      </w:pPr>
    </w:p>
    <w:p w14:paraId="7004B024" w14:textId="77777777" w:rsidR="009328E2" w:rsidRDefault="009328E2" w:rsidP="00312988">
      <w:pPr>
        <w:spacing w:after="200" w:line="276" w:lineRule="auto"/>
        <w:ind w:right="-284"/>
        <w:rPr>
          <w:rFonts w:asciiTheme="minorHAnsi" w:hAnsiTheme="minorHAnsi" w:cstheme="minorHAnsi"/>
          <w:b/>
          <w:bCs/>
          <w:sz w:val="22"/>
          <w:szCs w:val="22"/>
        </w:rPr>
      </w:pPr>
      <w:r>
        <w:rPr>
          <w:rFonts w:asciiTheme="minorHAnsi" w:hAnsiTheme="minorHAnsi" w:cstheme="minorHAnsi"/>
          <w:b/>
          <w:bCs/>
          <w:sz w:val="22"/>
          <w:szCs w:val="22"/>
        </w:rPr>
        <w:br w:type="page"/>
      </w:r>
    </w:p>
    <w:p w14:paraId="0B7ABF73" w14:textId="7C309D04" w:rsidR="00504797" w:rsidRPr="002653F5" w:rsidRDefault="00504797" w:rsidP="00312988">
      <w:pPr>
        <w:spacing w:after="120"/>
        <w:ind w:right="-284"/>
        <w:rPr>
          <w:rFonts w:asciiTheme="minorHAnsi" w:hAnsiTheme="minorHAnsi" w:cstheme="minorHAnsi"/>
          <w:b/>
          <w:bCs/>
          <w:sz w:val="22"/>
          <w:szCs w:val="22"/>
        </w:rPr>
      </w:pPr>
      <w:r w:rsidRPr="002653F5">
        <w:rPr>
          <w:rFonts w:asciiTheme="minorHAnsi" w:hAnsiTheme="minorHAnsi" w:cstheme="minorHAnsi"/>
          <w:b/>
          <w:bCs/>
          <w:sz w:val="22"/>
          <w:szCs w:val="22"/>
        </w:rPr>
        <w:lastRenderedPageBreak/>
        <w:t xml:space="preserve">Příloha </w:t>
      </w:r>
      <w:r>
        <w:rPr>
          <w:rFonts w:asciiTheme="minorHAnsi" w:hAnsiTheme="minorHAnsi" w:cstheme="minorHAnsi"/>
          <w:b/>
          <w:bCs/>
          <w:sz w:val="22"/>
          <w:szCs w:val="22"/>
        </w:rPr>
        <w:t>2</w:t>
      </w:r>
    </w:p>
    <w:p w14:paraId="7F0F55EC" w14:textId="7C582A40" w:rsidR="00504797" w:rsidRDefault="00504797" w:rsidP="00312988">
      <w:pPr>
        <w:spacing w:after="120"/>
        <w:ind w:right="-284"/>
        <w:rPr>
          <w:rFonts w:asciiTheme="minorHAnsi" w:hAnsiTheme="minorHAnsi" w:cstheme="minorHAnsi"/>
          <w:sz w:val="22"/>
          <w:szCs w:val="22"/>
        </w:rPr>
      </w:pPr>
      <w:r>
        <w:rPr>
          <w:rFonts w:asciiTheme="minorHAnsi" w:hAnsiTheme="minorHAnsi" w:cstheme="minorHAnsi"/>
          <w:sz w:val="22"/>
          <w:szCs w:val="22"/>
        </w:rPr>
        <w:t>Roz</w:t>
      </w:r>
      <w:r w:rsidRPr="002653F5">
        <w:rPr>
          <w:rFonts w:asciiTheme="minorHAnsi" w:hAnsiTheme="minorHAnsi" w:cstheme="minorHAnsi"/>
          <w:sz w:val="22"/>
          <w:szCs w:val="22"/>
        </w:rPr>
        <w:t>poč</w:t>
      </w:r>
      <w:r>
        <w:rPr>
          <w:rFonts w:asciiTheme="minorHAnsi" w:hAnsiTheme="minorHAnsi" w:cstheme="minorHAnsi"/>
          <w:sz w:val="22"/>
          <w:szCs w:val="22"/>
        </w:rPr>
        <w:t xml:space="preserve">et </w:t>
      </w:r>
      <w:r w:rsidRPr="002653F5">
        <w:rPr>
          <w:rFonts w:asciiTheme="minorHAnsi" w:hAnsiTheme="minorHAnsi" w:cstheme="minorHAnsi"/>
          <w:sz w:val="22"/>
          <w:szCs w:val="22"/>
        </w:rPr>
        <w:t>řešení úkolu – náklady</w:t>
      </w:r>
    </w:p>
    <w:tbl>
      <w:tblPr>
        <w:tblW w:w="9356" w:type="dxa"/>
        <w:tblInd w:w="-10" w:type="dxa"/>
        <w:tblCellMar>
          <w:left w:w="70" w:type="dxa"/>
          <w:right w:w="70" w:type="dxa"/>
        </w:tblCellMar>
        <w:tblLook w:val="04A0" w:firstRow="1" w:lastRow="0" w:firstColumn="1" w:lastColumn="0" w:noHBand="0" w:noVBand="1"/>
      </w:tblPr>
      <w:tblGrid>
        <w:gridCol w:w="5440"/>
        <w:gridCol w:w="1060"/>
        <w:gridCol w:w="1155"/>
        <w:gridCol w:w="1701"/>
      </w:tblGrid>
      <w:tr w:rsidR="00504797" w:rsidRPr="00475A4D" w14:paraId="06FFF5CD" w14:textId="77777777" w:rsidTr="00312988">
        <w:trPr>
          <w:trHeight w:val="525"/>
        </w:trPr>
        <w:tc>
          <w:tcPr>
            <w:tcW w:w="5440" w:type="dxa"/>
            <w:tcBorders>
              <w:top w:val="single" w:sz="8" w:space="0" w:color="auto"/>
              <w:left w:val="single" w:sz="8" w:space="0" w:color="auto"/>
              <w:bottom w:val="single" w:sz="8" w:space="0" w:color="auto"/>
              <w:right w:val="nil"/>
            </w:tcBorders>
            <w:shd w:val="clear" w:color="000000" w:fill="F2F2F2"/>
            <w:vAlign w:val="center"/>
            <w:hideMark/>
          </w:tcPr>
          <w:p w14:paraId="0A6032F4" w14:textId="77777777" w:rsidR="00504797" w:rsidRPr="00475A4D" w:rsidRDefault="00504797" w:rsidP="00312988">
            <w:pPr>
              <w:ind w:right="127"/>
              <w:rPr>
                <w:rFonts w:ascii="Calibri" w:hAnsi="Calibri"/>
                <w:b/>
                <w:bCs/>
                <w:color w:val="000000"/>
                <w:sz w:val="22"/>
                <w:szCs w:val="22"/>
              </w:rPr>
            </w:pPr>
            <w:r w:rsidRPr="00850C4D">
              <w:rPr>
                <w:rFonts w:asciiTheme="minorHAnsi" w:hAnsiTheme="minorHAnsi" w:cstheme="minorHAnsi"/>
                <w:b/>
                <w:sz w:val="22"/>
                <w:szCs w:val="22"/>
              </w:rPr>
              <w:t>KOORDINACE ZAPOJENÍ ČESKÝCH SPOTŘEBITELŮ V ISO COPOLCO</w:t>
            </w:r>
            <w:r>
              <w:rPr>
                <w:rFonts w:asciiTheme="minorHAnsi" w:hAnsiTheme="minorHAnsi" w:cstheme="minorHAnsi"/>
                <w:b/>
                <w:sz w:val="22"/>
                <w:szCs w:val="22"/>
              </w:rPr>
              <w:t xml:space="preserve"> S PŘIHLÉDNUTÍM K EVROPSKÉ NORMALIZACI</w:t>
            </w:r>
            <w:r w:rsidRPr="00850C4D">
              <w:rPr>
                <w:rFonts w:asciiTheme="minorHAnsi" w:hAnsiTheme="minorHAnsi" w:cstheme="minorHAnsi"/>
                <w:b/>
                <w:sz w:val="22"/>
                <w:szCs w:val="22"/>
              </w:rPr>
              <w:t xml:space="preserve"> PRO ROK 202</w:t>
            </w:r>
            <w:r>
              <w:rPr>
                <w:rFonts w:asciiTheme="minorHAnsi" w:hAnsiTheme="minorHAnsi" w:cstheme="minorHAnsi"/>
                <w:b/>
                <w:sz w:val="22"/>
                <w:szCs w:val="22"/>
              </w:rPr>
              <w:t>3</w:t>
            </w:r>
            <w:r w:rsidRPr="00475A4D">
              <w:rPr>
                <w:rFonts w:ascii="Calibri" w:hAnsi="Calibri"/>
                <w:b/>
                <w:bCs/>
                <w:color w:val="000000"/>
                <w:sz w:val="22"/>
                <w:szCs w:val="22"/>
              </w:rPr>
              <w:t xml:space="preserve"> </w:t>
            </w:r>
          </w:p>
        </w:tc>
        <w:tc>
          <w:tcPr>
            <w:tcW w:w="106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78F63A1" w14:textId="77777777" w:rsidR="00504797" w:rsidRPr="00475A4D" w:rsidRDefault="00504797" w:rsidP="00312988">
            <w:pPr>
              <w:ind w:right="57"/>
              <w:jc w:val="center"/>
              <w:rPr>
                <w:rFonts w:ascii="Calibri" w:hAnsi="Calibri"/>
                <w:color w:val="000000"/>
                <w:sz w:val="20"/>
              </w:rPr>
            </w:pPr>
            <w:r w:rsidRPr="00475A4D">
              <w:rPr>
                <w:rFonts w:ascii="Calibri" w:hAnsi="Calibri"/>
                <w:color w:val="000000"/>
                <w:sz w:val="20"/>
              </w:rPr>
              <w:t xml:space="preserve">Hod. sazba, </w:t>
            </w:r>
            <w:proofErr w:type="spellStart"/>
            <w:r w:rsidRPr="00475A4D">
              <w:rPr>
                <w:rFonts w:ascii="Calibri" w:hAnsi="Calibri"/>
                <w:color w:val="000000"/>
                <w:sz w:val="20"/>
              </w:rPr>
              <w:t>jedn</w:t>
            </w:r>
            <w:proofErr w:type="spellEnd"/>
            <w:r w:rsidRPr="00475A4D">
              <w:rPr>
                <w:rFonts w:ascii="Calibri" w:hAnsi="Calibri"/>
                <w:color w:val="000000"/>
                <w:sz w:val="20"/>
              </w:rPr>
              <w:t>. Kč</w:t>
            </w:r>
          </w:p>
        </w:tc>
        <w:tc>
          <w:tcPr>
            <w:tcW w:w="1155" w:type="dxa"/>
            <w:tcBorders>
              <w:top w:val="single" w:sz="8" w:space="0" w:color="auto"/>
              <w:left w:val="nil"/>
              <w:bottom w:val="single" w:sz="8" w:space="0" w:color="auto"/>
              <w:right w:val="nil"/>
            </w:tcBorders>
            <w:shd w:val="clear" w:color="000000" w:fill="F2F2F2"/>
            <w:vAlign w:val="center"/>
            <w:hideMark/>
          </w:tcPr>
          <w:p w14:paraId="541D42D5" w14:textId="77777777" w:rsidR="00312988" w:rsidRDefault="00504797" w:rsidP="00312988">
            <w:pPr>
              <w:tabs>
                <w:tab w:val="left" w:pos="231"/>
              </w:tabs>
              <w:ind w:left="-194" w:right="-67"/>
              <w:jc w:val="center"/>
              <w:rPr>
                <w:rFonts w:ascii="Calibri" w:hAnsi="Calibri"/>
                <w:color w:val="000000"/>
                <w:sz w:val="20"/>
              </w:rPr>
            </w:pPr>
            <w:r w:rsidRPr="00475A4D">
              <w:rPr>
                <w:rFonts w:ascii="Calibri" w:hAnsi="Calibri"/>
                <w:color w:val="000000"/>
                <w:sz w:val="20"/>
              </w:rPr>
              <w:t xml:space="preserve">Počet </w:t>
            </w:r>
          </w:p>
          <w:p w14:paraId="42EDD8AD" w14:textId="70E674D7" w:rsidR="00504797" w:rsidRPr="00475A4D" w:rsidRDefault="00504797" w:rsidP="00312988">
            <w:pPr>
              <w:tabs>
                <w:tab w:val="left" w:pos="231"/>
              </w:tabs>
              <w:ind w:left="-194" w:right="-67"/>
              <w:jc w:val="center"/>
              <w:rPr>
                <w:rFonts w:ascii="Calibri" w:hAnsi="Calibri"/>
                <w:color w:val="000000"/>
                <w:sz w:val="20"/>
              </w:rPr>
            </w:pPr>
            <w:proofErr w:type="spellStart"/>
            <w:r w:rsidRPr="00475A4D">
              <w:rPr>
                <w:rFonts w:ascii="Calibri" w:hAnsi="Calibri"/>
                <w:color w:val="000000"/>
                <w:sz w:val="20"/>
              </w:rPr>
              <w:t>jedn</w:t>
            </w:r>
            <w:proofErr w:type="spellEnd"/>
            <w:r>
              <w:rPr>
                <w:rFonts w:ascii="Calibri" w:hAnsi="Calibri"/>
                <w:color w:val="000000"/>
                <w:sz w:val="20"/>
              </w:rPr>
              <w:t>.</w:t>
            </w:r>
          </w:p>
        </w:tc>
        <w:tc>
          <w:tcPr>
            <w:tcW w:w="1701"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399E3FBD" w14:textId="77777777" w:rsidR="00504797" w:rsidRPr="00475A4D" w:rsidRDefault="00504797" w:rsidP="00312988">
            <w:pPr>
              <w:ind w:right="210"/>
              <w:jc w:val="center"/>
              <w:rPr>
                <w:rFonts w:ascii="Calibri" w:hAnsi="Calibri"/>
                <w:b/>
                <w:bCs/>
                <w:color w:val="000000"/>
                <w:sz w:val="20"/>
              </w:rPr>
            </w:pPr>
            <w:r w:rsidRPr="00475A4D">
              <w:rPr>
                <w:rFonts w:ascii="Calibri" w:hAnsi="Calibri"/>
                <w:b/>
                <w:bCs/>
                <w:color w:val="000000"/>
                <w:sz w:val="20"/>
              </w:rPr>
              <w:t xml:space="preserve">Cena </w:t>
            </w:r>
            <w:r>
              <w:rPr>
                <w:rFonts w:ascii="Calibri" w:hAnsi="Calibri"/>
                <w:b/>
                <w:bCs/>
                <w:color w:val="000000"/>
                <w:sz w:val="20"/>
              </w:rPr>
              <w:t xml:space="preserve">Kč </w:t>
            </w:r>
            <w:r w:rsidRPr="00475A4D">
              <w:rPr>
                <w:rFonts w:ascii="Calibri" w:hAnsi="Calibri"/>
                <w:b/>
                <w:bCs/>
                <w:color w:val="000000"/>
                <w:sz w:val="20"/>
              </w:rPr>
              <w:t>bez DPH</w:t>
            </w:r>
          </w:p>
        </w:tc>
      </w:tr>
      <w:tr w:rsidR="00504797" w:rsidRPr="00475A4D" w14:paraId="6BC8A998" w14:textId="77777777" w:rsidTr="00312988">
        <w:trPr>
          <w:trHeight w:val="615"/>
        </w:trPr>
        <w:tc>
          <w:tcPr>
            <w:tcW w:w="5440" w:type="dxa"/>
            <w:tcBorders>
              <w:top w:val="nil"/>
              <w:left w:val="single" w:sz="8" w:space="0" w:color="auto"/>
              <w:bottom w:val="single" w:sz="4" w:space="0" w:color="auto"/>
              <w:right w:val="nil"/>
            </w:tcBorders>
            <w:shd w:val="clear" w:color="auto" w:fill="auto"/>
            <w:vAlign w:val="center"/>
            <w:hideMark/>
          </w:tcPr>
          <w:p w14:paraId="24857F88" w14:textId="77777777" w:rsidR="00504797" w:rsidRPr="00475A4D" w:rsidRDefault="00504797" w:rsidP="00312988">
            <w:pPr>
              <w:ind w:right="127"/>
              <w:rPr>
                <w:rFonts w:ascii="Calibri" w:hAnsi="Calibri"/>
                <w:color w:val="000000"/>
                <w:sz w:val="22"/>
                <w:szCs w:val="22"/>
              </w:rPr>
            </w:pPr>
            <w:r w:rsidRPr="00475A4D">
              <w:rPr>
                <w:rFonts w:ascii="Calibri" w:hAnsi="Calibri"/>
                <w:color w:val="000000"/>
                <w:sz w:val="22"/>
                <w:szCs w:val="22"/>
              </w:rPr>
              <w:t xml:space="preserve">1. </w:t>
            </w:r>
            <w:r>
              <w:rPr>
                <w:rFonts w:asciiTheme="minorHAnsi" w:hAnsiTheme="minorHAnsi" w:cstheme="minorHAnsi"/>
                <w:sz w:val="22"/>
                <w:szCs w:val="22"/>
              </w:rPr>
              <w:t>Rozvíjení f</w:t>
            </w:r>
            <w:r w:rsidRPr="005B1A84">
              <w:rPr>
                <w:rFonts w:asciiTheme="minorHAnsi" w:hAnsiTheme="minorHAnsi" w:cstheme="minorHAnsi"/>
                <w:sz w:val="22"/>
                <w:szCs w:val="22"/>
              </w:rPr>
              <w:t>unkc</w:t>
            </w:r>
            <w:r>
              <w:rPr>
                <w:rFonts w:asciiTheme="minorHAnsi" w:hAnsiTheme="minorHAnsi" w:cstheme="minorHAnsi"/>
                <w:sz w:val="22"/>
                <w:szCs w:val="22"/>
              </w:rPr>
              <w:t>e</w:t>
            </w:r>
            <w:r w:rsidRPr="005B1A84">
              <w:rPr>
                <w:rFonts w:asciiTheme="minorHAnsi" w:hAnsiTheme="minorHAnsi" w:cstheme="minorHAnsi"/>
                <w:sz w:val="22"/>
                <w:szCs w:val="22"/>
              </w:rPr>
              <w:t xml:space="preserve"> a využití existujících struktur pro koordinaci zapojení spotřebitelů v oblasti ISO COPOLCO</w:t>
            </w:r>
            <w:r>
              <w:rPr>
                <w:rFonts w:ascii="Calibri" w:hAnsi="Calibri"/>
                <w:color w:val="000000"/>
                <w:sz w:val="22"/>
                <w:szCs w:val="22"/>
              </w:rPr>
              <w:t xml:space="preserve"> (paušál)</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14:paraId="307A57E1" w14:textId="77777777" w:rsidR="00504797" w:rsidRPr="00475A4D" w:rsidRDefault="00504797" w:rsidP="00312988">
            <w:pPr>
              <w:ind w:right="57"/>
              <w:jc w:val="right"/>
              <w:rPr>
                <w:rFonts w:ascii="Calibri" w:hAnsi="Calibri"/>
                <w:color w:val="000000"/>
                <w:sz w:val="22"/>
                <w:szCs w:val="22"/>
              </w:rPr>
            </w:pPr>
            <w:r w:rsidRPr="00475A4D">
              <w:rPr>
                <w:rFonts w:ascii="Calibri" w:hAnsi="Calibri"/>
                <w:color w:val="000000"/>
                <w:sz w:val="22"/>
                <w:szCs w:val="22"/>
              </w:rPr>
              <w:t>3</w:t>
            </w:r>
            <w:r>
              <w:rPr>
                <w:rFonts w:ascii="Calibri" w:hAnsi="Calibri"/>
                <w:color w:val="000000"/>
                <w:sz w:val="22"/>
                <w:szCs w:val="22"/>
              </w:rPr>
              <w:t>0</w:t>
            </w:r>
            <w:r w:rsidRPr="00475A4D">
              <w:rPr>
                <w:rFonts w:ascii="Calibri" w:hAnsi="Calibri"/>
                <w:color w:val="000000"/>
                <w:sz w:val="22"/>
                <w:szCs w:val="22"/>
              </w:rPr>
              <w:t xml:space="preserve"> 000</w:t>
            </w:r>
          </w:p>
        </w:tc>
        <w:tc>
          <w:tcPr>
            <w:tcW w:w="1155" w:type="dxa"/>
            <w:tcBorders>
              <w:top w:val="nil"/>
              <w:left w:val="nil"/>
              <w:bottom w:val="single" w:sz="4" w:space="0" w:color="auto"/>
              <w:right w:val="nil"/>
            </w:tcBorders>
            <w:shd w:val="clear" w:color="auto" w:fill="auto"/>
            <w:vAlign w:val="center"/>
            <w:hideMark/>
          </w:tcPr>
          <w:p w14:paraId="608A138D" w14:textId="77777777" w:rsidR="00504797" w:rsidRPr="00475A4D" w:rsidRDefault="00504797" w:rsidP="00312988">
            <w:pPr>
              <w:tabs>
                <w:tab w:val="left" w:pos="515"/>
              </w:tabs>
              <w:ind w:left="-336" w:right="350"/>
              <w:jc w:val="right"/>
              <w:rPr>
                <w:rFonts w:ascii="Calibri" w:hAnsi="Calibri"/>
                <w:color w:val="000000"/>
                <w:sz w:val="22"/>
                <w:szCs w:val="22"/>
              </w:rPr>
            </w:pPr>
            <w:r w:rsidRPr="00475A4D">
              <w:rPr>
                <w:rFonts w:ascii="Calibri" w:hAnsi="Calibri"/>
                <w:color w:val="000000"/>
                <w:sz w:val="22"/>
                <w:szCs w:val="22"/>
              </w:rPr>
              <w:t>1</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14:paraId="2C1CE6A2" w14:textId="77777777" w:rsidR="00504797" w:rsidRPr="00475A4D" w:rsidRDefault="00504797" w:rsidP="00312988">
            <w:pPr>
              <w:ind w:right="210"/>
              <w:jc w:val="right"/>
              <w:rPr>
                <w:rFonts w:ascii="Calibri" w:hAnsi="Calibri"/>
                <w:color w:val="000000"/>
                <w:sz w:val="22"/>
                <w:szCs w:val="22"/>
              </w:rPr>
            </w:pPr>
            <w:r w:rsidRPr="00475A4D">
              <w:rPr>
                <w:rFonts w:ascii="Calibri" w:hAnsi="Calibri"/>
                <w:color w:val="000000"/>
                <w:sz w:val="22"/>
                <w:szCs w:val="22"/>
              </w:rPr>
              <w:t>3</w:t>
            </w:r>
            <w:r>
              <w:rPr>
                <w:rFonts w:ascii="Calibri" w:hAnsi="Calibri"/>
                <w:color w:val="000000"/>
                <w:sz w:val="22"/>
                <w:szCs w:val="22"/>
              </w:rPr>
              <w:t>0</w:t>
            </w:r>
            <w:r w:rsidRPr="00475A4D">
              <w:rPr>
                <w:rFonts w:ascii="Calibri" w:hAnsi="Calibri"/>
                <w:color w:val="000000"/>
                <w:sz w:val="22"/>
                <w:szCs w:val="22"/>
              </w:rPr>
              <w:t xml:space="preserve"> 000,00</w:t>
            </w:r>
          </w:p>
        </w:tc>
      </w:tr>
      <w:tr w:rsidR="00504797" w:rsidRPr="00120DE0" w14:paraId="7F2C85A2" w14:textId="77777777" w:rsidTr="00312988">
        <w:trPr>
          <w:trHeight w:val="630"/>
        </w:trPr>
        <w:tc>
          <w:tcPr>
            <w:tcW w:w="5440" w:type="dxa"/>
            <w:tcBorders>
              <w:top w:val="nil"/>
              <w:left w:val="single" w:sz="8" w:space="0" w:color="auto"/>
              <w:bottom w:val="single" w:sz="4" w:space="0" w:color="auto"/>
              <w:right w:val="nil"/>
            </w:tcBorders>
            <w:shd w:val="clear" w:color="auto" w:fill="auto"/>
            <w:vAlign w:val="center"/>
            <w:hideMark/>
          </w:tcPr>
          <w:p w14:paraId="0C1F16C5" w14:textId="77777777" w:rsidR="00504797" w:rsidRPr="00FB53C9" w:rsidRDefault="00504797" w:rsidP="00312988">
            <w:pPr>
              <w:ind w:right="127"/>
              <w:rPr>
                <w:rFonts w:ascii="Calibri" w:hAnsi="Calibri"/>
                <w:color w:val="000000"/>
                <w:sz w:val="22"/>
                <w:szCs w:val="22"/>
              </w:rPr>
            </w:pPr>
            <w:r w:rsidRPr="00FB53C9">
              <w:rPr>
                <w:rFonts w:ascii="Calibri" w:hAnsi="Calibri"/>
                <w:color w:val="000000"/>
                <w:sz w:val="22"/>
                <w:szCs w:val="22"/>
              </w:rPr>
              <w:t xml:space="preserve">2. a </w:t>
            </w:r>
            <w:r w:rsidRPr="00FB53C9">
              <w:rPr>
                <w:rFonts w:asciiTheme="minorHAnsi" w:hAnsiTheme="minorHAnsi" w:cstheme="minorHAnsi"/>
                <w:sz w:val="22"/>
                <w:szCs w:val="22"/>
              </w:rPr>
              <w:t>Edukace</w:t>
            </w:r>
            <w:r>
              <w:rPr>
                <w:rFonts w:asciiTheme="minorHAnsi" w:hAnsiTheme="minorHAnsi" w:cstheme="minorHAnsi"/>
                <w:sz w:val="22"/>
                <w:szCs w:val="22"/>
              </w:rPr>
              <w:t xml:space="preserve"> - </w:t>
            </w:r>
            <w:r w:rsidRPr="00DE4C17">
              <w:rPr>
                <w:rFonts w:asciiTheme="minorHAnsi" w:hAnsiTheme="minorHAnsi" w:cstheme="minorHAnsi"/>
                <w:b/>
                <w:sz w:val="22"/>
                <w:szCs w:val="22"/>
              </w:rPr>
              <w:t>Podpora porozumění technických norem</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14:paraId="1FB9426F" w14:textId="77777777" w:rsidR="00504797" w:rsidRPr="00FB53C9" w:rsidRDefault="00504797" w:rsidP="00312988">
            <w:pPr>
              <w:ind w:right="57"/>
              <w:jc w:val="right"/>
              <w:rPr>
                <w:rFonts w:ascii="Calibri" w:hAnsi="Calibri"/>
                <w:color w:val="000000"/>
                <w:sz w:val="22"/>
                <w:szCs w:val="22"/>
              </w:rPr>
            </w:pPr>
            <w:r w:rsidRPr="00FB53C9">
              <w:rPr>
                <w:rFonts w:ascii="Calibri" w:hAnsi="Calibri"/>
                <w:color w:val="000000"/>
                <w:sz w:val="22"/>
                <w:szCs w:val="22"/>
              </w:rPr>
              <w:t>500</w:t>
            </w:r>
          </w:p>
        </w:tc>
        <w:tc>
          <w:tcPr>
            <w:tcW w:w="1155" w:type="dxa"/>
            <w:tcBorders>
              <w:top w:val="nil"/>
              <w:left w:val="nil"/>
              <w:bottom w:val="single" w:sz="4" w:space="0" w:color="auto"/>
              <w:right w:val="nil"/>
            </w:tcBorders>
            <w:shd w:val="clear" w:color="auto" w:fill="auto"/>
            <w:vAlign w:val="center"/>
            <w:hideMark/>
          </w:tcPr>
          <w:p w14:paraId="21365F03" w14:textId="77777777" w:rsidR="00504797" w:rsidRPr="00FB53C9" w:rsidRDefault="00504797" w:rsidP="00312988">
            <w:pPr>
              <w:tabs>
                <w:tab w:val="left" w:pos="515"/>
              </w:tabs>
              <w:ind w:left="-336" w:right="350"/>
              <w:jc w:val="right"/>
              <w:rPr>
                <w:rFonts w:ascii="Calibri" w:hAnsi="Calibri"/>
                <w:color w:val="000000"/>
                <w:sz w:val="22"/>
                <w:szCs w:val="22"/>
              </w:rPr>
            </w:pPr>
            <w:r>
              <w:rPr>
                <w:rFonts w:ascii="Calibri" w:hAnsi="Calibri"/>
                <w:color w:val="000000"/>
                <w:sz w:val="22"/>
                <w:szCs w:val="22"/>
              </w:rPr>
              <w:t>7</w:t>
            </w:r>
            <w:r w:rsidRPr="00FB53C9">
              <w:rPr>
                <w:rFonts w:ascii="Calibri" w:hAnsi="Calibri"/>
                <w:color w:val="000000"/>
                <w:sz w:val="22"/>
                <w:szCs w:val="22"/>
              </w:rPr>
              <w:t>0</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14:paraId="3DE7C2E4" w14:textId="77777777" w:rsidR="00504797" w:rsidRPr="00FB53C9" w:rsidRDefault="00504797" w:rsidP="00312988">
            <w:pPr>
              <w:ind w:right="210"/>
              <w:jc w:val="right"/>
              <w:rPr>
                <w:rFonts w:ascii="Calibri" w:hAnsi="Calibri"/>
                <w:color w:val="000000"/>
                <w:sz w:val="22"/>
                <w:szCs w:val="22"/>
              </w:rPr>
            </w:pPr>
            <w:r>
              <w:rPr>
                <w:rFonts w:ascii="Calibri" w:hAnsi="Calibri"/>
                <w:color w:val="000000"/>
                <w:sz w:val="22"/>
                <w:szCs w:val="22"/>
              </w:rPr>
              <w:t>3</w:t>
            </w:r>
            <w:r w:rsidRPr="00FB53C9">
              <w:rPr>
                <w:rFonts w:ascii="Calibri" w:hAnsi="Calibri"/>
                <w:color w:val="000000"/>
                <w:sz w:val="22"/>
                <w:szCs w:val="22"/>
              </w:rPr>
              <w:t>5 000,00</w:t>
            </w:r>
          </w:p>
        </w:tc>
      </w:tr>
      <w:tr w:rsidR="00504797" w:rsidRPr="00120DE0" w14:paraId="1A452B8F" w14:textId="77777777" w:rsidTr="00312988">
        <w:trPr>
          <w:trHeight w:val="600"/>
        </w:trPr>
        <w:tc>
          <w:tcPr>
            <w:tcW w:w="5440" w:type="dxa"/>
            <w:tcBorders>
              <w:top w:val="nil"/>
              <w:left w:val="single" w:sz="8" w:space="0" w:color="auto"/>
              <w:bottom w:val="single" w:sz="4" w:space="0" w:color="auto"/>
              <w:right w:val="nil"/>
            </w:tcBorders>
            <w:shd w:val="clear" w:color="auto" w:fill="auto"/>
            <w:vAlign w:val="center"/>
            <w:hideMark/>
          </w:tcPr>
          <w:p w14:paraId="6A0F8BC3" w14:textId="77777777" w:rsidR="00504797" w:rsidRPr="00FB53C9" w:rsidRDefault="00504797" w:rsidP="00312988">
            <w:pPr>
              <w:ind w:right="127"/>
              <w:rPr>
                <w:rFonts w:ascii="Calibri" w:hAnsi="Calibri"/>
                <w:color w:val="000000"/>
                <w:sz w:val="22"/>
                <w:szCs w:val="22"/>
              </w:rPr>
            </w:pPr>
            <w:r w:rsidRPr="00FB53C9">
              <w:rPr>
                <w:rFonts w:ascii="Calibri" w:hAnsi="Calibri"/>
                <w:color w:val="000000"/>
                <w:sz w:val="22"/>
                <w:szCs w:val="22"/>
              </w:rPr>
              <w:t xml:space="preserve">2. b </w:t>
            </w:r>
            <w:r w:rsidRPr="00FB53C9">
              <w:rPr>
                <w:rFonts w:asciiTheme="minorHAnsi" w:hAnsiTheme="minorHAnsi" w:cstheme="minorHAnsi"/>
                <w:sz w:val="22"/>
                <w:szCs w:val="22"/>
              </w:rPr>
              <w:t>Edukace</w:t>
            </w:r>
            <w:r>
              <w:rPr>
                <w:rFonts w:asciiTheme="minorHAnsi" w:hAnsiTheme="minorHAnsi" w:cstheme="minorHAnsi"/>
                <w:sz w:val="22"/>
                <w:szCs w:val="22"/>
              </w:rPr>
              <w:t xml:space="preserve"> - </w:t>
            </w:r>
            <w:r>
              <w:rPr>
                <w:rFonts w:asciiTheme="minorHAnsi" w:hAnsiTheme="minorHAnsi" w:cstheme="minorHAnsi"/>
                <w:b/>
                <w:sz w:val="22"/>
                <w:szCs w:val="22"/>
              </w:rPr>
              <w:t>Nařízení o o</w:t>
            </w:r>
            <w:r w:rsidRPr="00824F19">
              <w:rPr>
                <w:rFonts w:asciiTheme="minorHAnsi" w:hAnsiTheme="minorHAnsi" w:cstheme="minorHAnsi"/>
                <w:b/>
                <w:sz w:val="22"/>
                <w:szCs w:val="22"/>
              </w:rPr>
              <w:t>becn</w:t>
            </w:r>
            <w:r>
              <w:rPr>
                <w:rFonts w:asciiTheme="minorHAnsi" w:hAnsiTheme="minorHAnsi" w:cstheme="minorHAnsi"/>
                <w:b/>
                <w:sz w:val="22"/>
                <w:szCs w:val="22"/>
              </w:rPr>
              <w:t>é</w:t>
            </w:r>
            <w:r w:rsidRPr="00824F19">
              <w:rPr>
                <w:rFonts w:asciiTheme="minorHAnsi" w:hAnsiTheme="minorHAnsi" w:cstheme="minorHAnsi"/>
                <w:b/>
                <w:sz w:val="22"/>
                <w:szCs w:val="22"/>
              </w:rPr>
              <w:t xml:space="preserve"> bezpečnost</w:t>
            </w:r>
            <w:r>
              <w:rPr>
                <w:rFonts w:asciiTheme="minorHAnsi" w:hAnsiTheme="minorHAnsi" w:cstheme="minorHAnsi"/>
                <w:b/>
                <w:sz w:val="22"/>
                <w:szCs w:val="22"/>
              </w:rPr>
              <w:t>i</w:t>
            </w:r>
            <w:r w:rsidRPr="00824F19">
              <w:rPr>
                <w:rFonts w:asciiTheme="minorHAnsi" w:hAnsiTheme="minorHAnsi" w:cstheme="minorHAnsi"/>
                <w:b/>
                <w:sz w:val="22"/>
                <w:szCs w:val="22"/>
              </w:rPr>
              <w:t xml:space="preserve"> výrobků </w:t>
            </w:r>
            <w:r>
              <w:rPr>
                <w:rFonts w:asciiTheme="minorHAnsi" w:hAnsiTheme="minorHAnsi" w:cstheme="minorHAnsi"/>
                <w:b/>
                <w:sz w:val="22"/>
                <w:szCs w:val="22"/>
              </w:rPr>
              <w:t>– co přináší nového</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14:paraId="7171B80A" w14:textId="77777777" w:rsidR="00504797" w:rsidRPr="00FB53C9" w:rsidRDefault="00504797" w:rsidP="00312988">
            <w:pPr>
              <w:ind w:right="57"/>
              <w:jc w:val="right"/>
              <w:rPr>
                <w:rFonts w:ascii="Calibri" w:hAnsi="Calibri"/>
                <w:color w:val="000000"/>
                <w:sz w:val="22"/>
                <w:szCs w:val="22"/>
              </w:rPr>
            </w:pPr>
            <w:r w:rsidRPr="00FB53C9">
              <w:rPr>
                <w:rFonts w:ascii="Calibri" w:hAnsi="Calibri"/>
                <w:color w:val="000000"/>
                <w:sz w:val="22"/>
                <w:szCs w:val="22"/>
              </w:rPr>
              <w:t>500</w:t>
            </w:r>
          </w:p>
        </w:tc>
        <w:tc>
          <w:tcPr>
            <w:tcW w:w="1155" w:type="dxa"/>
            <w:tcBorders>
              <w:top w:val="nil"/>
              <w:left w:val="nil"/>
              <w:bottom w:val="single" w:sz="4" w:space="0" w:color="auto"/>
              <w:right w:val="nil"/>
            </w:tcBorders>
            <w:shd w:val="clear" w:color="auto" w:fill="auto"/>
            <w:vAlign w:val="center"/>
            <w:hideMark/>
          </w:tcPr>
          <w:p w14:paraId="32AE4FAB" w14:textId="77777777" w:rsidR="00504797" w:rsidRPr="00FB53C9" w:rsidRDefault="00504797" w:rsidP="00312988">
            <w:pPr>
              <w:tabs>
                <w:tab w:val="left" w:pos="515"/>
              </w:tabs>
              <w:ind w:left="-336" w:right="350"/>
              <w:jc w:val="right"/>
              <w:rPr>
                <w:rFonts w:ascii="Calibri" w:hAnsi="Calibri"/>
                <w:color w:val="000000"/>
                <w:sz w:val="22"/>
                <w:szCs w:val="22"/>
              </w:rPr>
            </w:pPr>
            <w:r>
              <w:rPr>
                <w:rFonts w:ascii="Calibri" w:hAnsi="Calibri"/>
                <w:color w:val="000000"/>
                <w:sz w:val="22"/>
                <w:szCs w:val="22"/>
              </w:rPr>
              <w:t>8</w:t>
            </w:r>
            <w:r w:rsidRPr="00FB53C9">
              <w:rPr>
                <w:rFonts w:ascii="Calibri" w:hAnsi="Calibri"/>
                <w:color w:val="000000"/>
                <w:sz w:val="22"/>
                <w:szCs w:val="22"/>
              </w:rPr>
              <w:t>0</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14:paraId="64332CA9" w14:textId="77777777" w:rsidR="00504797" w:rsidRPr="00FB53C9" w:rsidRDefault="00504797" w:rsidP="00312988">
            <w:pPr>
              <w:ind w:right="210"/>
              <w:jc w:val="right"/>
              <w:rPr>
                <w:rFonts w:ascii="Calibri" w:hAnsi="Calibri"/>
                <w:color w:val="000000"/>
                <w:sz w:val="22"/>
                <w:szCs w:val="22"/>
              </w:rPr>
            </w:pPr>
            <w:r w:rsidRPr="00FB53C9">
              <w:rPr>
                <w:rFonts w:ascii="Calibri" w:hAnsi="Calibri"/>
                <w:color w:val="000000"/>
                <w:sz w:val="22"/>
                <w:szCs w:val="22"/>
              </w:rPr>
              <w:t>4</w:t>
            </w:r>
            <w:r>
              <w:rPr>
                <w:rFonts w:ascii="Calibri" w:hAnsi="Calibri"/>
                <w:color w:val="000000"/>
                <w:sz w:val="22"/>
                <w:szCs w:val="22"/>
              </w:rPr>
              <w:t>0</w:t>
            </w:r>
            <w:r w:rsidRPr="00FB53C9">
              <w:rPr>
                <w:rFonts w:ascii="Calibri" w:hAnsi="Calibri"/>
                <w:color w:val="000000"/>
                <w:sz w:val="22"/>
                <w:szCs w:val="22"/>
              </w:rPr>
              <w:t xml:space="preserve"> 000,00</w:t>
            </w:r>
          </w:p>
        </w:tc>
      </w:tr>
      <w:tr w:rsidR="00504797" w:rsidRPr="00120DE0" w14:paraId="00D54BA8" w14:textId="77777777" w:rsidTr="00312988">
        <w:trPr>
          <w:trHeight w:val="570"/>
        </w:trPr>
        <w:tc>
          <w:tcPr>
            <w:tcW w:w="5440" w:type="dxa"/>
            <w:tcBorders>
              <w:top w:val="nil"/>
              <w:left w:val="single" w:sz="8" w:space="0" w:color="auto"/>
              <w:bottom w:val="single" w:sz="4" w:space="0" w:color="auto"/>
              <w:right w:val="nil"/>
            </w:tcBorders>
            <w:shd w:val="clear" w:color="auto" w:fill="auto"/>
            <w:vAlign w:val="center"/>
            <w:hideMark/>
          </w:tcPr>
          <w:p w14:paraId="6AA4D075" w14:textId="77777777" w:rsidR="00504797" w:rsidRPr="00FB53C9" w:rsidRDefault="00504797" w:rsidP="00312988">
            <w:pPr>
              <w:ind w:right="127"/>
              <w:rPr>
                <w:rFonts w:ascii="Calibri" w:hAnsi="Calibri"/>
                <w:color w:val="000000"/>
                <w:sz w:val="22"/>
                <w:szCs w:val="22"/>
              </w:rPr>
            </w:pPr>
            <w:r w:rsidRPr="00FB53C9">
              <w:rPr>
                <w:rFonts w:ascii="Calibri" w:hAnsi="Calibri"/>
                <w:color w:val="000000"/>
                <w:sz w:val="22"/>
                <w:szCs w:val="22"/>
              </w:rPr>
              <w:t xml:space="preserve">3. </w:t>
            </w:r>
            <w:r w:rsidRPr="00CA054E">
              <w:rPr>
                <w:rFonts w:asciiTheme="minorHAnsi" w:hAnsiTheme="minorHAnsi" w:cstheme="minorHAnsi"/>
                <w:b/>
                <w:bCs/>
                <w:sz w:val="22"/>
                <w:szCs w:val="22"/>
              </w:rPr>
              <w:t>Zviditelnění technických norem</w:t>
            </w:r>
            <w:r w:rsidRPr="00FB53C9">
              <w:rPr>
                <w:rFonts w:asciiTheme="minorHAnsi" w:hAnsiTheme="minorHAnsi" w:cstheme="minorHAnsi"/>
                <w:sz w:val="22"/>
                <w:szCs w:val="22"/>
              </w:rPr>
              <w:t xml:space="preserve"> (a normalizace obecně) na příkladu konkrétním témat a oblastí normalizace</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14:paraId="4FDE0B98" w14:textId="77777777" w:rsidR="00504797" w:rsidRPr="00FB53C9" w:rsidRDefault="00504797" w:rsidP="00312988">
            <w:pPr>
              <w:ind w:right="57"/>
              <w:jc w:val="right"/>
              <w:rPr>
                <w:rFonts w:ascii="Calibri" w:hAnsi="Calibri"/>
                <w:color w:val="000000"/>
                <w:sz w:val="22"/>
                <w:szCs w:val="22"/>
              </w:rPr>
            </w:pPr>
            <w:r w:rsidRPr="00FB53C9">
              <w:rPr>
                <w:rFonts w:ascii="Calibri" w:hAnsi="Calibri"/>
                <w:color w:val="000000"/>
                <w:sz w:val="22"/>
                <w:szCs w:val="22"/>
              </w:rPr>
              <w:t>500</w:t>
            </w:r>
          </w:p>
        </w:tc>
        <w:tc>
          <w:tcPr>
            <w:tcW w:w="1155" w:type="dxa"/>
            <w:tcBorders>
              <w:top w:val="nil"/>
              <w:left w:val="nil"/>
              <w:bottom w:val="single" w:sz="4" w:space="0" w:color="auto"/>
              <w:right w:val="nil"/>
            </w:tcBorders>
            <w:shd w:val="clear" w:color="auto" w:fill="auto"/>
            <w:vAlign w:val="center"/>
            <w:hideMark/>
          </w:tcPr>
          <w:p w14:paraId="146FA010" w14:textId="77777777" w:rsidR="00504797" w:rsidRPr="00FB53C9" w:rsidRDefault="00504797" w:rsidP="00312988">
            <w:pPr>
              <w:tabs>
                <w:tab w:val="left" w:pos="515"/>
              </w:tabs>
              <w:ind w:left="-336" w:right="350"/>
              <w:jc w:val="right"/>
              <w:rPr>
                <w:rFonts w:ascii="Calibri" w:hAnsi="Calibri"/>
                <w:color w:val="000000"/>
                <w:sz w:val="22"/>
                <w:szCs w:val="22"/>
              </w:rPr>
            </w:pPr>
            <w:r>
              <w:rPr>
                <w:rFonts w:ascii="Calibri" w:hAnsi="Calibri"/>
                <w:color w:val="000000"/>
                <w:sz w:val="22"/>
                <w:szCs w:val="22"/>
              </w:rPr>
              <w:t>8</w:t>
            </w:r>
            <w:r w:rsidRPr="00FB53C9">
              <w:rPr>
                <w:rFonts w:ascii="Calibri" w:hAnsi="Calibri"/>
                <w:color w:val="000000"/>
                <w:sz w:val="22"/>
                <w:szCs w:val="22"/>
              </w:rPr>
              <w:t>0</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14:paraId="195C3120" w14:textId="77777777" w:rsidR="00504797" w:rsidRPr="00FB53C9" w:rsidRDefault="00504797" w:rsidP="00312988">
            <w:pPr>
              <w:ind w:right="210"/>
              <w:jc w:val="right"/>
              <w:rPr>
                <w:rFonts w:ascii="Calibri" w:hAnsi="Calibri"/>
                <w:color w:val="000000"/>
                <w:sz w:val="22"/>
                <w:szCs w:val="22"/>
              </w:rPr>
            </w:pPr>
            <w:r w:rsidRPr="00FB53C9">
              <w:rPr>
                <w:rFonts w:ascii="Calibri" w:hAnsi="Calibri"/>
                <w:color w:val="000000"/>
                <w:sz w:val="22"/>
                <w:szCs w:val="22"/>
              </w:rPr>
              <w:t>4</w:t>
            </w:r>
            <w:r>
              <w:rPr>
                <w:rFonts w:ascii="Calibri" w:hAnsi="Calibri"/>
                <w:color w:val="000000"/>
                <w:sz w:val="22"/>
                <w:szCs w:val="22"/>
              </w:rPr>
              <w:t>0</w:t>
            </w:r>
            <w:r w:rsidRPr="00FB53C9">
              <w:rPr>
                <w:rFonts w:ascii="Calibri" w:hAnsi="Calibri"/>
                <w:color w:val="000000"/>
                <w:sz w:val="22"/>
                <w:szCs w:val="22"/>
              </w:rPr>
              <w:t xml:space="preserve"> 000,00</w:t>
            </w:r>
          </w:p>
        </w:tc>
      </w:tr>
      <w:tr w:rsidR="00504797" w:rsidRPr="00475A4D" w14:paraId="07356DE5" w14:textId="77777777" w:rsidTr="00312988">
        <w:trPr>
          <w:trHeight w:val="570"/>
        </w:trPr>
        <w:tc>
          <w:tcPr>
            <w:tcW w:w="5440" w:type="dxa"/>
            <w:tcBorders>
              <w:top w:val="nil"/>
              <w:left w:val="single" w:sz="8" w:space="0" w:color="auto"/>
              <w:bottom w:val="single" w:sz="4" w:space="0" w:color="auto"/>
              <w:right w:val="nil"/>
            </w:tcBorders>
            <w:shd w:val="clear" w:color="auto" w:fill="auto"/>
            <w:vAlign w:val="center"/>
          </w:tcPr>
          <w:p w14:paraId="11C413E5" w14:textId="77777777" w:rsidR="00504797" w:rsidRPr="00DE2A8A" w:rsidRDefault="00504797" w:rsidP="00312988">
            <w:pPr>
              <w:ind w:right="127"/>
              <w:rPr>
                <w:rFonts w:ascii="Calibri" w:hAnsi="Calibri"/>
                <w:color w:val="000000"/>
                <w:sz w:val="22"/>
                <w:szCs w:val="22"/>
              </w:rPr>
            </w:pPr>
            <w:r w:rsidRPr="00DE2A8A">
              <w:rPr>
                <w:rFonts w:ascii="Calibri" w:hAnsi="Calibri"/>
                <w:color w:val="000000"/>
                <w:sz w:val="22"/>
                <w:szCs w:val="22"/>
              </w:rPr>
              <w:t>4</w:t>
            </w:r>
            <w:r>
              <w:rPr>
                <w:rFonts w:ascii="Calibri" w:hAnsi="Calibri"/>
                <w:color w:val="000000"/>
                <w:sz w:val="22"/>
                <w:szCs w:val="22"/>
              </w:rPr>
              <w:t xml:space="preserve">. </w:t>
            </w:r>
            <w:r w:rsidRPr="00CA054E">
              <w:rPr>
                <w:rFonts w:ascii="Calibri" w:hAnsi="Calibri"/>
                <w:b/>
                <w:bCs/>
                <w:color w:val="000000"/>
                <w:sz w:val="22"/>
                <w:szCs w:val="22"/>
              </w:rPr>
              <w:t>Téze pro zapojení zainteresovaných stran</w:t>
            </w:r>
          </w:p>
        </w:tc>
        <w:tc>
          <w:tcPr>
            <w:tcW w:w="1060" w:type="dxa"/>
            <w:tcBorders>
              <w:top w:val="nil"/>
              <w:left w:val="single" w:sz="8" w:space="0" w:color="auto"/>
              <w:bottom w:val="single" w:sz="4" w:space="0" w:color="auto"/>
              <w:right w:val="single" w:sz="8" w:space="0" w:color="auto"/>
            </w:tcBorders>
            <w:shd w:val="clear" w:color="auto" w:fill="auto"/>
            <w:vAlign w:val="center"/>
          </w:tcPr>
          <w:p w14:paraId="2A3C03F2" w14:textId="77777777" w:rsidR="00504797" w:rsidRPr="00DE2A8A" w:rsidRDefault="00504797" w:rsidP="00312988">
            <w:pPr>
              <w:ind w:right="57"/>
              <w:jc w:val="right"/>
              <w:rPr>
                <w:rFonts w:ascii="Calibri" w:hAnsi="Calibri"/>
                <w:color w:val="000000"/>
                <w:sz w:val="22"/>
                <w:szCs w:val="22"/>
              </w:rPr>
            </w:pPr>
            <w:r w:rsidRPr="00FB53C9">
              <w:rPr>
                <w:rFonts w:ascii="Calibri" w:hAnsi="Calibri"/>
                <w:color w:val="000000"/>
                <w:sz w:val="22"/>
                <w:szCs w:val="22"/>
              </w:rPr>
              <w:t>500</w:t>
            </w:r>
          </w:p>
        </w:tc>
        <w:tc>
          <w:tcPr>
            <w:tcW w:w="1155" w:type="dxa"/>
            <w:tcBorders>
              <w:top w:val="nil"/>
              <w:left w:val="nil"/>
              <w:bottom w:val="single" w:sz="4" w:space="0" w:color="auto"/>
              <w:right w:val="nil"/>
            </w:tcBorders>
            <w:shd w:val="clear" w:color="auto" w:fill="auto"/>
            <w:vAlign w:val="center"/>
          </w:tcPr>
          <w:p w14:paraId="5B703264" w14:textId="77777777" w:rsidR="00504797" w:rsidRPr="00DE2A8A" w:rsidRDefault="00504797" w:rsidP="00312988">
            <w:pPr>
              <w:tabs>
                <w:tab w:val="left" w:pos="515"/>
              </w:tabs>
              <w:ind w:left="-336" w:right="350"/>
              <w:jc w:val="right"/>
              <w:rPr>
                <w:rFonts w:ascii="Calibri" w:hAnsi="Calibri"/>
                <w:color w:val="000000"/>
                <w:sz w:val="22"/>
                <w:szCs w:val="22"/>
              </w:rPr>
            </w:pPr>
            <w:r>
              <w:rPr>
                <w:rFonts w:ascii="Calibri" w:hAnsi="Calibri"/>
                <w:color w:val="000000"/>
                <w:sz w:val="22"/>
                <w:szCs w:val="22"/>
              </w:rPr>
              <w:t>54</w:t>
            </w: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7A4A15DB" w14:textId="77777777" w:rsidR="00504797" w:rsidRPr="00475A4D" w:rsidRDefault="00504797" w:rsidP="00312988">
            <w:pPr>
              <w:ind w:right="210"/>
              <w:jc w:val="right"/>
              <w:rPr>
                <w:rFonts w:ascii="Calibri" w:hAnsi="Calibri"/>
                <w:color w:val="000000"/>
                <w:sz w:val="22"/>
                <w:szCs w:val="22"/>
              </w:rPr>
            </w:pPr>
            <w:r>
              <w:rPr>
                <w:rFonts w:ascii="Calibri" w:hAnsi="Calibri"/>
                <w:color w:val="000000"/>
                <w:sz w:val="22"/>
                <w:szCs w:val="22"/>
              </w:rPr>
              <w:t>27 000,00</w:t>
            </w:r>
          </w:p>
        </w:tc>
      </w:tr>
      <w:tr w:rsidR="00504797" w:rsidRPr="00120DE0" w14:paraId="21206910" w14:textId="77777777" w:rsidTr="00312988">
        <w:trPr>
          <w:trHeight w:val="630"/>
        </w:trPr>
        <w:tc>
          <w:tcPr>
            <w:tcW w:w="5440" w:type="dxa"/>
            <w:tcBorders>
              <w:top w:val="nil"/>
              <w:left w:val="single" w:sz="8" w:space="0" w:color="auto"/>
              <w:bottom w:val="single" w:sz="4" w:space="0" w:color="auto"/>
              <w:right w:val="nil"/>
            </w:tcBorders>
            <w:shd w:val="clear" w:color="auto" w:fill="auto"/>
            <w:vAlign w:val="center"/>
            <w:hideMark/>
          </w:tcPr>
          <w:p w14:paraId="27C59D12" w14:textId="77777777" w:rsidR="00504797" w:rsidRPr="00FB53C9" w:rsidRDefault="00504797" w:rsidP="00312988">
            <w:pPr>
              <w:ind w:right="127"/>
              <w:rPr>
                <w:rFonts w:ascii="Calibri" w:hAnsi="Calibri"/>
                <w:color w:val="000000"/>
                <w:sz w:val="22"/>
                <w:szCs w:val="22"/>
              </w:rPr>
            </w:pPr>
            <w:r>
              <w:rPr>
                <w:rFonts w:ascii="Calibri" w:hAnsi="Calibri"/>
                <w:color w:val="000000"/>
                <w:sz w:val="22"/>
                <w:szCs w:val="22"/>
              </w:rPr>
              <w:t>5</w:t>
            </w:r>
            <w:r w:rsidRPr="00FB53C9">
              <w:rPr>
                <w:rFonts w:ascii="Calibri" w:hAnsi="Calibri"/>
                <w:color w:val="000000"/>
                <w:sz w:val="22"/>
                <w:szCs w:val="22"/>
              </w:rPr>
              <w:t xml:space="preserve">. </w:t>
            </w:r>
            <w:r w:rsidRPr="00CA054E">
              <w:rPr>
                <w:rFonts w:asciiTheme="minorHAnsi" w:hAnsiTheme="minorHAnsi" w:cstheme="minorHAnsi"/>
                <w:b/>
                <w:bCs/>
                <w:sz w:val="22"/>
                <w:szCs w:val="22"/>
              </w:rPr>
              <w:t>Prezentace vybraných národních aktivit</w:t>
            </w:r>
            <w:r w:rsidRPr="00FB53C9">
              <w:rPr>
                <w:rFonts w:asciiTheme="minorHAnsi" w:hAnsiTheme="minorHAnsi" w:cstheme="minorHAnsi"/>
                <w:sz w:val="22"/>
                <w:szCs w:val="22"/>
              </w:rPr>
              <w:t xml:space="preserve"> na globální úrovni (pro newsletter ISO COPOLCO), s možným využitím pro jiné cesty a média (např. newsletter ANEC)</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14:paraId="63277BD3" w14:textId="77777777" w:rsidR="00504797" w:rsidRPr="00FB53C9" w:rsidRDefault="00504797" w:rsidP="00312988">
            <w:pPr>
              <w:ind w:right="57"/>
              <w:jc w:val="right"/>
              <w:rPr>
                <w:rFonts w:ascii="Calibri" w:hAnsi="Calibri"/>
                <w:color w:val="000000"/>
                <w:sz w:val="22"/>
                <w:szCs w:val="22"/>
              </w:rPr>
            </w:pPr>
            <w:r w:rsidRPr="00FB53C9">
              <w:rPr>
                <w:rFonts w:ascii="Calibri" w:hAnsi="Calibri"/>
                <w:color w:val="000000"/>
                <w:sz w:val="22"/>
                <w:szCs w:val="22"/>
              </w:rPr>
              <w:t>500</w:t>
            </w:r>
          </w:p>
        </w:tc>
        <w:tc>
          <w:tcPr>
            <w:tcW w:w="1155" w:type="dxa"/>
            <w:tcBorders>
              <w:top w:val="nil"/>
              <w:left w:val="nil"/>
              <w:bottom w:val="single" w:sz="4" w:space="0" w:color="auto"/>
              <w:right w:val="nil"/>
            </w:tcBorders>
            <w:shd w:val="clear" w:color="auto" w:fill="auto"/>
            <w:vAlign w:val="center"/>
            <w:hideMark/>
          </w:tcPr>
          <w:p w14:paraId="7CC64802" w14:textId="77777777" w:rsidR="00504797" w:rsidRDefault="00504797" w:rsidP="00312988">
            <w:pPr>
              <w:tabs>
                <w:tab w:val="left" w:pos="515"/>
              </w:tabs>
              <w:ind w:left="-336" w:right="350"/>
              <w:jc w:val="right"/>
              <w:rPr>
                <w:rFonts w:ascii="Calibri" w:hAnsi="Calibri"/>
                <w:color w:val="000000"/>
                <w:sz w:val="22"/>
                <w:szCs w:val="22"/>
              </w:rPr>
            </w:pPr>
            <w:r>
              <w:rPr>
                <w:rFonts w:ascii="Calibri" w:hAnsi="Calibri"/>
                <w:color w:val="000000"/>
                <w:sz w:val="22"/>
                <w:szCs w:val="22"/>
              </w:rPr>
              <w:t>16</w:t>
            </w:r>
          </w:p>
          <w:p w14:paraId="5DC56651" w14:textId="77777777" w:rsidR="00504797" w:rsidRPr="00FB53C9" w:rsidRDefault="00504797" w:rsidP="00312988">
            <w:pPr>
              <w:tabs>
                <w:tab w:val="left" w:pos="515"/>
              </w:tabs>
              <w:ind w:left="-336" w:right="350"/>
              <w:jc w:val="right"/>
              <w:rPr>
                <w:rFonts w:ascii="Calibri" w:hAnsi="Calibri"/>
                <w:color w:val="000000"/>
                <w:sz w:val="22"/>
                <w:szCs w:val="22"/>
              </w:rPr>
            </w:pP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14:paraId="78F31959" w14:textId="77777777" w:rsidR="00504797" w:rsidRPr="00FB53C9" w:rsidRDefault="00504797" w:rsidP="00312988">
            <w:pPr>
              <w:ind w:right="210"/>
              <w:jc w:val="right"/>
              <w:rPr>
                <w:rFonts w:ascii="Calibri" w:hAnsi="Calibri"/>
                <w:color w:val="000000"/>
                <w:sz w:val="22"/>
                <w:szCs w:val="22"/>
              </w:rPr>
            </w:pPr>
            <w:r>
              <w:rPr>
                <w:rFonts w:ascii="Calibri" w:hAnsi="Calibri"/>
                <w:color w:val="000000"/>
                <w:sz w:val="22"/>
                <w:szCs w:val="22"/>
              </w:rPr>
              <w:t>8</w:t>
            </w:r>
            <w:r w:rsidRPr="00FB53C9">
              <w:rPr>
                <w:rFonts w:ascii="Calibri" w:hAnsi="Calibri"/>
                <w:color w:val="000000"/>
                <w:sz w:val="22"/>
                <w:szCs w:val="22"/>
              </w:rPr>
              <w:t xml:space="preserve"> 000,00</w:t>
            </w:r>
          </w:p>
        </w:tc>
      </w:tr>
      <w:tr w:rsidR="00504797" w:rsidRPr="00475A4D" w14:paraId="4C18E150" w14:textId="77777777" w:rsidTr="00312988">
        <w:trPr>
          <w:trHeight w:val="315"/>
        </w:trPr>
        <w:tc>
          <w:tcPr>
            <w:tcW w:w="5440" w:type="dxa"/>
            <w:tcBorders>
              <w:top w:val="single" w:sz="8" w:space="0" w:color="auto"/>
              <w:left w:val="single" w:sz="8" w:space="0" w:color="auto"/>
              <w:bottom w:val="single" w:sz="8" w:space="0" w:color="auto"/>
              <w:right w:val="nil"/>
            </w:tcBorders>
            <w:shd w:val="clear" w:color="auto" w:fill="auto"/>
            <w:vAlign w:val="center"/>
            <w:hideMark/>
          </w:tcPr>
          <w:p w14:paraId="736B5CDB" w14:textId="77777777" w:rsidR="00504797" w:rsidRPr="00475A4D" w:rsidRDefault="00504797" w:rsidP="00312988">
            <w:pPr>
              <w:ind w:right="127"/>
              <w:rPr>
                <w:rFonts w:ascii="Calibri" w:hAnsi="Calibri"/>
                <w:b/>
                <w:bCs/>
                <w:color w:val="000000"/>
                <w:sz w:val="22"/>
                <w:szCs w:val="22"/>
              </w:rPr>
            </w:pPr>
            <w:r w:rsidRPr="00475A4D">
              <w:rPr>
                <w:rFonts w:ascii="Calibri" w:hAnsi="Calibri"/>
                <w:b/>
                <w:bCs/>
                <w:color w:val="000000"/>
                <w:sz w:val="22"/>
                <w:szCs w:val="22"/>
              </w:rPr>
              <w:t>Cena celkem</w:t>
            </w: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D639C9" w14:textId="77777777" w:rsidR="00504797" w:rsidRPr="00475A4D" w:rsidRDefault="00504797" w:rsidP="00312988">
            <w:pPr>
              <w:ind w:right="57"/>
              <w:jc w:val="right"/>
              <w:rPr>
                <w:rFonts w:ascii="Calibri" w:hAnsi="Calibri"/>
                <w:b/>
                <w:bCs/>
                <w:color w:val="000000"/>
                <w:sz w:val="22"/>
                <w:szCs w:val="22"/>
              </w:rPr>
            </w:pPr>
            <w:r w:rsidRPr="00475A4D">
              <w:rPr>
                <w:rFonts w:ascii="Calibri" w:hAnsi="Calibri"/>
                <w:b/>
                <w:bCs/>
                <w:color w:val="000000"/>
                <w:sz w:val="22"/>
                <w:szCs w:val="22"/>
              </w:rPr>
              <w:t> </w:t>
            </w:r>
          </w:p>
        </w:tc>
        <w:tc>
          <w:tcPr>
            <w:tcW w:w="1155" w:type="dxa"/>
            <w:tcBorders>
              <w:top w:val="single" w:sz="8" w:space="0" w:color="auto"/>
              <w:left w:val="nil"/>
              <w:bottom w:val="single" w:sz="8" w:space="0" w:color="auto"/>
              <w:right w:val="nil"/>
            </w:tcBorders>
            <w:shd w:val="clear" w:color="auto" w:fill="auto"/>
            <w:vAlign w:val="center"/>
            <w:hideMark/>
          </w:tcPr>
          <w:p w14:paraId="4D73DA84" w14:textId="77777777" w:rsidR="00504797" w:rsidRPr="00475A4D" w:rsidRDefault="00504797" w:rsidP="00312988">
            <w:pPr>
              <w:tabs>
                <w:tab w:val="left" w:pos="515"/>
              </w:tabs>
              <w:ind w:left="-336" w:right="350"/>
              <w:jc w:val="right"/>
              <w:rPr>
                <w:rFonts w:ascii="Calibri" w:hAnsi="Calibri"/>
                <w:b/>
                <w:bCs/>
                <w:color w:val="000000"/>
                <w:sz w:val="22"/>
                <w:szCs w:val="22"/>
              </w:rPr>
            </w:pPr>
            <w:r w:rsidRPr="00475A4D">
              <w:rPr>
                <w:rFonts w:ascii="Calibri" w:hAnsi="Calibri"/>
                <w:b/>
                <w:bCs/>
                <w:color w:val="000000"/>
                <w:sz w:val="22"/>
                <w:szCs w:val="22"/>
              </w:rPr>
              <w:t> </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92D596" w14:textId="77777777" w:rsidR="00504797" w:rsidRPr="00475A4D" w:rsidRDefault="00504797" w:rsidP="00312988">
            <w:pPr>
              <w:ind w:right="210"/>
              <w:jc w:val="right"/>
              <w:rPr>
                <w:rFonts w:ascii="Calibri" w:hAnsi="Calibri"/>
                <w:b/>
                <w:bCs/>
                <w:color w:val="000000"/>
                <w:sz w:val="22"/>
                <w:szCs w:val="22"/>
              </w:rPr>
            </w:pPr>
            <w:r w:rsidRPr="00475A4D">
              <w:rPr>
                <w:rFonts w:ascii="Calibri" w:hAnsi="Calibri"/>
                <w:b/>
                <w:bCs/>
                <w:color w:val="000000"/>
                <w:sz w:val="22"/>
                <w:szCs w:val="22"/>
              </w:rPr>
              <w:t>1</w:t>
            </w:r>
            <w:r>
              <w:rPr>
                <w:rFonts w:ascii="Calibri" w:hAnsi="Calibri"/>
                <w:b/>
                <w:bCs/>
                <w:color w:val="000000"/>
                <w:sz w:val="22"/>
                <w:szCs w:val="22"/>
              </w:rPr>
              <w:t>80</w:t>
            </w:r>
            <w:r w:rsidRPr="00475A4D">
              <w:rPr>
                <w:rFonts w:ascii="Calibri" w:hAnsi="Calibri"/>
                <w:b/>
                <w:bCs/>
                <w:color w:val="000000"/>
                <w:sz w:val="22"/>
                <w:szCs w:val="22"/>
              </w:rPr>
              <w:t xml:space="preserve"> 000,00</w:t>
            </w:r>
          </w:p>
        </w:tc>
      </w:tr>
    </w:tbl>
    <w:p w14:paraId="478D23F2" w14:textId="77777777" w:rsidR="006014BC" w:rsidRPr="00CD00E0" w:rsidRDefault="006014BC" w:rsidP="00312988">
      <w:pPr>
        <w:ind w:right="-284"/>
      </w:pPr>
    </w:p>
    <w:sectPr w:rsidR="006014BC" w:rsidRPr="00CD00E0" w:rsidSect="009328E2">
      <w:footerReference w:type="default" r:id="rId14"/>
      <w:pgSz w:w="11906" w:h="16838"/>
      <w:pgMar w:top="709" w:right="1417" w:bottom="1417" w:left="1417"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9F9EB" w14:textId="77777777" w:rsidR="00972F75" w:rsidRDefault="00972F75" w:rsidP="00BD4A47">
      <w:r>
        <w:separator/>
      </w:r>
    </w:p>
  </w:endnote>
  <w:endnote w:type="continuationSeparator" w:id="0">
    <w:p w14:paraId="6DD663AF" w14:textId="77777777" w:rsidR="00972F75" w:rsidRDefault="00972F75" w:rsidP="00BD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737708"/>
      <w:docPartObj>
        <w:docPartGallery w:val="Page Numbers (Bottom of Page)"/>
        <w:docPartUnique/>
      </w:docPartObj>
    </w:sdtPr>
    <w:sdtContent>
      <w:sdt>
        <w:sdtPr>
          <w:id w:val="-1769616900"/>
          <w:docPartObj>
            <w:docPartGallery w:val="Page Numbers (Top of Page)"/>
            <w:docPartUnique/>
          </w:docPartObj>
        </w:sdtPr>
        <w:sdtContent>
          <w:p w14:paraId="4FFBDA53" w14:textId="0B9B6215" w:rsidR="00E4411C" w:rsidRDefault="00E4411C">
            <w:pPr>
              <w:pStyle w:val="Zpat"/>
              <w:jc w:val="right"/>
            </w:pPr>
            <w:r>
              <w:t xml:space="preserve">Stránka </w:t>
            </w:r>
            <w:r>
              <w:rPr>
                <w:b/>
                <w:bCs/>
              </w:rPr>
              <w:fldChar w:fldCharType="begin"/>
            </w:r>
            <w:r>
              <w:rPr>
                <w:b/>
                <w:bCs/>
              </w:rPr>
              <w:instrText>PAGE</w:instrText>
            </w:r>
            <w:r>
              <w:rPr>
                <w:b/>
                <w:bCs/>
              </w:rPr>
              <w:fldChar w:fldCharType="separate"/>
            </w:r>
            <w:r w:rsidR="00312988">
              <w:rPr>
                <w:b/>
                <w:bCs/>
                <w:noProof/>
              </w:rPr>
              <w:t>8</w:t>
            </w:r>
            <w:r>
              <w:rPr>
                <w:b/>
                <w:bCs/>
              </w:rPr>
              <w:fldChar w:fldCharType="end"/>
            </w:r>
            <w:r>
              <w:t xml:space="preserve"> z </w:t>
            </w:r>
            <w:r>
              <w:rPr>
                <w:b/>
                <w:bCs/>
              </w:rPr>
              <w:fldChar w:fldCharType="begin"/>
            </w:r>
            <w:r>
              <w:rPr>
                <w:b/>
                <w:bCs/>
              </w:rPr>
              <w:instrText>NUMPAGES</w:instrText>
            </w:r>
            <w:r>
              <w:rPr>
                <w:b/>
                <w:bCs/>
              </w:rPr>
              <w:fldChar w:fldCharType="separate"/>
            </w:r>
            <w:r w:rsidR="00312988">
              <w:rPr>
                <w:b/>
                <w:bCs/>
                <w:noProof/>
              </w:rPr>
              <w:t>9</w:t>
            </w:r>
            <w:r>
              <w:rPr>
                <w:b/>
                <w:bCs/>
              </w:rPr>
              <w:fldChar w:fldCharType="end"/>
            </w:r>
          </w:p>
        </w:sdtContent>
      </w:sdt>
    </w:sdtContent>
  </w:sdt>
  <w:p w14:paraId="695B50B7" w14:textId="77777777" w:rsidR="00000000" w:rsidRPr="00994E9B" w:rsidRDefault="00000000" w:rsidP="00994E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A9DA2" w14:textId="77777777" w:rsidR="00972F75" w:rsidRDefault="00972F75" w:rsidP="00BD4A47">
      <w:r>
        <w:separator/>
      </w:r>
    </w:p>
  </w:footnote>
  <w:footnote w:type="continuationSeparator" w:id="0">
    <w:p w14:paraId="543EA4A9" w14:textId="77777777" w:rsidR="00972F75" w:rsidRDefault="00972F75" w:rsidP="00BD4A47">
      <w:r>
        <w:continuationSeparator/>
      </w:r>
    </w:p>
  </w:footnote>
  <w:footnote w:id="1">
    <w:p w14:paraId="400B02DE" w14:textId="77777777" w:rsidR="00504797" w:rsidRPr="0070395F" w:rsidRDefault="00504797" w:rsidP="00504797">
      <w:pPr>
        <w:pStyle w:val="Textpoznpodarou"/>
        <w:rPr>
          <w:sz w:val="16"/>
        </w:rPr>
      </w:pPr>
      <w:r w:rsidRPr="0070395F">
        <w:rPr>
          <w:rStyle w:val="Znakapoznpodarou"/>
        </w:rPr>
        <w:footnoteRef/>
      </w:r>
      <w:r w:rsidRPr="0070395F">
        <w:rPr>
          <w:sz w:val="16"/>
        </w:rPr>
        <w:t xml:space="preserve"> </w:t>
      </w:r>
      <w:r w:rsidRPr="0070395F">
        <w:rPr>
          <w:rFonts w:asciiTheme="minorHAnsi" w:hAnsiTheme="minorHAnsi" w:cstheme="minorHAnsi"/>
          <w:sz w:val="18"/>
          <w:szCs w:val="22"/>
        </w:rPr>
        <w:t>Nařízení Evropského parlamentu a Rady (EU) 2023/988 ze dne 10. května 2023 o obecné bezpečnosti výrobků, o změně nařízení Evropského parlamentu a Rady (EU) č. 1025/2012 a směrnice Evropského parlamentu a Rady (EU) 2020/1828 a o zrušení směrnice Evropského parlamentu a Rady 2001/95/ES a směrnice Rady 87/357/EHS, (GPSR),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95A12"/>
    <w:multiLevelType w:val="hybridMultilevel"/>
    <w:tmpl w:val="6BD2B1E2"/>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C6C39D9"/>
    <w:multiLevelType w:val="singleLevel"/>
    <w:tmpl w:val="4104BE3E"/>
    <w:lvl w:ilvl="0">
      <w:start w:val="1"/>
      <w:numFmt w:val="decimal"/>
      <w:lvlText w:val="%1. "/>
      <w:legacy w:legacy="1" w:legacySpace="0" w:legacyIndent="283"/>
      <w:lvlJc w:val="left"/>
      <w:pPr>
        <w:ind w:left="283" w:hanging="283"/>
      </w:pPr>
      <w:rPr>
        <w:b w:val="0"/>
        <w:i w:val="0"/>
        <w:sz w:val="24"/>
      </w:rPr>
    </w:lvl>
  </w:abstractNum>
  <w:abstractNum w:abstractNumId="2" w15:restartNumberingAfterBreak="0">
    <w:nsid w:val="0D104416"/>
    <w:multiLevelType w:val="hybridMultilevel"/>
    <w:tmpl w:val="61B4ABEC"/>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 w15:restartNumberingAfterBreak="0">
    <w:nsid w:val="13BE1AD8"/>
    <w:multiLevelType w:val="hybridMultilevel"/>
    <w:tmpl w:val="094CEEF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703C92"/>
    <w:multiLevelType w:val="hybridMultilevel"/>
    <w:tmpl w:val="E88E27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365FEB"/>
    <w:multiLevelType w:val="hybridMultilevel"/>
    <w:tmpl w:val="14DC7948"/>
    <w:lvl w:ilvl="0" w:tplc="04050001">
      <w:start w:val="1"/>
      <w:numFmt w:val="bullet"/>
      <w:lvlText w:val=""/>
      <w:lvlJc w:val="left"/>
      <w:pPr>
        <w:ind w:left="720" w:hanging="360"/>
      </w:pPr>
      <w:rPr>
        <w:rFonts w:ascii="Symbol" w:hAnsi="Symbol" w:hint="default"/>
      </w:rPr>
    </w:lvl>
    <w:lvl w:ilvl="1" w:tplc="1EC0236C">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963D66"/>
    <w:multiLevelType w:val="hybridMultilevel"/>
    <w:tmpl w:val="B3A8A9E0"/>
    <w:lvl w:ilvl="0" w:tplc="89CE45E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6885AC5"/>
    <w:multiLevelType w:val="hybridMultilevel"/>
    <w:tmpl w:val="05EA53D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147FED"/>
    <w:multiLevelType w:val="hybridMultilevel"/>
    <w:tmpl w:val="06762CA0"/>
    <w:lvl w:ilvl="0" w:tplc="F476D92C">
      <w:numFmt w:val="bullet"/>
      <w:lvlText w:val="-"/>
      <w:lvlJc w:val="left"/>
      <w:pPr>
        <w:ind w:left="360" w:hanging="360"/>
      </w:pPr>
      <w:rPr>
        <w:rFonts w:ascii="Calibri" w:eastAsia="Times New Roman"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CA6292B"/>
    <w:multiLevelType w:val="hybridMultilevel"/>
    <w:tmpl w:val="1F74310A"/>
    <w:lvl w:ilvl="0" w:tplc="04050001">
      <w:start w:val="1"/>
      <w:numFmt w:val="bullet"/>
      <w:lvlText w:val=""/>
      <w:lvlJc w:val="left"/>
      <w:pPr>
        <w:ind w:left="785" w:hanging="360"/>
      </w:pPr>
      <w:rPr>
        <w:rFonts w:ascii="Symbol" w:hAnsi="Symbol" w:hint="default"/>
      </w:rPr>
    </w:lvl>
    <w:lvl w:ilvl="1" w:tplc="FFFFFFFF">
      <w:start w:val="1"/>
      <w:numFmt w:val="bullet"/>
      <w:lvlText w:val="o"/>
      <w:lvlJc w:val="left"/>
      <w:pPr>
        <w:ind w:left="1505" w:hanging="360"/>
      </w:pPr>
      <w:rPr>
        <w:rFonts w:ascii="Courier New" w:hAnsi="Courier New" w:hint="default"/>
      </w:rPr>
    </w:lvl>
    <w:lvl w:ilvl="2" w:tplc="FFFFFFFF">
      <w:start w:val="1"/>
      <w:numFmt w:val="bullet"/>
      <w:lvlText w:val=""/>
      <w:lvlJc w:val="left"/>
      <w:pPr>
        <w:ind w:left="2225" w:hanging="360"/>
      </w:pPr>
      <w:rPr>
        <w:rFonts w:ascii="Symbol" w:hAnsi="Symbol"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0" w15:restartNumberingAfterBreak="0">
    <w:nsid w:val="35E83811"/>
    <w:multiLevelType w:val="hybridMultilevel"/>
    <w:tmpl w:val="20887F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96B0381"/>
    <w:multiLevelType w:val="hybridMultilevel"/>
    <w:tmpl w:val="D64CDC3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353309"/>
    <w:multiLevelType w:val="hybridMultilevel"/>
    <w:tmpl w:val="2482F22C"/>
    <w:lvl w:ilvl="0" w:tplc="0405000B">
      <w:start w:val="1"/>
      <w:numFmt w:val="bullet"/>
      <w:lvlText w:val=""/>
      <w:lvlJc w:val="left"/>
      <w:pPr>
        <w:ind w:left="1080" w:hanging="360"/>
      </w:pPr>
      <w:rPr>
        <w:rFonts w:ascii="Wingdings" w:hAnsi="Wingding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BDC2AC1"/>
    <w:multiLevelType w:val="hybridMultilevel"/>
    <w:tmpl w:val="D6CE3506"/>
    <w:lvl w:ilvl="0" w:tplc="0405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C04835"/>
    <w:multiLevelType w:val="hybridMultilevel"/>
    <w:tmpl w:val="9FB0C47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66B4888"/>
    <w:multiLevelType w:val="hybridMultilevel"/>
    <w:tmpl w:val="674A0784"/>
    <w:lvl w:ilvl="0" w:tplc="0405000F">
      <w:start w:val="1"/>
      <w:numFmt w:val="decimal"/>
      <w:lvlText w:val="%1."/>
      <w:lvlJc w:val="left"/>
      <w:pPr>
        <w:ind w:left="1428" w:hanging="360"/>
      </w:pPr>
      <w:rPr>
        <w:rFonts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468B16CE"/>
    <w:multiLevelType w:val="hybridMultilevel"/>
    <w:tmpl w:val="B3A8A9E0"/>
    <w:lvl w:ilvl="0" w:tplc="89CE45E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8D93D72"/>
    <w:multiLevelType w:val="singleLevel"/>
    <w:tmpl w:val="4104BE3E"/>
    <w:lvl w:ilvl="0">
      <w:start w:val="1"/>
      <w:numFmt w:val="decimal"/>
      <w:lvlText w:val="%1. "/>
      <w:legacy w:legacy="1" w:legacySpace="0" w:legacyIndent="283"/>
      <w:lvlJc w:val="left"/>
      <w:pPr>
        <w:ind w:left="283" w:hanging="283"/>
      </w:pPr>
      <w:rPr>
        <w:b w:val="0"/>
        <w:i w:val="0"/>
        <w:sz w:val="24"/>
      </w:rPr>
    </w:lvl>
  </w:abstractNum>
  <w:abstractNum w:abstractNumId="18" w15:restartNumberingAfterBreak="0">
    <w:nsid w:val="5A8F5EE1"/>
    <w:multiLevelType w:val="hybridMultilevel"/>
    <w:tmpl w:val="49525160"/>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5DCD41E7"/>
    <w:multiLevelType w:val="hybridMultilevel"/>
    <w:tmpl w:val="550E8982"/>
    <w:lvl w:ilvl="0" w:tplc="FFFFFFF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FE433AE"/>
    <w:multiLevelType w:val="hybridMultilevel"/>
    <w:tmpl w:val="D4C0573E"/>
    <w:lvl w:ilvl="0" w:tplc="0405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27959025">
    <w:abstractNumId w:val="17"/>
  </w:num>
  <w:num w:numId="2" w16cid:durableId="1865316168">
    <w:abstractNumId w:val="11"/>
  </w:num>
  <w:num w:numId="3" w16cid:durableId="754207203">
    <w:abstractNumId w:val="7"/>
  </w:num>
  <w:num w:numId="4" w16cid:durableId="1486435309">
    <w:abstractNumId w:val="12"/>
  </w:num>
  <w:num w:numId="5" w16cid:durableId="857887655">
    <w:abstractNumId w:val="6"/>
  </w:num>
  <w:num w:numId="6" w16cid:durableId="1681277164">
    <w:abstractNumId w:val="14"/>
  </w:num>
  <w:num w:numId="7" w16cid:durableId="1674919761">
    <w:abstractNumId w:val="16"/>
  </w:num>
  <w:num w:numId="8" w16cid:durableId="319162236">
    <w:abstractNumId w:val="0"/>
  </w:num>
  <w:num w:numId="9" w16cid:durableId="55249121">
    <w:abstractNumId w:val="18"/>
  </w:num>
  <w:num w:numId="10" w16cid:durableId="1429890054">
    <w:abstractNumId w:val="5"/>
  </w:num>
  <w:num w:numId="11" w16cid:durableId="2014599664">
    <w:abstractNumId w:val="4"/>
  </w:num>
  <w:num w:numId="12" w16cid:durableId="676271432">
    <w:abstractNumId w:val="19"/>
  </w:num>
  <w:num w:numId="13" w16cid:durableId="774208089">
    <w:abstractNumId w:val="13"/>
  </w:num>
  <w:num w:numId="14" w16cid:durableId="1654332532">
    <w:abstractNumId w:val="1"/>
  </w:num>
  <w:num w:numId="15" w16cid:durableId="338044115">
    <w:abstractNumId w:val="8"/>
  </w:num>
  <w:num w:numId="16" w16cid:durableId="1051198991">
    <w:abstractNumId w:val="20"/>
  </w:num>
  <w:num w:numId="17" w16cid:durableId="960038329">
    <w:abstractNumId w:val="9"/>
  </w:num>
  <w:num w:numId="18" w16cid:durableId="1636331690">
    <w:abstractNumId w:val="2"/>
  </w:num>
  <w:num w:numId="19" w16cid:durableId="682512983">
    <w:abstractNumId w:val="10"/>
  </w:num>
  <w:num w:numId="20" w16cid:durableId="13964749">
    <w:abstractNumId w:val="15"/>
  </w:num>
  <w:num w:numId="21" w16cid:durableId="152643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768"/>
    <w:rsid w:val="0008421B"/>
    <w:rsid w:val="00095A93"/>
    <w:rsid w:val="000E7EE4"/>
    <w:rsid w:val="0013126A"/>
    <w:rsid w:val="00131E4D"/>
    <w:rsid w:val="00175140"/>
    <w:rsid w:val="00214738"/>
    <w:rsid w:val="00283CC7"/>
    <w:rsid w:val="002C09A1"/>
    <w:rsid w:val="002E43BA"/>
    <w:rsid w:val="003079F1"/>
    <w:rsid w:val="00312988"/>
    <w:rsid w:val="00344F48"/>
    <w:rsid w:val="003461FD"/>
    <w:rsid w:val="00366B3F"/>
    <w:rsid w:val="00416FF5"/>
    <w:rsid w:val="004763C5"/>
    <w:rsid w:val="004874EC"/>
    <w:rsid w:val="004D5D72"/>
    <w:rsid w:val="00504797"/>
    <w:rsid w:val="00507362"/>
    <w:rsid w:val="00511CE8"/>
    <w:rsid w:val="0055625E"/>
    <w:rsid w:val="005A3F74"/>
    <w:rsid w:val="006014BC"/>
    <w:rsid w:val="006118DD"/>
    <w:rsid w:val="00621CFD"/>
    <w:rsid w:val="00634059"/>
    <w:rsid w:val="00646044"/>
    <w:rsid w:val="00691262"/>
    <w:rsid w:val="006A3AE0"/>
    <w:rsid w:val="006D65DA"/>
    <w:rsid w:val="00707845"/>
    <w:rsid w:val="0073552B"/>
    <w:rsid w:val="007556F1"/>
    <w:rsid w:val="007D296D"/>
    <w:rsid w:val="00812371"/>
    <w:rsid w:val="00857736"/>
    <w:rsid w:val="00876BC3"/>
    <w:rsid w:val="008C1F7C"/>
    <w:rsid w:val="009110DD"/>
    <w:rsid w:val="009251FD"/>
    <w:rsid w:val="009328E2"/>
    <w:rsid w:val="00972F75"/>
    <w:rsid w:val="009C3561"/>
    <w:rsid w:val="009D56CE"/>
    <w:rsid w:val="00A10E6E"/>
    <w:rsid w:val="00A13E18"/>
    <w:rsid w:val="00B4058A"/>
    <w:rsid w:val="00BB013F"/>
    <w:rsid w:val="00BC127C"/>
    <w:rsid w:val="00BD4A47"/>
    <w:rsid w:val="00C06768"/>
    <w:rsid w:val="00C837B2"/>
    <w:rsid w:val="00CC338A"/>
    <w:rsid w:val="00CD00E0"/>
    <w:rsid w:val="00D2773C"/>
    <w:rsid w:val="00D930E8"/>
    <w:rsid w:val="00DA6AF5"/>
    <w:rsid w:val="00E10BEB"/>
    <w:rsid w:val="00E13D57"/>
    <w:rsid w:val="00E348CF"/>
    <w:rsid w:val="00E4411C"/>
    <w:rsid w:val="00E7062C"/>
    <w:rsid w:val="00E826A9"/>
    <w:rsid w:val="00EC1C35"/>
    <w:rsid w:val="00F47C5E"/>
    <w:rsid w:val="00FA2D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0D385"/>
  <w15:docId w15:val="{D27B6518-3D5E-4AF9-BB07-0668E5DB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676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06768"/>
    <w:pPr>
      <w:keepNext/>
      <w:ind w:right="-108"/>
      <w:outlineLvl w:val="0"/>
    </w:pPr>
    <w:rPr>
      <w:b/>
      <w:bCs/>
      <w:spacing w:val="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06768"/>
    <w:rPr>
      <w:rFonts w:ascii="Times New Roman" w:eastAsia="Times New Roman" w:hAnsi="Times New Roman" w:cs="Times New Roman"/>
      <w:b/>
      <w:bCs/>
      <w:spacing w:val="6"/>
      <w:sz w:val="24"/>
      <w:szCs w:val="24"/>
      <w:lang w:eastAsia="cs-CZ"/>
    </w:rPr>
  </w:style>
  <w:style w:type="paragraph" w:styleId="Zhlav">
    <w:name w:val="header"/>
    <w:basedOn w:val="Normln"/>
    <w:link w:val="ZhlavChar"/>
    <w:uiPriority w:val="99"/>
    <w:rsid w:val="00C06768"/>
    <w:pPr>
      <w:tabs>
        <w:tab w:val="center" w:pos="4536"/>
        <w:tab w:val="right" w:pos="9072"/>
      </w:tabs>
    </w:pPr>
  </w:style>
  <w:style w:type="character" w:customStyle="1" w:styleId="ZhlavChar">
    <w:name w:val="Záhlaví Char"/>
    <w:basedOn w:val="Standardnpsmoodstavce"/>
    <w:link w:val="Zhlav"/>
    <w:uiPriority w:val="99"/>
    <w:rsid w:val="00C06768"/>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C06768"/>
    <w:pPr>
      <w:tabs>
        <w:tab w:val="center" w:pos="4536"/>
        <w:tab w:val="right" w:pos="9072"/>
      </w:tabs>
    </w:pPr>
  </w:style>
  <w:style w:type="character" w:customStyle="1" w:styleId="ZpatChar">
    <w:name w:val="Zápatí Char"/>
    <w:basedOn w:val="Standardnpsmoodstavce"/>
    <w:link w:val="Zpat"/>
    <w:uiPriority w:val="99"/>
    <w:rsid w:val="00C06768"/>
    <w:rPr>
      <w:rFonts w:ascii="Times New Roman" w:eastAsia="Times New Roman" w:hAnsi="Times New Roman" w:cs="Times New Roman"/>
      <w:sz w:val="24"/>
      <w:szCs w:val="24"/>
      <w:lang w:eastAsia="cs-CZ"/>
    </w:rPr>
  </w:style>
  <w:style w:type="paragraph" w:styleId="Odstavecseseznamem">
    <w:name w:val="List Paragraph"/>
    <w:aliases w:val="Conclusion de partie"/>
    <w:basedOn w:val="Normln"/>
    <w:link w:val="OdstavecseseznamemChar"/>
    <w:uiPriority w:val="34"/>
    <w:qFormat/>
    <w:rsid w:val="00C06768"/>
    <w:pPr>
      <w:ind w:left="708"/>
    </w:pPr>
  </w:style>
  <w:style w:type="paragraph" w:styleId="Bezmezer">
    <w:name w:val="No Spacing"/>
    <w:link w:val="BezmezerChar"/>
    <w:uiPriority w:val="1"/>
    <w:qFormat/>
    <w:rsid w:val="00C06768"/>
    <w:pPr>
      <w:spacing w:after="0" w:line="240" w:lineRule="auto"/>
    </w:pPr>
    <w:rPr>
      <w:rFonts w:eastAsiaTheme="minorEastAsia"/>
    </w:rPr>
  </w:style>
  <w:style w:type="character" w:customStyle="1" w:styleId="BezmezerChar">
    <w:name w:val="Bez mezer Char"/>
    <w:basedOn w:val="Standardnpsmoodstavce"/>
    <w:link w:val="Bezmezer"/>
    <w:uiPriority w:val="1"/>
    <w:rsid w:val="00C06768"/>
    <w:rPr>
      <w:rFonts w:eastAsiaTheme="minorEastAsia"/>
    </w:rPr>
  </w:style>
  <w:style w:type="paragraph" w:styleId="Textbubliny">
    <w:name w:val="Balloon Text"/>
    <w:basedOn w:val="Normln"/>
    <w:link w:val="TextbublinyChar"/>
    <w:uiPriority w:val="99"/>
    <w:semiHidden/>
    <w:unhideWhenUsed/>
    <w:rsid w:val="00C06768"/>
    <w:rPr>
      <w:rFonts w:ascii="Tahoma" w:hAnsi="Tahoma" w:cs="Tahoma"/>
      <w:sz w:val="16"/>
      <w:szCs w:val="16"/>
    </w:rPr>
  </w:style>
  <w:style w:type="character" w:customStyle="1" w:styleId="TextbublinyChar">
    <w:name w:val="Text bubliny Char"/>
    <w:basedOn w:val="Standardnpsmoodstavce"/>
    <w:link w:val="Textbubliny"/>
    <w:uiPriority w:val="99"/>
    <w:semiHidden/>
    <w:rsid w:val="00C0676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F47C5E"/>
    <w:rPr>
      <w:sz w:val="16"/>
      <w:szCs w:val="16"/>
    </w:rPr>
  </w:style>
  <w:style w:type="paragraph" w:styleId="Textkomente">
    <w:name w:val="annotation text"/>
    <w:basedOn w:val="Normln"/>
    <w:link w:val="TextkomenteChar"/>
    <w:uiPriority w:val="99"/>
    <w:semiHidden/>
    <w:unhideWhenUsed/>
    <w:rsid w:val="00F47C5E"/>
    <w:rPr>
      <w:sz w:val="20"/>
      <w:szCs w:val="20"/>
    </w:rPr>
  </w:style>
  <w:style w:type="character" w:customStyle="1" w:styleId="TextkomenteChar">
    <w:name w:val="Text komentáře Char"/>
    <w:basedOn w:val="Standardnpsmoodstavce"/>
    <w:link w:val="Textkomente"/>
    <w:uiPriority w:val="99"/>
    <w:semiHidden/>
    <w:rsid w:val="00F47C5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7C5E"/>
    <w:rPr>
      <w:b/>
      <w:bCs/>
    </w:rPr>
  </w:style>
  <w:style w:type="character" w:customStyle="1" w:styleId="PedmtkomenteChar">
    <w:name w:val="Předmět komentáře Char"/>
    <w:basedOn w:val="TextkomenteChar"/>
    <w:link w:val="Pedmtkomente"/>
    <w:uiPriority w:val="99"/>
    <w:semiHidden/>
    <w:rsid w:val="00F47C5E"/>
    <w:rPr>
      <w:rFonts w:ascii="Times New Roman" w:eastAsia="Times New Roman" w:hAnsi="Times New Roman" w:cs="Times New Roman"/>
      <w:b/>
      <w:bCs/>
      <w:sz w:val="20"/>
      <w:szCs w:val="20"/>
      <w:lang w:eastAsia="cs-CZ"/>
    </w:rPr>
  </w:style>
  <w:style w:type="paragraph" w:customStyle="1" w:styleId="Default">
    <w:name w:val="Default"/>
    <w:rsid w:val="004763C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onclusion de partie Char"/>
    <w:link w:val="Odstavecseseznamem"/>
    <w:uiPriority w:val="34"/>
    <w:locked/>
    <w:rsid w:val="00214738"/>
    <w:rPr>
      <w:rFonts w:ascii="Times New Roman" w:eastAsia="Times New Roman" w:hAnsi="Times New Roman" w:cs="Times New Roman"/>
      <w:sz w:val="24"/>
      <w:szCs w:val="24"/>
      <w:lang w:eastAsia="cs-CZ"/>
    </w:rPr>
  </w:style>
  <w:style w:type="paragraph" w:styleId="Nzev">
    <w:name w:val="Title"/>
    <w:basedOn w:val="Normln"/>
    <w:link w:val="NzevChar"/>
    <w:qFormat/>
    <w:rsid w:val="00504797"/>
    <w:pPr>
      <w:jc w:val="center"/>
    </w:pPr>
    <w:rPr>
      <w:b/>
      <w:sz w:val="36"/>
      <w:szCs w:val="20"/>
    </w:rPr>
  </w:style>
  <w:style w:type="character" w:customStyle="1" w:styleId="NzevChar">
    <w:name w:val="Název Char"/>
    <w:basedOn w:val="Standardnpsmoodstavce"/>
    <w:link w:val="Nzev"/>
    <w:rsid w:val="00504797"/>
    <w:rPr>
      <w:rFonts w:ascii="Times New Roman" w:eastAsia="Times New Roman" w:hAnsi="Times New Roman" w:cs="Times New Roman"/>
      <w:b/>
      <w:sz w:val="36"/>
      <w:szCs w:val="20"/>
      <w:lang w:eastAsia="cs-CZ"/>
    </w:rPr>
  </w:style>
  <w:style w:type="character" w:styleId="Hypertextovodkaz">
    <w:name w:val="Hyperlink"/>
    <w:basedOn w:val="Standardnpsmoodstavce"/>
    <w:uiPriority w:val="99"/>
    <w:unhideWhenUsed/>
    <w:rsid w:val="00504797"/>
    <w:rPr>
      <w:color w:val="0000FF" w:themeColor="hyperlink"/>
      <w:u w:val="single"/>
    </w:rPr>
  </w:style>
  <w:style w:type="paragraph" w:styleId="Textpoznpodarou">
    <w:name w:val="footnote text"/>
    <w:aliases w:val="Footnote,Footnote Text Char1 Char,Footnote Text Char Char Char,Footnote Text Char1 Char Char Char,Footnote Text Char Char Char Char Char,Footnote Text Char1 Char1 Char,Footnote Text Char Char Char1 Char,single space,fn,ft,Fußnote"/>
    <w:basedOn w:val="Normln"/>
    <w:link w:val="TextpoznpodarouChar"/>
    <w:uiPriority w:val="99"/>
    <w:unhideWhenUsed/>
    <w:qFormat/>
    <w:rsid w:val="00504797"/>
    <w:rPr>
      <w:sz w:val="20"/>
      <w:szCs w:val="20"/>
    </w:rPr>
  </w:style>
  <w:style w:type="character" w:customStyle="1" w:styleId="TextpoznpodarouChar">
    <w:name w:val="Text pozn. pod čarou Char"/>
    <w:aliases w:val="Footnote Char,Footnote Text Char1 Char Char,Footnote Text Char Char Char Char,Footnote Text Char1 Char Char Char Char,Footnote Text Char Char Char Char Char Char,Footnote Text Char1 Char1 Char Char,single space Char,fn Char"/>
    <w:basedOn w:val="Standardnpsmoodstavce"/>
    <w:link w:val="Textpoznpodarou"/>
    <w:uiPriority w:val="99"/>
    <w:qFormat/>
    <w:rsid w:val="00504797"/>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5047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9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op-normy.cz/iso-copolco/informace-o-procesech.ph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top-normy.cz/kabinet-pro-standardizaci/dokumenty-a-organy/pracovni-dokumenty.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op-normy.cz/users/files/kabinet/111_Zakladaci-listina-Kastan-2012.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2018-04-05T00:00:00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3E0B4D-15B4-424C-ACEF-C95F229E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2977</Words>
  <Characters>17571</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Dohoda o spolupráci ČAS a SČS – final</vt:lpstr>
    </vt:vector>
  </TitlesOfParts>
  <Company>Hewlett-Packard Company</Company>
  <LinksUpToDate>false</LinksUpToDate>
  <CharactersWithSpaces>20507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spolupráci ČAS a SČS – final</dc:title>
  <dc:creator>Vodicka</dc:creator>
  <cp:lastModifiedBy>Helena Kvasnicková</cp:lastModifiedBy>
  <cp:revision>2</cp:revision>
  <dcterms:created xsi:type="dcterms:W3CDTF">2024-06-07T07:36:00Z</dcterms:created>
  <dcterms:modified xsi:type="dcterms:W3CDTF">2024-06-07T07:36:00Z</dcterms:modified>
</cp:coreProperties>
</file>