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bookmarkStart w:id="0" w:name="_GoBack"/>
      <w:bookmarkEnd w:id="0"/>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2C959992" w14:textId="2F6BC65B" w:rsidR="00FB2677" w:rsidRPr="00231BC6" w:rsidRDefault="000B6286" w:rsidP="00FB2677">
      <w:pPr>
        <w:tabs>
          <w:tab w:val="left" w:pos="2977"/>
        </w:tabs>
        <w:spacing w:after="0" w:line="240" w:lineRule="auto"/>
        <w:rPr>
          <w:rFonts w:ascii="Tahoma" w:eastAsia="Times New Roman" w:hAnsi="Tahoma" w:cs="Tahoma"/>
          <w:b/>
          <w:sz w:val="16"/>
          <w:szCs w:val="16"/>
          <w:lang w:eastAsia="cs-CZ"/>
        </w:rPr>
      </w:pPr>
      <w:r>
        <w:rPr>
          <w:rFonts w:ascii="Tahoma" w:eastAsia="Times New Roman" w:hAnsi="Tahoma" w:cs="Tahoma"/>
          <w:b/>
          <w:sz w:val="16"/>
          <w:szCs w:val="16"/>
          <w:lang w:eastAsia="cs-CZ"/>
        </w:rPr>
        <w:t xml:space="preserve">Avenier a.s. </w:t>
      </w:r>
      <w:r w:rsidR="00FB2677" w:rsidRPr="00231BC6">
        <w:rPr>
          <w:rFonts w:ascii="Tahoma" w:eastAsia="Times New Roman" w:hAnsi="Tahoma" w:cs="Tahoma"/>
          <w:b/>
          <w:sz w:val="16"/>
          <w:szCs w:val="16"/>
          <w:lang w:eastAsia="cs-CZ"/>
        </w:rPr>
        <w:tab/>
      </w:r>
      <w:r w:rsidR="00FB2677" w:rsidRPr="00231BC6">
        <w:rPr>
          <w:rFonts w:ascii="Tahoma" w:eastAsia="Times New Roman" w:hAnsi="Tahoma" w:cs="Tahoma"/>
          <w:sz w:val="16"/>
          <w:szCs w:val="16"/>
          <w:lang w:eastAsia="cs-CZ"/>
        </w:rPr>
        <w:tab/>
      </w:r>
      <w:r w:rsidR="00FB2677" w:rsidRPr="00231BC6">
        <w:rPr>
          <w:rFonts w:ascii="Tahoma" w:eastAsia="Times New Roman" w:hAnsi="Tahoma" w:cs="Tahoma"/>
          <w:sz w:val="16"/>
          <w:szCs w:val="16"/>
          <w:lang w:eastAsia="cs-CZ"/>
        </w:rPr>
        <w:tab/>
      </w:r>
    </w:p>
    <w:p w14:paraId="023145B1" w14:textId="7D313558"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zapsaná v obchodním rejstříku vedeném</w:t>
      </w:r>
      <w:r w:rsidR="000B6286">
        <w:rPr>
          <w:rFonts w:ascii="Tahoma" w:eastAsia="Times New Roman" w:hAnsi="Tahoma" w:cs="Tahoma"/>
          <w:sz w:val="16"/>
          <w:szCs w:val="16"/>
          <w:lang w:eastAsia="cs-CZ"/>
        </w:rPr>
        <w:t xml:space="preserve"> Krajským </w:t>
      </w:r>
      <w:r w:rsidRPr="00231BC6">
        <w:rPr>
          <w:rFonts w:ascii="Tahoma" w:eastAsia="Times New Roman" w:hAnsi="Tahoma" w:cs="Tahoma"/>
          <w:sz w:val="16"/>
          <w:szCs w:val="16"/>
          <w:lang w:eastAsia="cs-CZ"/>
        </w:rPr>
        <w:t>soudem</w:t>
      </w:r>
      <w:r w:rsidR="00697838">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v</w:t>
      </w:r>
      <w:r w:rsidR="00697838">
        <w:rPr>
          <w:rFonts w:ascii="Tahoma" w:eastAsia="Times New Roman" w:hAnsi="Tahoma" w:cs="Tahoma"/>
          <w:sz w:val="16"/>
          <w:szCs w:val="16"/>
          <w:lang w:eastAsia="cs-CZ"/>
        </w:rPr>
        <w:t xml:space="preserve"> Brně, </w:t>
      </w:r>
      <w:r w:rsidRPr="00231BC6">
        <w:rPr>
          <w:rFonts w:ascii="Tahoma" w:eastAsia="Times New Roman" w:hAnsi="Tahoma" w:cs="Tahoma"/>
          <w:sz w:val="16"/>
          <w:szCs w:val="16"/>
          <w:lang w:eastAsia="cs-CZ"/>
        </w:rPr>
        <w:t>oddíl</w:t>
      </w:r>
      <w:r w:rsidR="00697838">
        <w:rPr>
          <w:rFonts w:ascii="Tahoma" w:eastAsia="Times New Roman" w:hAnsi="Tahoma" w:cs="Tahoma"/>
          <w:sz w:val="16"/>
          <w:szCs w:val="16"/>
          <w:lang w:eastAsia="cs-CZ"/>
        </w:rPr>
        <w:t xml:space="preserve"> B, </w:t>
      </w:r>
      <w:r w:rsidRPr="00231BC6">
        <w:rPr>
          <w:rFonts w:ascii="Tahoma" w:eastAsia="Times New Roman" w:hAnsi="Tahoma" w:cs="Tahoma"/>
          <w:sz w:val="16"/>
          <w:szCs w:val="16"/>
          <w:lang w:eastAsia="cs-CZ"/>
        </w:rPr>
        <w:t>vložka</w:t>
      </w:r>
      <w:r w:rsidR="00697838">
        <w:rPr>
          <w:rFonts w:ascii="Tahoma" w:eastAsia="Times New Roman" w:hAnsi="Tahoma" w:cs="Tahoma"/>
          <w:sz w:val="16"/>
          <w:szCs w:val="16"/>
          <w:lang w:eastAsia="cs-CZ"/>
        </w:rPr>
        <w:t xml:space="preserve"> 3646</w:t>
      </w:r>
      <w:r w:rsidRPr="00231BC6">
        <w:rPr>
          <w:rFonts w:ascii="Tahoma" w:eastAsia="Times New Roman" w:hAnsi="Tahoma" w:cs="Tahoma"/>
          <w:sz w:val="16"/>
          <w:szCs w:val="16"/>
          <w:lang w:eastAsia="cs-CZ"/>
        </w:rPr>
        <w:tab/>
      </w:r>
    </w:p>
    <w:p w14:paraId="374B4E00" w14:textId="4B15C98A"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se sídlem</w:t>
      </w:r>
      <w:r w:rsidR="00C20304">
        <w:rPr>
          <w:rFonts w:ascii="Tahoma" w:eastAsia="Times New Roman" w:hAnsi="Tahoma" w:cs="Tahoma"/>
          <w:sz w:val="16"/>
          <w:szCs w:val="16"/>
          <w:lang w:eastAsia="cs-CZ"/>
        </w:rPr>
        <w:t>:</w:t>
      </w:r>
      <w:r w:rsidR="00A52FC6">
        <w:rPr>
          <w:rFonts w:ascii="Tahoma" w:eastAsia="Times New Roman" w:hAnsi="Tahoma" w:cs="Tahoma"/>
          <w:sz w:val="16"/>
          <w:szCs w:val="16"/>
          <w:lang w:eastAsia="cs-CZ"/>
        </w:rPr>
        <w:tab/>
      </w:r>
      <w:r w:rsidR="003F4A22">
        <w:rPr>
          <w:rFonts w:ascii="Tahoma" w:eastAsia="Times New Roman" w:hAnsi="Tahoma" w:cs="Tahoma"/>
          <w:sz w:val="16"/>
          <w:szCs w:val="16"/>
          <w:lang w:eastAsia="cs-CZ"/>
        </w:rPr>
        <w:t xml:space="preserve">Bidláky 837/20, 639 00 Brno </w:t>
      </w:r>
    </w:p>
    <w:p w14:paraId="5EFC2068" w14:textId="4B57CC83"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45C3C">
        <w:rPr>
          <w:rFonts w:ascii="Tahoma" w:eastAsia="Times New Roman" w:hAnsi="Tahoma" w:cs="Tahoma"/>
          <w:sz w:val="16"/>
          <w:szCs w:val="16"/>
          <w:lang w:eastAsia="cs-CZ"/>
        </w:rPr>
        <w:t>O</w:t>
      </w:r>
      <w:r w:rsidRPr="00231BC6">
        <w:rPr>
          <w:rFonts w:ascii="Tahoma" w:eastAsia="Times New Roman" w:hAnsi="Tahoma" w:cs="Tahoma"/>
          <w:sz w:val="16"/>
          <w:szCs w:val="16"/>
          <w:lang w:eastAsia="cs-CZ"/>
        </w:rPr>
        <w:t xml:space="preserve">: </w:t>
      </w:r>
      <w:r w:rsidR="003F4A22">
        <w:rPr>
          <w:rFonts w:ascii="Tahoma" w:eastAsia="Times New Roman" w:hAnsi="Tahoma" w:cs="Tahoma"/>
          <w:sz w:val="16"/>
          <w:szCs w:val="16"/>
          <w:lang w:eastAsia="cs-CZ"/>
        </w:rPr>
        <w:t>26260654</w:t>
      </w:r>
      <w:r w:rsidRPr="00231BC6">
        <w:rPr>
          <w:rFonts w:ascii="Tahoma" w:eastAsia="Times New Roman" w:hAnsi="Tahoma" w:cs="Tahoma"/>
          <w:sz w:val="16"/>
          <w:szCs w:val="16"/>
          <w:lang w:eastAsia="cs-CZ"/>
        </w:rPr>
        <w:tab/>
        <w:t xml:space="preserve">DIČ: </w:t>
      </w:r>
      <w:r w:rsidR="003F4A22">
        <w:rPr>
          <w:rFonts w:ascii="Tahoma" w:eastAsia="Times New Roman" w:hAnsi="Tahoma" w:cs="Tahoma"/>
          <w:sz w:val="16"/>
          <w:szCs w:val="16"/>
          <w:lang w:eastAsia="cs-CZ"/>
        </w:rPr>
        <w:t>CZ699000899</w:t>
      </w:r>
    </w:p>
    <w:p w14:paraId="09740E6D" w14:textId="05501B3F"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zastoupená:</w:t>
      </w:r>
      <w:r w:rsidRPr="00231BC6">
        <w:rPr>
          <w:rFonts w:ascii="Tahoma" w:eastAsia="Times New Roman" w:hAnsi="Tahoma" w:cs="Tahoma"/>
          <w:sz w:val="16"/>
          <w:szCs w:val="16"/>
          <w:lang w:eastAsia="cs-CZ"/>
        </w:rPr>
        <w:tab/>
      </w:r>
      <w:r w:rsidR="00E25071">
        <w:rPr>
          <w:rFonts w:ascii="Tahoma" w:eastAsia="Times New Roman" w:hAnsi="Tahoma" w:cs="Tahoma"/>
          <w:sz w:val="16"/>
          <w:szCs w:val="16"/>
          <w:lang w:eastAsia="cs-CZ"/>
        </w:rPr>
        <w:t xml:space="preserve">Bc. Petrem Medřickým, na základě plné moci </w:t>
      </w:r>
    </w:p>
    <w:p w14:paraId="445A1A81" w14:textId="7A0D8F3F"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bankovní spojení:</w:t>
      </w:r>
      <w:r w:rsidRPr="00231BC6">
        <w:rPr>
          <w:rFonts w:ascii="Tahoma" w:eastAsia="Times New Roman" w:hAnsi="Tahoma" w:cs="Tahoma"/>
          <w:sz w:val="16"/>
          <w:szCs w:val="16"/>
          <w:lang w:eastAsia="cs-CZ"/>
        </w:rPr>
        <w:tab/>
      </w:r>
      <w:r w:rsidR="00E25071">
        <w:rPr>
          <w:rFonts w:ascii="Tahoma" w:eastAsia="Times New Roman" w:hAnsi="Tahoma" w:cs="Tahoma"/>
          <w:sz w:val="16"/>
          <w:szCs w:val="16"/>
          <w:lang w:eastAsia="cs-CZ"/>
        </w:rPr>
        <w:t xml:space="preserve">Raiffeisenbank a.s. </w:t>
      </w:r>
    </w:p>
    <w:p w14:paraId="4FB79576" w14:textId="1E133BB2"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008537F8">
        <w:rPr>
          <w:rFonts w:ascii="Tahoma" w:eastAsia="Times New Roman" w:hAnsi="Tahoma" w:cs="Tahoma"/>
          <w:sz w:val="16"/>
          <w:szCs w:val="16"/>
          <w:lang w:eastAsia="cs-CZ"/>
        </w:rPr>
        <w:tab/>
        <w:t>5050012811/5500</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w:t>
      </w:r>
      <w:proofErr w:type="gramStart"/>
      <w:r w:rsidRPr="00231BC6">
        <w:rPr>
          <w:rFonts w:ascii="Tahoma" w:eastAsia="Times New Roman" w:hAnsi="Tahoma" w:cs="Tahoma"/>
          <w:sz w:val="16"/>
          <w:szCs w:val="16"/>
          <w:lang w:eastAsia="cs-CZ"/>
        </w:rPr>
        <w:t xml:space="preserve">sídlem:   </w:t>
      </w:r>
      <w:proofErr w:type="gramEnd"/>
      <w:r w:rsidRPr="00231BC6">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ab/>
        <w:t xml:space="preserve">U Nemocnice 499/2, 128 08 Praha 2 </w:t>
      </w:r>
    </w:p>
    <w:p w14:paraId="416895B5" w14:textId="7F2A715D"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45C3C">
        <w:rPr>
          <w:rFonts w:ascii="Tahoma" w:eastAsia="Times New Roman" w:hAnsi="Tahoma" w:cs="Tahoma"/>
          <w:sz w:val="16"/>
          <w:szCs w:val="16"/>
          <w:lang w:eastAsia="cs-CZ"/>
        </w:rPr>
        <w:t>O</w:t>
      </w:r>
      <w:r w:rsidRPr="00231BC6">
        <w:rPr>
          <w:rFonts w:ascii="Tahoma" w:eastAsia="Times New Roman" w:hAnsi="Tahoma" w:cs="Tahoma"/>
          <w:sz w:val="16"/>
          <w:szCs w:val="16"/>
          <w:lang w:eastAsia="cs-CZ"/>
        </w:rPr>
        <w:t>: 000 64 165     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proofErr w:type="gramStart"/>
      <w:r w:rsidRPr="00231BC6">
        <w:rPr>
          <w:rFonts w:ascii="Tahoma" w:eastAsia="Times New Roman" w:hAnsi="Tahoma" w:cs="Tahoma"/>
          <w:sz w:val="16"/>
          <w:szCs w:val="16"/>
          <w:lang w:eastAsia="cs-CZ"/>
        </w:rPr>
        <w:t xml:space="preserve">zastoupená:   </w:t>
      </w:r>
      <w:proofErr w:type="gramEnd"/>
      <w:r w:rsidRPr="00231BC6">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ab/>
        <w:t>prof. MUDr. Davidem Feltlem,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w:t>
      </w:r>
      <w:proofErr w:type="gramStart"/>
      <w:r w:rsidRPr="00231BC6">
        <w:rPr>
          <w:rFonts w:ascii="Tahoma" w:eastAsia="Times New Roman" w:hAnsi="Tahoma" w:cs="Tahoma"/>
          <w:sz w:val="16"/>
          <w:szCs w:val="16"/>
          <w:lang w:eastAsia="cs-CZ"/>
        </w:rPr>
        <w:t xml:space="preserve">spojení:  </w:t>
      </w:r>
      <w:r w:rsidRPr="00231BC6">
        <w:rPr>
          <w:rFonts w:ascii="Tahoma" w:eastAsia="Times New Roman" w:hAnsi="Tahoma" w:cs="Tahoma"/>
          <w:sz w:val="16"/>
          <w:szCs w:val="16"/>
          <w:lang w:eastAsia="cs-CZ"/>
        </w:rPr>
        <w:tab/>
      </w:r>
      <w:proofErr w:type="gramEnd"/>
      <w:r w:rsidRPr="00231BC6">
        <w:rPr>
          <w:rFonts w:ascii="Tahoma" w:eastAsia="Times New Roman" w:hAnsi="Tahoma" w:cs="Tahoma"/>
          <w:sz w:val="16"/>
          <w:szCs w:val="16"/>
          <w:lang w:eastAsia="cs-CZ"/>
        </w:rPr>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11983B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(kupující a prodávající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4E86D6A0" w14:textId="17D7A39F" w:rsidR="008F14D2" w:rsidRPr="002B28B0" w:rsidRDefault="008F14D2" w:rsidP="008F14D2">
      <w:pPr>
        <w:spacing w:after="0" w:line="240" w:lineRule="auto"/>
        <w:jc w:val="both"/>
        <w:rPr>
          <w:rFonts w:ascii="Tahoma" w:hAnsi="Tahoma" w:cs="Tahoma"/>
          <w:sz w:val="16"/>
          <w:szCs w:val="16"/>
        </w:rPr>
      </w:pPr>
      <w:r w:rsidRPr="002B28B0">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2B28B0">
          <w:rPr>
            <w:rFonts w:ascii="Tahoma" w:hAnsi="Tahoma" w:cs="Tahoma"/>
            <w:sz w:val="16"/>
            <w:szCs w:val="16"/>
          </w:rPr>
          <w:t>2 a</w:t>
        </w:r>
      </w:smartTag>
      <w:r w:rsidRPr="002B28B0">
        <w:rPr>
          <w:rFonts w:ascii="Tahoma" w:hAnsi="Tahoma" w:cs="Tahoma"/>
          <w:sz w:val="16"/>
          <w:szCs w:val="16"/>
        </w:rPr>
        <w:t xml:space="preserve"> § </w:t>
      </w:r>
      <w:smartTag w:uri="urn:schemas-microsoft-com:office:smarttags" w:element="metricconverter">
        <w:smartTagPr>
          <w:attr w:name="ProductID" w:val="2079 a"/>
        </w:smartTagPr>
        <w:r w:rsidRPr="002B28B0">
          <w:rPr>
            <w:rFonts w:ascii="Tahoma" w:hAnsi="Tahoma" w:cs="Tahoma"/>
            <w:sz w:val="16"/>
            <w:szCs w:val="16"/>
          </w:rPr>
          <w:t>2079 a</w:t>
        </w:r>
      </w:smartTag>
      <w:r w:rsidRPr="002B28B0">
        <w:rPr>
          <w:rFonts w:ascii="Tahoma" w:hAnsi="Tahoma" w:cs="Tahoma"/>
          <w:sz w:val="16"/>
          <w:szCs w:val="16"/>
        </w:rPr>
        <w:t xml:space="preserve"> násl. zákona č. 89/2012 Sb., občanského zákoníku v platném znění, v souladu s Výzvou k podání nabídek na veřejnou zakázku</w:t>
      </w:r>
      <w:r w:rsidR="00614B1E">
        <w:rPr>
          <w:rFonts w:ascii="Tahoma" w:hAnsi="Tahoma" w:cs="Tahoma"/>
          <w:sz w:val="16"/>
          <w:szCs w:val="16"/>
        </w:rPr>
        <w:t xml:space="preserve"> </w:t>
      </w:r>
      <w:r w:rsidRPr="00ED3854">
        <w:rPr>
          <w:rFonts w:ascii="Tahoma" w:hAnsi="Tahoma" w:cs="Tahoma"/>
          <w:b/>
          <w:bCs/>
          <w:sz w:val="16"/>
          <w:szCs w:val="16"/>
        </w:rPr>
        <w:t>DYNAMICKÝ NÁKUPNÍ SYSTÉM PRO PRŮBĚŽNÉ A OPAKOVANÉ NÁKUPY LÉČIVÝCH PŘÍPRAVKŮ</w:t>
      </w:r>
      <w:r w:rsidR="00AE67C2" w:rsidRPr="00ED3854">
        <w:rPr>
          <w:rFonts w:ascii="Tahoma" w:hAnsi="Tahoma" w:cs="Tahoma"/>
          <w:b/>
          <w:bCs/>
          <w:sz w:val="16"/>
          <w:szCs w:val="16"/>
        </w:rPr>
        <w:t>_BŘEZEN_4_2024</w:t>
      </w:r>
      <w:r w:rsidRPr="002B28B0">
        <w:rPr>
          <w:rFonts w:ascii="Tahoma" w:hAnsi="Tahoma" w:cs="Tahoma"/>
          <w:sz w:val="16"/>
          <w:szCs w:val="16"/>
        </w:rPr>
        <w:t xml:space="preserve">, ID veřejné zakázky na profilu zadavatele: </w:t>
      </w:r>
      <w:r w:rsidR="002B28B0" w:rsidRPr="00825E1E">
        <w:rPr>
          <w:rFonts w:ascii="Tahoma" w:hAnsi="Tahoma" w:cs="Tahoma"/>
          <w:sz w:val="16"/>
          <w:szCs w:val="16"/>
        </w:rPr>
        <w:t>V</w:t>
      </w:r>
      <w:r w:rsidR="009E0896" w:rsidRPr="00825E1E">
        <w:rPr>
          <w:rFonts w:ascii="Tahoma" w:hAnsi="Tahoma" w:cs="Tahoma"/>
          <w:sz w:val="16"/>
          <w:szCs w:val="16"/>
        </w:rPr>
        <w:t>Z 0185 449</w:t>
      </w:r>
      <w:r w:rsidRPr="00825E1E">
        <w:rPr>
          <w:rFonts w:ascii="Tahoma" w:hAnsi="Tahoma" w:cs="Tahoma"/>
          <w:sz w:val="16"/>
          <w:szCs w:val="16"/>
        </w:rPr>
        <w:t xml:space="preserve">, ze dne </w:t>
      </w:r>
      <w:r w:rsidR="00A43F47" w:rsidRPr="00825E1E">
        <w:rPr>
          <w:rFonts w:ascii="Tahoma" w:hAnsi="Tahoma" w:cs="Tahoma"/>
          <w:sz w:val="16"/>
          <w:szCs w:val="16"/>
        </w:rPr>
        <w:t>20.03.</w:t>
      </w:r>
      <w:r w:rsidR="00D35C60" w:rsidRPr="00825E1E">
        <w:rPr>
          <w:rFonts w:ascii="Tahoma" w:hAnsi="Tahoma" w:cs="Tahoma"/>
          <w:sz w:val="16"/>
          <w:szCs w:val="16"/>
        </w:rPr>
        <w:t>202</w:t>
      </w:r>
      <w:r w:rsidR="001A4EF8" w:rsidRPr="00825E1E">
        <w:rPr>
          <w:rFonts w:ascii="Tahoma" w:hAnsi="Tahoma" w:cs="Tahoma"/>
          <w:sz w:val="16"/>
          <w:szCs w:val="16"/>
        </w:rPr>
        <w:t>4</w:t>
      </w:r>
      <w:r w:rsidRPr="00825E1E">
        <w:rPr>
          <w:rFonts w:ascii="Tahoma" w:hAnsi="Tahoma" w:cs="Tahoma"/>
          <w:sz w:val="16"/>
          <w:szCs w:val="16"/>
        </w:rPr>
        <w:t>,</w:t>
      </w:r>
      <w:r w:rsidR="00825E1E" w:rsidRPr="00825E1E">
        <w:rPr>
          <w:rFonts w:ascii="Tahoma" w:hAnsi="Tahoma" w:cs="Tahoma"/>
          <w:sz w:val="16"/>
          <w:szCs w:val="16"/>
        </w:rPr>
        <w:t xml:space="preserve"> </w:t>
      </w:r>
      <w:r w:rsidRPr="00825E1E">
        <w:rPr>
          <w:rFonts w:ascii="Tahoma" w:hAnsi="Tahoma" w:cs="Tahoma"/>
          <w:sz w:val="16"/>
          <w:szCs w:val="16"/>
        </w:rPr>
        <w:t>zadávané</w:t>
      </w:r>
      <w:r w:rsidRPr="002B28B0">
        <w:rPr>
          <w:rFonts w:ascii="Tahoma" w:hAnsi="Tahoma" w:cs="Tahoma"/>
          <w:sz w:val="16"/>
          <w:szCs w:val="16"/>
        </w:rPr>
        <w:t xml:space="preserve"> v zavedeném DNS (DYNAMICKÝ NÁKUPNÍ SYSTÉM PRO PRŮBĚŽNÉ A OPAKOVANÉ NÁKUPY LÉČIVÝCH PŘÍPRAVKŮ, ev. č. VZ na zavedení DNS ve Věstníku </w:t>
      </w:r>
      <w:r w:rsidR="00D35C60" w:rsidRPr="002B28B0">
        <w:rPr>
          <w:rFonts w:ascii="Tahoma" w:hAnsi="Tahoma" w:cs="Tahoma"/>
          <w:sz w:val="16"/>
          <w:szCs w:val="16"/>
        </w:rPr>
        <w:t>VZ:</w:t>
      </w:r>
      <w:r w:rsidR="00D35C60" w:rsidRPr="002B28B0">
        <w:t xml:space="preserve"> </w:t>
      </w:r>
      <w:r w:rsidR="00D35C60" w:rsidRPr="002B28B0">
        <w:rPr>
          <w:rFonts w:ascii="Tahoma" w:hAnsi="Tahoma" w:cs="Tahoma"/>
          <w:sz w:val="16"/>
          <w:szCs w:val="16"/>
        </w:rPr>
        <w:t>Z2022-024675</w:t>
      </w:r>
      <w:r w:rsidRPr="002B28B0">
        <w:rPr>
          <w:rFonts w:ascii="Tahoma" w:hAnsi="Tahoma" w:cs="Tahoma"/>
          <w:sz w:val="16"/>
          <w:szCs w:val="16"/>
        </w:rPr>
        <w:t>) podle zákona č. 134/2016 Sb., o zadávání veřejných zakázek, v platném znění (dále též „z. č. 134/2016 Sb.“) a nabídkou na veřejnou zakázku v zavedeném DNS prodávajícího tuto</w:t>
      </w:r>
    </w:p>
    <w:p w14:paraId="0B10E8F1" w14:textId="77777777" w:rsidR="00C655CE" w:rsidRPr="002B28B0"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B28B0" w:rsidRDefault="00C655CE" w:rsidP="00C655CE">
      <w:pPr>
        <w:spacing w:after="0" w:line="240" w:lineRule="auto"/>
        <w:ind w:left="2832"/>
        <w:jc w:val="both"/>
        <w:rPr>
          <w:rFonts w:ascii="Tahoma" w:eastAsia="Times New Roman" w:hAnsi="Tahoma" w:cs="Tahoma"/>
          <w:b/>
          <w:sz w:val="16"/>
          <w:szCs w:val="16"/>
          <w:lang w:eastAsia="cs-CZ"/>
        </w:rPr>
      </w:pPr>
      <w:r w:rsidRPr="002B28B0">
        <w:rPr>
          <w:rFonts w:ascii="Tahoma" w:eastAsia="Times New Roman" w:hAnsi="Tahoma" w:cs="Tahoma"/>
          <w:b/>
          <w:sz w:val="16"/>
          <w:szCs w:val="16"/>
          <w:lang w:eastAsia="cs-CZ"/>
        </w:rPr>
        <w:t xml:space="preserve">       kupní smlouvu na opakující se plnění</w:t>
      </w:r>
    </w:p>
    <w:p w14:paraId="6E3DA356" w14:textId="703F6308" w:rsidR="005320CD" w:rsidRPr="002B28B0" w:rsidRDefault="00E20984" w:rsidP="002F73CF">
      <w:pPr>
        <w:spacing w:after="0" w:line="240" w:lineRule="auto"/>
        <w:jc w:val="center"/>
        <w:rPr>
          <w:rFonts w:ascii="Tahoma" w:eastAsia="Times New Roman" w:hAnsi="Tahoma" w:cs="Tahoma"/>
          <w:bCs/>
          <w:sz w:val="16"/>
          <w:szCs w:val="16"/>
          <w:lang w:eastAsia="cs-CZ"/>
        </w:rPr>
      </w:pPr>
      <w:r w:rsidRPr="002B28B0">
        <w:rPr>
          <w:rFonts w:ascii="Tahoma" w:eastAsia="Times New Roman" w:hAnsi="Tahoma" w:cs="Tahoma"/>
          <w:bCs/>
          <w:sz w:val="16"/>
          <w:szCs w:val="16"/>
          <w:lang w:eastAsia="cs-CZ"/>
        </w:rPr>
        <w:t>(dále jen „smlouva“)</w:t>
      </w:r>
    </w:p>
    <w:p w14:paraId="7E8BF124" w14:textId="77777777" w:rsidR="00C655CE" w:rsidRPr="002B28B0" w:rsidRDefault="00C655CE" w:rsidP="00C655CE">
      <w:pPr>
        <w:spacing w:after="0" w:line="240" w:lineRule="auto"/>
        <w:ind w:left="2832"/>
        <w:jc w:val="both"/>
        <w:rPr>
          <w:rFonts w:ascii="Tahoma" w:eastAsia="Times New Roman" w:hAnsi="Tahoma" w:cs="Tahoma"/>
          <w:b/>
          <w:sz w:val="16"/>
          <w:szCs w:val="16"/>
          <w:lang w:eastAsia="cs-CZ"/>
        </w:rPr>
      </w:pPr>
    </w:p>
    <w:p w14:paraId="291E340F" w14:textId="77777777" w:rsidR="00C655CE" w:rsidRPr="002B28B0" w:rsidRDefault="00C655CE" w:rsidP="00C655CE">
      <w:pPr>
        <w:autoSpaceDE w:val="0"/>
        <w:autoSpaceDN w:val="0"/>
        <w:adjustRightInd w:val="0"/>
        <w:jc w:val="center"/>
        <w:outlineLvl w:val="0"/>
        <w:rPr>
          <w:rFonts w:ascii="Tahoma" w:hAnsi="Tahoma" w:cs="Tahoma"/>
          <w:b/>
          <w:bCs/>
          <w:sz w:val="16"/>
          <w:szCs w:val="16"/>
        </w:rPr>
      </w:pPr>
      <w:r w:rsidRPr="002B28B0">
        <w:rPr>
          <w:rFonts w:ascii="Tahoma" w:hAnsi="Tahoma" w:cs="Tahoma"/>
          <w:b/>
          <w:bCs/>
          <w:sz w:val="16"/>
          <w:szCs w:val="16"/>
        </w:rPr>
        <w:t>I. Předmět smlouvy</w:t>
      </w:r>
    </w:p>
    <w:p w14:paraId="06BFE431" w14:textId="656CE1B5"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B28B0">
        <w:rPr>
          <w:rFonts w:ascii="Tahoma" w:hAnsi="Tahoma" w:cs="Tahoma"/>
          <w:sz w:val="16"/>
          <w:szCs w:val="16"/>
        </w:rPr>
        <w:t xml:space="preserve">Předmětem plnění dle této smlouvy jsou dodávky </w:t>
      </w:r>
      <w:r w:rsidR="00DC5C16" w:rsidRPr="002B28B0">
        <w:rPr>
          <w:rFonts w:ascii="Tahoma" w:hAnsi="Tahoma" w:cs="Tahoma"/>
          <w:sz w:val="16"/>
          <w:szCs w:val="16"/>
        </w:rPr>
        <w:t>l</w:t>
      </w:r>
      <w:r w:rsidR="00EE6C9E" w:rsidRPr="002B28B0">
        <w:rPr>
          <w:rFonts w:ascii="Tahoma" w:hAnsi="Tahoma" w:cs="Tahoma"/>
          <w:sz w:val="16"/>
          <w:szCs w:val="16"/>
        </w:rPr>
        <w:t>éčiv</w:t>
      </w:r>
      <w:r w:rsidR="00C0289B" w:rsidRPr="002B28B0">
        <w:rPr>
          <w:rFonts w:ascii="Tahoma" w:hAnsi="Tahoma" w:cs="Tahoma"/>
          <w:sz w:val="16"/>
          <w:szCs w:val="16"/>
        </w:rPr>
        <w:t>ých</w:t>
      </w:r>
      <w:r w:rsidR="00EE6C9E" w:rsidRPr="002B28B0">
        <w:rPr>
          <w:rFonts w:ascii="Tahoma" w:hAnsi="Tahoma" w:cs="Tahoma"/>
          <w:sz w:val="16"/>
          <w:szCs w:val="16"/>
        </w:rPr>
        <w:t xml:space="preserve"> přípravk</w:t>
      </w:r>
      <w:r w:rsidR="00C0289B" w:rsidRPr="002B28B0">
        <w:rPr>
          <w:rFonts w:ascii="Tahoma" w:hAnsi="Tahoma" w:cs="Tahoma"/>
          <w:sz w:val="16"/>
          <w:szCs w:val="16"/>
        </w:rPr>
        <w:t>ů</w:t>
      </w:r>
      <w:r w:rsidR="005B05BC" w:rsidRPr="002B28B0">
        <w:rPr>
          <w:rFonts w:ascii="Tahoma" w:hAnsi="Tahoma" w:cs="Tahoma"/>
          <w:sz w:val="16"/>
          <w:szCs w:val="16"/>
        </w:rPr>
        <w:t xml:space="preserve"> </w:t>
      </w:r>
      <w:r w:rsidR="008F14D2" w:rsidRPr="002B28B0">
        <w:rPr>
          <w:rFonts w:ascii="Tahoma" w:hAnsi="Tahoma" w:cs="Tahoma"/>
          <w:sz w:val="16"/>
          <w:szCs w:val="16"/>
        </w:rPr>
        <w:t>s účinnou látkou</w:t>
      </w:r>
      <w:r w:rsidR="00090370" w:rsidRPr="002B28B0">
        <w:rPr>
          <w:rFonts w:ascii="Tahoma" w:hAnsi="Tahoma" w:cs="Tahoma"/>
          <w:sz w:val="16"/>
          <w:szCs w:val="16"/>
        </w:rPr>
        <w:t xml:space="preserve"> </w:t>
      </w:r>
      <w:r w:rsidR="00D819BF" w:rsidRPr="00F32D7E">
        <w:rPr>
          <w:rFonts w:ascii="Tahoma" w:hAnsi="Tahoma" w:cs="Tahoma"/>
          <w:b/>
          <w:bCs/>
          <w:sz w:val="16"/>
          <w:szCs w:val="16"/>
        </w:rPr>
        <w:t>sodná</w:t>
      </w:r>
      <w:r w:rsidR="00821130" w:rsidRPr="00F32D7E">
        <w:rPr>
          <w:rFonts w:ascii="Tahoma" w:hAnsi="Tahoma" w:cs="Tahoma"/>
          <w:b/>
          <w:bCs/>
          <w:sz w:val="16"/>
          <w:szCs w:val="16"/>
        </w:rPr>
        <w:t xml:space="preserve"> sůl lumasiranu</w:t>
      </w:r>
      <w:r w:rsidR="002B28B0" w:rsidRPr="00F32D7E">
        <w:rPr>
          <w:rFonts w:ascii="Tahoma" w:hAnsi="Tahoma" w:cs="Tahoma"/>
          <w:sz w:val="16"/>
          <w:szCs w:val="16"/>
        </w:rPr>
        <w:t xml:space="preserve"> </w:t>
      </w:r>
      <w:r w:rsidRPr="00F32D7E">
        <w:rPr>
          <w:rFonts w:ascii="Tahoma" w:hAnsi="Tahoma" w:cs="Tahoma"/>
          <w:sz w:val="16"/>
          <w:szCs w:val="16"/>
        </w:rPr>
        <w:t>(dále</w:t>
      </w:r>
      <w:r w:rsidRPr="002B28B0">
        <w:rPr>
          <w:rFonts w:ascii="Tahoma" w:hAnsi="Tahoma" w:cs="Tahoma"/>
          <w:sz w:val="16"/>
          <w:szCs w:val="16"/>
        </w:rPr>
        <w:t xml:space="preserve"> jen „zboží“ nebo „předmět plnění“ případně „léčivý přípravek“ nebo „léčivo“), dle požadavku kupujícího uvedené</w:t>
      </w:r>
      <w:r w:rsidR="00C52459" w:rsidRPr="002B28B0">
        <w:rPr>
          <w:rFonts w:ascii="Tahoma" w:hAnsi="Tahoma" w:cs="Tahoma"/>
          <w:sz w:val="16"/>
          <w:szCs w:val="16"/>
        </w:rPr>
        <w:t>ho</w:t>
      </w:r>
      <w:r w:rsidRPr="002B28B0">
        <w:rPr>
          <w:rFonts w:ascii="Tahoma" w:hAnsi="Tahoma" w:cs="Tahoma"/>
          <w:sz w:val="16"/>
          <w:szCs w:val="16"/>
        </w:rPr>
        <w:t xml:space="preserve"> v</w:t>
      </w:r>
      <w:r w:rsidR="00F87B73" w:rsidRPr="002B28B0">
        <w:rPr>
          <w:rFonts w:ascii="Tahoma" w:hAnsi="Tahoma" w:cs="Tahoma"/>
          <w:sz w:val="16"/>
          <w:szCs w:val="16"/>
        </w:rPr>
        <w:t> </w:t>
      </w:r>
      <w:r w:rsidRPr="002B28B0">
        <w:rPr>
          <w:rFonts w:ascii="Tahoma" w:hAnsi="Tahoma" w:cs="Tahoma"/>
          <w:sz w:val="16"/>
          <w:szCs w:val="16"/>
        </w:rPr>
        <w:t>zadáva</w:t>
      </w:r>
      <w:r w:rsidRPr="00231BC6">
        <w:rPr>
          <w:rFonts w:ascii="Tahoma" w:hAnsi="Tahoma" w:cs="Tahoma"/>
          <w:sz w:val="16"/>
          <w:szCs w:val="16"/>
        </w:rPr>
        <w:t>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0B43E14D"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Kupující se zavazuje odebírat zboží od prodávajícího za podmínek této smlouvy a zaplatit prodávajícímu dohodnutou kupní cenu. </w:t>
      </w:r>
    </w:p>
    <w:p w14:paraId="73C10992" w14:textId="4F7B9919"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 xml:space="preserve">II. </w:t>
      </w:r>
      <w:r w:rsidR="00F87B73" w:rsidRPr="00231BC6">
        <w:rPr>
          <w:rFonts w:ascii="Tahoma" w:hAnsi="Tahoma" w:cs="Tahoma"/>
          <w:b/>
          <w:bCs/>
          <w:sz w:val="16"/>
          <w:szCs w:val="16"/>
        </w:rPr>
        <w:t xml:space="preserve">Objednací </w:t>
      </w:r>
      <w:r w:rsidRPr="00231BC6">
        <w:rPr>
          <w:rFonts w:ascii="Tahoma" w:hAnsi="Tahoma" w:cs="Tahoma"/>
          <w:b/>
          <w:bCs/>
          <w:sz w:val="16"/>
          <w:szCs w:val="16"/>
        </w:rPr>
        <w:t>podmínky</w:t>
      </w:r>
    </w:p>
    <w:p w14:paraId="4F991CBA" w14:textId="74345C0A"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objedná zboží e-mailem na adresu</w:t>
      </w:r>
      <w:r w:rsidR="005B05BC" w:rsidRPr="00231BC6">
        <w:rPr>
          <w:rFonts w:ascii="Tahoma" w:hAnsi="Tahoma" w:cs="Tahoma"/>
          <w:sz w:val="16"/>
          <w:szCs w:val="16"/>
        </w:rPr>
        <w:t xml:space="preserve"> </w:t>
      </w:r>
      <w:hyperlink r:id="rId13" w:history="1">
        <w:r w:rsidR="00974F1C">
          <w:rPr>
            <w:rStyle w:val="Hypertextovodkaz"/>
            <w:rFonts w:ascii="Tahoma" w:hAnsi="Tahoma" w:cs="Tahoma"/>
            <w:b/>
            <w:bCs/>
            <w:color w:val="auto"/>
            <w:sz w:val="16"/>
            <w:szCs w:val="16"/>
            <w:u w:val="none"/>
          </w:rPr>
          <w:t>xxxxx</w:t>
        </w:r>
      </w:hyperlink>
      <w:r w:rsidR="005C0638">
        <w:rPr>
          <w:rFonts w:ascii="Tahoma" w:hAnsi="Tahoma" w:cs="Tahoma"/>
          <w:sz w:val="16"/>
          <w:szCs w:val="16"/>
        </w:rPr>
        <w:t xml:space="preserve"> </w:t>
      </w:r>
      <w:r w:rsidRPr="00231BC6">
        <w:rPr>
          <w:rFonts w:ascii="Tahoma" w:hAnsi="Tahoma" w:cs="Tahoma"/>
          <w:sz w:val="16"/>
          <w:szCs w:val="16"/>
        </w:rPr>
        <w:t>v pracovní dny od 8:00 do 17:00 hod. Prodávající je povinen zajistit přijímání objednávky výše uvedeným způsob</w:t>
      </w:r>
      <w:r w:rsidR="001577A9">
        <w:rPr>
          <w:rFonts w:ascii="Tahoma" w:hAnsi="Tahoma" w:cs="Tahoma"/>
          <w:sz w:val="16"/>
          <w:szCs w:val="16"/>
        </w:rPr>
        <w:t>em</w:t>
      </w:r>
      <w:r w:rsidRPr="00231BC6">
        <w:rPr>
          <w:rFonts w:ascii="Tahoma" w:hAnsi="Tahoma" w:cs="Tahoma"/>
          <w:sz w:val="16"/>
          <w:szCs w:val="16"/>
        </w:rPr>
        <w:t>. Objednávka kupujícího musí přesně specifikovat druh, množství, popř. balení nebo jiné skutečnosti.</w:t>
      </w:r>
    </w:p>
    <w:p w14:paraId="3FEFDA9F" w14:textId="02158782"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zavazuje, </w:t>
      </w:r>
      <w:r w:rsidRPr="00C75F7E">
        <w:rPr>
          <w:rFonts w:ascii="Tahoma" w:hAnsi="Tahoma" w:cs="Tahoma"/>
          <w:sz w:val="16"/>
          <w:szCs w:val="16"/>
        </w:rPr>
        <w:t>že obratem potvrdí</w:t>
      </w:r>
      <w:r w:rsidRPr="00231BC6">
        <w:rPr>
          <w:rFonts w:ascii="Tahoma" w:hAnsi="Tahoma" w:cs="Tahoma"/>
          <w:sz w:val="16"/>
          <w:szCs w:val="16"/>
        </w:rPr>
        <w:t xml:space="preserve"> objednávky způsobem, jakým je přijal a zboží dodá nejpozději </w:t>
      </w:r>
      <w:r w:rsidR="005A6B25">
        <w:rPr>
          <w:rFonts w:ascii="Tahoma" w:hAnsi="Tahoma" w:cs="Tahoma"/>
          <w:sz w:val="16"/>
          <w:szCs w:val="16"/>
        </w:rPr>
        <w:t>d</w:t>
      </w:r>
      <w:r w:rsidR="005A6B25" w:rsidRPr="005A6B25">
        <w:rPr>
          <w:rFonts w:ascii="Tahoma" w:hAnsi="Tahoma" w:cs="Tahoma"/>
          <w:sz w:val="16"/>
          <w:szCs w:val="16"/>
        </w:rPr>
        <w:t xml:space="preserve">o </w:t>
      </w:r>
      <w:r w:rsidR="00E4518C">
        <w:rPr>
          <w:rFonts w:ascii="Tahoma" w:hAnsi="Tahoma" w:cs="Tahoma"/>
          <w:sz w:val="16"/>
          <w:szCs w:val="16"/>
        </w:rPr>
        <w:t xml:space="preserve">2 </w:t>
      </w:r>
      <w:r w:rsidRPr="00231BC6">
        <w:rPr>
          <w:rFonts w:ascii="Tahoma" w:hAnsi="Tahoma" w:cs="Tahoma"/>
          <w:sz w:val="16"/>
          <w:szCs w:val="16"/>
        </w:rPr>
        <w:t>pracovní</w:t>
      </w:r>
      <w:r w:rsidR="00E4518C">
        <w:rPr>
          <w:rFonts w:ascii="Tahoma" w:hAnsi="Tahoma" w:cs="Tahoma"/>
          <w:sz w:val="16"/>
          <w:szCs w:val="16"/>
        </w:rPr>
        <w:t>ch</w:t>
      </w:r>
      <w:r w:rsidRPr="00231BC6">
        <w:rPr>
          <w:rFonts w:ascii="Tahoma" w:hAnsi="Tahoma" w:cs="Tahoma"/>
          <w:sz w:val="16"/>
          <w:szCs w:val="16"/>
        </w:rPr>
        <w:t xml:space="preserve"> dn</w:t>
      </w:r>
      <w:r w:rsidR="00E4518C">
        <w:rPr>
          <w:rFonts w:ascii="Tahoma" w:hAnsi="Tahoma" w:cs="Tahoma"/>
          <w:sz w:val="16"/>
          <w:szCs w:val="16"/>
        </w:rPr>
        <w:t>í</w:t>
      </w:r>
      <w:r w:rsidR="00E4518C" w:rsidRPr="005A6B25">
        <w:rPr>
          <w:rFonts w:ascii="Tahoma" w:hAnsi="Tahoma" w:cs="Tahoma"/>
          <w:sz w:val="16"/>
          <w:szCs w:val="16"/>
        </w:rPr>
        <w:t xml:space="preserve"> od</w:t>
      </w:r>
      <w:r w:rsidR="00932BE3">
        <w:rPr>
          <w:rFonts w:ascii="Tahoma" w:hAnsi="Tahoma" w:cs="Tahoma"/>
          <w:sz w:val="16"/>
          <w:szCs w:val="16"/>
        </w:rPr>
        <w:t>e dne</w:t>
      </w:r>
      <w:r w:rsidR="00E4518C" w:rsidRPr="005A6B25">
        <w:rPr>
          <w:rFonts w:ascii="Tahoma" w:hAnsi="Tahoma" w:cs="Tahoma"/>
          <w:sz w:val="16"/>
          <w:szCs w:val="16"/>
        </w:rPr>
        <w:t xml:space="preserve"> doručení objednávky</w:t>
      </w:r>
      <w:r w:rsidRPr="00231BC6">
        <w:rPr>
          <w:rFonts w:ascii="Tahoma" w:hAnsi="Tahoma" w:cs="Tahoma"/>
          <w:sz w:val="16"/>
          <w:szCs w:val="16"/>
        </w:rPr>
        <w:t xml:space="preserve">. </w:t>
      </w:r>
    </w:p>
    <w:p w14:paraId="5E3A884F" w14:textId="1C452543"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Dílčí smlouva je uzavřena okamžikem, kdy je prodávajícím potvrzena objednávka učiněná kupujícím za podmínek vyjádřených v této smlouvě.</w:t>
      </w:r>
      <w:r w:rsidR="00202A1F" w:rsidRPr="00231BC6">
        <w:rPr>
          <w:rFonts w:ascii="Tahoma" w:hAnsi="Tahoma" w:cs="Tahoma"/>
          <w:sz w:val="16"/>
          <w:szCs w:val="16"/>
        </w:rPr>
        <w:t xml:space="preserve"> </w:t>
      </w:r>
    </w:p>
    <w:p w14:paraId="49B29F7E" w14:textId="09474B26"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58479E11" w:rsidR="00C655CE"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Není-li prodávající schopen dostát závazku dodávat zboží v nabídnuté ceně a ve lhůtě uvedené ve smlouvě, je povinen na</w:t>
      </w:r>
      <w:r w:rsidR="00A00210">
        <w:rPr>
          <w:rFonts w:ascii="Tahoma" w:hAnsi="Tahoma" w:cs="Tahoma"/>
          <w:sz w:val="16"/>
          <w:szCs w:val="16"/>
        </w:rPr>
        <w:t> </w:t>
      </w:r>
      <w:r w:rsidRPr="00231BC6">
        <w:rPr>
          <w:rFonts w:ascii="Tahoma" w:hAnsi="Tahoma" w:cs="Tahoma"/>
          <w:sz w:val="16"/>
          <w:szCs w:val="16"/>
        </w:rPr>
        <w:t>tu</w:t>
      </w:r>
      <w:r w:rsidR="004236F3">
        <w:rPr>
          <w:rFonts w:ascii="Tahoma" w:hAnsi="Tahoma" w:cs="Tahoma"/>
          <w:sz w:val="16"/>
          <w:szCs w:val="16"/>
        </w:rPr>
        <w:t>to</w:t>
      </w:r>
      <w:r w:rsidRPr="00231BC6">
        <w:rPr>
          <w:rFonts w:ascii="Tahoma" w:hAnsi="Tahoma" w:cs="Tahoma"/>
          <w:sz w:val="16"/>
          <w:szCs w:val="16"/>
        </w:rPr>
        <w:t xml:space="preserve">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Pr>
          <w:rFonts w:ascii="Tahoma" w:hAnsi="Tahoma" w:cs="Tahoma"/>
          <w:sz w:val="16"/>
          <w:szCs w:val="16"/>
        </w:rPr>
        <w:t> </w:t>
      </w:r>
      <w:r w:rsidRPr="00231BC6">
        <w:rPr>
          <w:rFonts w:ascii="Tahoma" w:hAnsi="Tahoma" w:cs="Tahoma"/>
          <w:sz w:val="16"/>
          <w:szCs w:val="16"/>
        </w:rPr>
        <w:t>cenou kupní.</w:t>
      </w:r>
      <w:r w:rsidR="00202A1F" w:rsidRPr="00231BC6">
        <w:rPr>
          <w:rFonts w:ascii="Tahoma" w:hAnsi="Tahoma" w:cs="Tahoma"/>
          <w:sz w:val="16"/>
          <w:szCs w:val="16"/>
        </w:rPr>
        <w:t xml:space="preserve"> Bude-li prodávající v prodlení s dodáním zboží z důvodů stahování zboží z trhu na základě rozhodnutí SÚKL (doložené příslušným rozhodnutím SÚKL), </w:t>
      </w:r>
      <w:r w:rsidR="002C1368">
        <w:rPr>
          <w:rFonts w:ascii="Tahoma" w:hAnsi="Tahoma" w:cs="Tahoma"/>
          <w:sz w:val="16"/>
          <w:szCs w:val="16"/>
        </w:rPr>
        <w:t xml:space="preserve">nebo pokud bylo zboží/léčivý přípravek Ministerstvem zdravotnictví zařazeno/zařazen do tzv. systému rezervních zásob, </w:t>
      </w:r>
      <w:r w:rsidR="00202A1F" w:rsidRPr="00231BC6">
        <w:rPr>
          <w:rFonts w:ascii="Tahoma" w:hAnsi="Tahoma" w:cs="Tahoma"/>
          <w:sz w:val="16"/>
          <w:szCs w:val="16"/>
        </w:rPr>
        <w:t>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71A47147" w14:textId="77777777" w:rsidR="002C1368" w:rsidRDefault="002C1368" w:rsidP="0051435E">
      <w:pPr>
        <w:autoSpaceDE w:val="0"/>
        <w:autoSpaceDN w:val="0"/>
        <w:adjustRightInd w:val="0"/>
        <w:outlineLvl w:val="0"/>
        <w:rPr>
          <w:rFonts w:ascii="Tahoma" w:hAnsi="Tahoma" w:cs="Tahoma"/>
          <w:b/>
          <w:bCs/>
          <w:sz w:val="16"/>
          <w:szCs w:val="16"/>
        </w:rPr>
      </w:pPr>
    </w:p>
    <w:p w14:paraId="3302B863" w14:textId="77777777" w:rsidR="0051435E" w:rsidRDefault="0051435E" w:rsidP="0051435E">
      <w:pPr>
        <w:autoSpaceDE w:val="0"/>
        <w:autoSpaceDN w:val="0"/>
        <w:adjustRightInd w:val="0"/>
        <w:outlineLvl w:val="0"/>
        <w:rPr>
          <w:rFonts w:ascii="Tahoma" w:hAnsi="Tahoma" w:cs="Tahoma"/>
          <w:b/>
          <w:bCs/>
          <w:sz w:val="16"/>
          <w:szCs w:val="16"/>
        </w:rPr>
      </w:pPr>
    </w:p>
    <w:p w14:paraId="6762792E" w14:textId="77777777" w:rsidR="0051435E" w:rsidRDefault="0051435E" w:rsidP="0051435E">
      <w:pPr>
        <w:autoSpaceDE w:val="0"/>
        <w:autoSpaceDN w:val="0"/>
        <w:adjustRightInd w:val="0"/>
        <w:outlineLvl w:val="0"/>
        <w:rPr>
          <w:rFonts w:ascii="Tahoma" w:hAnsi="Tahoma" w:cs="Tahoma"/>
          <w:b/>
          <w:bCs/>
          <w:sz w:val="16"/>
          <w:szCs w:val="16"/>
        </w:rPr>
      </w:pPr>
    </w:p>
    <w:p w14:paraId="060B3A94" w14:textId="21A27D0F" w:rsidR="00C655CE" w:rsidRPr="00231BC6" w:rsidRDefault="00C655CE" w:rsidP="00202A1F">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lastRenderedPageBreak/>
        <w:t>III. Místo plnění</w:t>
      </w:r>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07552004"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kontakt je pro účely této smlouvy</w:t>
      </w:r>
      <w:r w:rsidR="00974F1C">
        <w:rPr>
          <w:rFonts w:ascii="Tahoma" w:hAnsi="Tahoma" w:cs="Tahoma"/>
          <w:sz w:val="16"/>
          <w:szCs w:val="16"/>
        </w:rPr>
        <w:t>: xxxxx</w:t>
      </w:r>
      <w:r w:rsidR="004B0FD6" w:rsidRPr="00231BC6">
        <w:rPr>
          <w:rFonts w:ascii="Tahoma" w:hAnsi="Tahoma" w:cs="Tahoma"/>
          <w:sz w:val="16"/>
          <w:szCs w:val="16"/>
        </w:rPr>
        <w:t xml:space="preserve">, tel.: </w:t>
      </w:r>
      <w:r w:rsidR="00974F1C">
        <w:rPr>
          <w:rFonts w:ascii="Tahoma" w:hAnsi="Tahoma" w:cs="Tahoma"/>
          <w:sz w:val="16"/>
          <w:szCs w:val="16"/>
        </w:rPr>
        <w:t>xxxxx</w:t>
      </w:r>
      <w:r w:rsidR="00345C3C">
        <w:rPr>
          <w:rFonts w:ascii="Tahoma" w:hAnsi="Tahoma" w:cs="Tahoma"/>
          <w:sz w:val="16"/>
          <w:szCs w:val="16"/>
        </w:rPr>
        <w:t>,</w:t>
      </w:r>
      <w:r w:rsidR="004B0FD6" w:rsidRPr="00231BC6">
        <w:rPr>
          <w:rFonts w:ascii="Tahoma" w:hAnsi="Tahoma" w:cs="Tahoma"/>
          <w:sz w:val="16"/>
          <w:szCs w:val="16"/>
        </w:rPr>
        <w:t xml:space="preserve"> </w:t>
      </w:r>
    </w:p>
    <w:p w14:paraId="4D405A5E" w14:textId="70931AC6"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kontakt je pro účely této smlouvy</w:t>
      </w:r>
      <w:r w:rsidR="00974F1C">
        <w:rPr>
          <w:rFonts w:ascii="Tahoma" w:hAnsi="Tahoma" w:cs="Tahoma"/>
          <w:sz w:val="16"/>
          <w:szCs w:val="16"/>
        </w:rPr>
        <w:t>: xxxxx</w:t>
      </w:r>
      <w:r w:rsidR="004B0FD6" w:rsidRPr="00231BC6">
        <w:rPr>
          <w:rFonts w:ascii="Tahoma" w:hAnsi="Tahoma" w:cs="Tahoma"/>
          <w:sz w:val="16"/>
          <w:szCs w:val="16"/>
        </w:rPr>
        <w:t xml:space="preserve">, tel.: </w:t>
      </w:r>
      <w:r w:rsidR="00974F1C">
        <w:rPr>
          <w:rFonts w:ascii="Tahoma" w:hAnsi="Tahoma" w:cs="Tahoma"/>
          <w:sz w:val="16"/>
          <w:szCs w:val="16"/>
        </w:rPr>
        <w:t>xxxxx</w:t>
      </w:r>
      <w:r w:rsidR="00345C3C">
        <w:rPr>
          <w:rFonts w:ascii="Tahoma" w:hAnsi="Tahoma" w:cs="Tahoma"/>
          <w:sz w:val="16"/>
          <w:szCs w:val="16"/>
        </w:rPr>
        <w:t>,</w:t>
      </w:r>
    </w:p>
    <w:p w14:paraId="278DFC8D" w14:textId="057EE1BE"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kontakt je pro účely této smlouvy</w:t>
      </w:r>
      <w:r w:rsidR="00974F1C">
        <w:rPr>
          <w:rFonts w:ascii="Tahoma" w:hAnsi="Tahoma" w:cs="Tahoma"/>
          <w:sz w:val="16"/>
          <w:szCs w:val="16"/>
        </w:rPr>
        <w:t>: xxxxx</w:t>
      </w:r>
      <w:r w:rsidR="004B0FD6" w:rsidRPr="00231BC6">
        <w:rPr>
          <w:rFonts w:ascii="Tahoma" w:hAnsi="Tahoma" w:cs="Tahoma"/>
          <w:sz w:val="16"/>
          <w:szCs w:val="16"/>
        </w:rPr>
        <w:t xml:space="preserve">, tel.: </w:t>
      </w:r>
      <w:r w:rsidR="00974F1C">
        <w:rPr>
          <w:rFonts w:ascii="Tahoma" w:hAnsi="Tahoma" w:cs="Tahoma"/>
          <w:sz w:val="16"/>
          <w:szCs w:val="16"/>
        </w:rPr>
        <w:t>xxxxx</w:t>
      </w:r>
      <w:r w:rsidR="00345C3C">
        <w:rPr>
          <w:rFonts w:ascii="Tahoma" w:hAnsi="Tahoma" w:cs="Tahoma"/>
          <w:sz w:val="16"/>
          <w:szCs w:val="16"/>
        </w:rPr>
        <w:t>,</w:t>
      </w:r>
      <w:r w:rsidR="004B0FD6" w:rsidRPr="00231BC6">
        <w:rPr>
          <w:rFonts w:ascii="Tahoma" w:hAnsi="Tahoma" w:cs="Tahoma"/>
          <w:sz w:val="16"/>
          <w:szCs w:val="16"/>
        </w:rPr>
        <w:t xml:space="preserve"> </w:t>
      </w:r>
    </w:p>
    <w:p w14:paraId="332718BB" w14:textId="6D8507AB"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kontakt je pro účely této smlouv</w:t>
      </w:r>
      <w:r w:rsidR="00974F1C">
        <w:rPr>
          <w:rFonts w:ascii="Tahoma" w:hAnsi="Tahoma" w:cs="Tahoma"/>
          <w:sz w:val="16"/>
          <w:szCs w:val="16"/>
        </w:rPr>
        <w:t>y: xxxxx</w:t>
      </w:r>
      <w:r w:rsidR="004B0FD6" w:rsidRPr="00231BC6">
        <w:rPr>
          <w:rFonts w:ascii="Tahoma" w:hAnsi="Tahoma" w:cs="Tahoma"/>
          <w:sz w:val="16"/>
          <w:szCs w:val="16"/>
        </w:rPr>
        <w:t xml:space="preserve">, tel.: </w:t>
      </w:r>
      <w:r w:rsidR="00974F1C">
        <w:rPr>
          <w:rFonts w:ascii="Tahoma" w:hAnsi="Tahoma" w:cs="Tahoma"/>
          <w:sz w:val="16"/>
          <w:szCs w:val="16"/>
        </w:rPr>
        <w:t>xxxxx</w:t>
      </w:r>
      <w:r w:rsidR="00345C3C">
        <w:rPr>
          <w:rFonts w:ascii="Tahoma" w:hAnsi="Tahoma" w:cs="Tahoma"/>
          <w:sz w:val="16"/>
          <w:szCs w:val="16"/>
        </w:rPr>
        <w:t>.</w:t>
      </w:r>
    </w:p>
    <w:p w14:paraId="6389FC04" w14:textId="77777777" w:rsidR="000B5F26" w:rsidRPr="00231BC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IV. Předání a převzetí zboží</w:t>
      </w:r>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 xml:space="preserve">otiskem příslušného razítka. </w:t>
      </w:r>
    </w:p>
    <w:p w14:paraId="0720826F" w14:textId="77777777"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p>
    <w:p w14:paraId="0538A144" w14:textId="7E218595" w:rsidR="00C655CE" w:rsidRPr="00E03BAA"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nepředá-li prodávající, resp. jím pověřený přepravce v místě plnění kupujícímu </w:t>
      </w:r>
      <w:r w:rsidRPr="00E03BAA">
        <w:rPr>
          <w:rFonts w:ascii="Tahoma" w:hAnsi="Tahoma" w:cs="Tahoma"/>
          <w:sz w:val="16"/>
          <w:szCs w:val="16"/>
        </w:rPr>
        <w:t>dodací list,</w:t>
      </w:r>
      <w:r w:rsidRPr="003D3561">
        <w:rPr>
          <w:rFonts w:ascii="Tahoma" w:hAnsi="Tahoma" w:cs="Tahoma"/>
          <w:sz w:val="16"/>
          <w:szCs w:val="16"/>
        </w:rPr>
        <w:t xml:space="preserve"> kter</w:t>
      </w:r>
      <w:r w:rsidRPr="00E03BAA">
        <w:rPr>
          <w:rFonts w:ascii="Tahoma" w:hAnsi="Tahoma" w:cs="Tahoma"/>
          <w:sz w:val="16"/>
          <w:szCs w:val="16"/>
        </w:rPr>
        <w:t xml:space="preserve">ý musí obsahovat </w:t>
      </w:r>
      <w:bookmarkStart w:id="1" w:name="_Hlk130378220"/>
      <w:r w:rsidRPr="00E03BAA">
        <w:rPr>
          <w:rFonts w:ascii="Tahoma" w:hAnsi="Tahoma" w:cs="Tahoma"/>
          <w:sz w:val="16"/>
          <w:szCs w:val="16"/>
        </w:rPr>
        <w:t>datum uskutečnění dodávky, množství zboží s uvedením druhů zboží, exspirační dobu a šarži</w:t>
      </w:r>
      <w:bookmarkEnd w:id="1"/>
      <w:r w:rsidRPr="00E03BAA">
        <w:rPr>
          <w:rFonts w:ascii="Tahoma" w:hAnsi="Tahoma" w:cs="Tahoma"/>
          <w:sz w:val="16"/>
          <w:szCs w:val="16"/>
        </w:rPr>
        <w:t>;</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73B4610D" w14:textId="77777777" w:rsidR="00C655CE" w:rsidRPr="00231BC6" w:rsidRDefault="00C655CE" w:rsidP="00942795">
      <w:pPr>
        <w:autoSpaceDE w:val="0"/>
        <w:autoSpaceDN w:val="0"/>
        <w:adjustRightInd w:val="0"/>
        <w:spacing w:after="0" w:line="240" w:lineRule="auto"/>
        <w:jc w:val="both"/>
        <w:rPr>
          <w:rFonts w:ascii="Tahoma" w:hAnsi="Tahoma" w:cs="Tahoma"/>
          <w:b/>
          <w:bCs/>
          <w:sz w:val="16"/>
          <w:szCs w:val="16"/>
        </w:rPr>
      </w:pPr>
    </w:p>
    <w:p w14:paraId="69FC353E" w14:textId="77777777" w:rsidR="00C655CE" w:rsidRPr="00231BC6" w:rsidRDefault="00C655CE" w:rsidP="00C655CE">
      <w:pPr>
        <w:autoSpaceDE w:val="0"/>
        <w:autoSpaceDN w:val="0"/>
        <w:adjustRightInd w:val="0"/>
        <w:jc w:val="center"/>
        <w:rPr>
          <w:rFonts w:ascii="Tahoma" w:hAnsi="Tahoma" w:cs="Tahoma"/>
          <w:b/>
          <w:bCs/>
          <w:sz w:val="16"/>
          <w:szCs w:val="16"/>
        </w:rPr>
      </w:pPr>
      <w:r w:rsidRPr="00231BC6">
        <w:rPr>
          <w:rFonts w:ascii="Tahoma" w:hAnsi="Tahoma" w:cs="Tahoma"/>
          <w:b/>
          <w:bCs/>
          <w:sz w:val="16"/>
          <w:szCs w:val="16"/>
        </w:rPr>
        <w:t>V. Kupní cena</w:t>
      </w:r>
    </w:p>
    <w:p w14:paraId="0B937FBE" w14:textId="4E87D6A7" w:rsidR="00C655CE" w:rsidRPr="006F2229" w:rsidRDefault="006F2229" w:rsidP="006F2229">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Cena zboží je konečná a nejvýše přípustná a zahrnuje veškeré náklady prodávajícího, jako např. přirážky distributorů</w:t>
      </w:r>
      <w:r>
        <w:rPr>
          <w:rFonts w:ascii="Tahoma" w:hAnsi="Tahoma" w:cs="Tahoma"/>
          <w:sz w:val="16"/>
          <w:szCs w:val="16"/>
        </w:rPr>
        <w:t xml:space="preserve"> vč. distribuční</w:t>
      </w:r>
      <w:r w:rsidR="00B25C69">
        <w:rPr>
          <w:rFonts w:ascii="Tahoma" w:hAnsi="Tahoma" w:cs="Tahoma"/>
          <w:sz w:val="16"/>
          <w:szCs w:val="16"/>
        </w:rPr>
        <w:t>ho</w:t>
      </w:r>
      <w:r>
        <w:rPr>
          <w:rFonts w:ascii="Tahoma" w:hAnsi="Tahoma" w:cs="Tahoma"/>
          <w:sz w:val="16"/>
          <w:szCs w:val="16"/>
        </w:rPr>
        <w:t xml:space="preserve"> poplatku </w:t>
      </w:r>
      <w:r w:rsidR="00B25C69">
        <w:rPr>
          <w:rFonts w:ascii="Tahoma" w:hAnsi="Tahoma" w:cs="Tahoma"/>
          <w:sz w:val="16"/>
          <w:szCs w:val="16"/>
        </w:rPr>
        <w:t xml:space="preserve">stanoveného </w:t>
      </w:r>
      <w:r>
        <w:rPr>
          <w:rFonts w:ascii="Tahoma" w:hAnsi="Tahoma" w:cs="Tahoma"/>
          <w:sz w:val="16"/>
          <w:szCs w:val="16"/>
        </w:rPr>
        <w:t>Cenov</w:t>
      </w:r>
      <w:r w:rsidR="00B25C69">
        <w:rPr>
          <w:rFonts w:ascii="Tahoma" w:hAnsi="Tahoma" w:cs="Tahoma"/>
          <w:sz w:val="16"/>
          <w:szCs w:val="16"/>
        </w:rPr>
        <w:t xml:space="preserve">ým </w:t>
      </w:r>
      <w:r>
        <w:rPr>
          <w:rFonts w:ascii="Tahoma" w:hAnsi="Tahoma" w:cs="Tahoma"/>
          <w:sz w:val="16"/>
          <w:szCs w:val="16"/>
        </w:rPr>
        <w:t>předpis</w:t>
      </w:r>
      <w:r w:rsidR="00B25C69">
        <w:rPr>
          <w:rFonts w:ascii="Tahoma" w:hAnsi="Tahoma" w:cs="Tahoma"/>
          <w:sz w:val="16"/>
          <w:szCs w:val="16"/>
        </w:rPr>
        <w:t>em</w:t>
      </w:r>
      <w:r>
        <w:rPr>
          <w:rFonts w:ascii="Tahoma" w:hAnsi="Tahoma" w:cs="Tahoma"/>
          <w:sz w:val="16"/>
          <w:szCs w:val="16"/>
        </w:rPr>
        <w:t xml:space="preserve"> MZ č. 2/2024/OLZP (o regulaci cen léčivých přípravků a potravin pro zvláštní lékařské účely, </w:t>
      </w:r>
      <w:r w:rsidR="00C655CE" w:rsidRPr="006F2229">
        <w:rPr>
          <w:rFonts w:ascii="Tahoma" w:hAnsi="Tahoma" w:cs="Tahoma"/>
          <w:sz w:val="16"/>
          <w:szCs w:val="16"/>
        </w:rPr>
        <w:t>celní poplatky, dopravné, balné apod. K této ceně bude připočteno DPH ve výši platné v době dodávky zboží.</w:t>
      </w:r>
    </w:p>
    <w:p w14:paraId="349844EF" w14:textId="4B50AD63"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0996568" w14:textId="51637D7B"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10D5B4D4"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V případě snížení </w:t>
      </w:r>
      <w:r w:rsidRPr="007C530E">
        <w:rPr>
          <w:rFonts w:ascii="Tahoma" w:hAnsi="Tahoma" w:cs="Tahoma"/>
          <w:sz w:val="16"/>
          <w:szCs w:val="16"/>
        </w:rPr>
        <w:t>výrobní ceny léčivého přípravku</w:t>
      </w:r>
      <w:r w:rsidRPr="00231BC6">
        <w:rPr>
          <w:rFonts w:ascii="Tahoma" w:hAnsi="Tahoma" w:cs="Tahoma"/>
          <w:sz w:val="16"/>
          <w:szCs w:val="16"/>
        </w:rPr>
        <w:t xml:space="preserve"> uvedeného v ceníku tvořícího přílohu č. 1 této smlouvy, bude prodávajícím při fakturaci nejbližší dodávky adekvátně snížena celková cena a smluvní strany stvrdí tuto skutečnost v dodatku ke smlouvě.</w:t>
      </w:r>
    </w:p>
    <w:p w14:paraId="08D48FBF" w14:textId="4848AB72" w:rsidR="00CD2A4B"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V případě, že bude v průběhu plnění kupní smlouvy </w:t>
      </w:r>
      <w:r w:rsidR="003C572B" w:rsidRPr="00231BC6">
        <w:rPr>
          <w:rFonts w:ascii="Tahoma" w:hAnsi="Tahoma" w:cs="Tahoma"/>
          <w:sz w:val="16"/>
          <w:szCs w:val="16"/>
        </w:rPr>
        <w:t xml:space="preserve">prokazatelně </w:t>
      </w:r>
      <w:r w:rsidRPr="00231BC6">
        <w:rPr>
          <w:rFonts w:ascii="Tahoma" w:hAnsi="Tahoma" w:cs="Tahoma"/>
          <w:sz w:val="16"/>
          <w:szCs w:val="16"/>
        </w:rPr>
        <w:t>zvýšena cena léčivého přípravku ze strany výrobce, bude prodávající moci po uzavření dodatku ke smlouvě rovněž zvýšit adekvátně jeho cenu.</w:t>
      </w:r>
      <w:r w:rsidR="00886255">
        <w:rPr>
          <w:rFonts w:ascii="Tahoma" w:hAnsi="Tahoma" w:cs="Tahoma"/>
          <w:sz w:val="16"/>
          <w:szCs w:val="16"/>
        </w:rPr>
        <w:t xml:space="preserve"> </w:t>
      </w:r>
      <w:r w:rsidR="00AD3835">
        <w:rPr>
          <w:rFonts w:ascii="Tahoma" w:hAnsi="Tahoma" w:cs="Tahoma"/>
          <w:sz w:val="16"/>
          <w:szCs w:val="16"/>
        </w:rPr>
        <w:t>Před uzavřením dodatku</w:t>
      </w:r>
      <w:r w:rsidR="00BF10CA">
        <w:rPr>
          <w:rFonts w:ascii="Tahoma" w:hAnsi="Tahoma" w:cs="Tahoma"/>
          <w:sz w:val="16"/>
          <w:szCs w:val="16"/>
        </w:rPr>
        <w:t>,</w:t>
      </w:r>
      <w:r w:rsidR="00AD3835">
        <w:rPr>
          <w:rFonts w:ascii="Tahoma" w:hAnsi="Tahoma" w:cs="Tahoma"/>
          <w:sz w:val="16"/>
          <w:szCs w:val="16"/>
        </w:rPr>
        <w:t xml:space="preserve"> </w:t>
      </w:r>
      <w:r w:rsidR="00501ACA">
        <w:rPr>
          <w:rFonts w:ascii="Tahoma" w:hAnsi="Tahoma" w:cs="Tahoma"/>
          <w:sz w:val="16"/>
          <w:szCs w:val="16"/>
        </w:rPr>
        <w:t>na jehož základě má dojít ke zvýšení kupní ceny</w:t>
      </w:r>
      <w:r w:rsidR="00C46FCD">
        <w:rPr>
          <w:rFonts w:ascii="Tahoma" w:hAnsi="Tahoma" w:cs="Tahoma"/>
          <w:sz w:val="16"/>
          <w:szCs w:val="16"/>
        </w:rPr>
        <w:t>,</w:t>
      </w:r>
      <w:r w:rsidR="00501ACA">
        <w:rPr>
          <w:rFonts w:ascii="Tahoma" w:hAnsi="Tahoma" w:cs="Tahoma"/>
          <w:sz w:val="16"/>
          <w:szCs w:val="16"/>
        </w:rPr>
        <w:t xml:space="preserve"> je prodávající povinen předložit kupujícímu </w:t>
      </w:r>
      <w:r w:rsidR="00724C54">
        <w:rPr>
          <w:rFonts w:ascii="Tahoma" w:hAnsi="Tahoma" w:cs="Tahoma"/>
          <w:sz w:val="16"/>
          <w:szCs w:val="16"/>
        </w:rPr>
        <w:t xml:space="preserve">relevantní </w:t>
      </w:r>
      <w:r w:rsidR="00501ACA">
        <w:rPr>
          <w:rFonts w:ascii="Tahoma" w:hAnsi="Tahoma" w:cs="Tahoma"/>
          <w:sz w:val="16"/>
          <w:szCs w:val="16"/>
        </w:rPr>
        <w:t>fakt</w:t>
      </w:r>
      <w:r w:rsidR="00C800B2">
        <w:rPr>
          <w:rFonts w:ascii="Tahoma" w:hAnsi="Tahoma" w:cs="Tahoma"/>
          <w:sz w:val="16"/>
          <w:szCs w:val="16"/>
        </w:rPr>
        <w:t xml:space="preserve">ury, </w:t>
      </w:r>
      <w:r w:rsidR="007C62C1">
        <w:rPr>
          <w:rFonts w:ascii="Tahoma" w:hAnsi="Tahoma" w:cs="Tahoma"/>
          <w:sz w:val="16"/>
          <w:szCs w:val="16"/>
        </w:rPr>
        <w:t xml:space="preserve">na jejichž základě </w:t>
      </w:r>
      <w:r w:rsidR="00510DC8">
        <w:rPr>
          <w:rFonts w:ascii="Tahoma" w:hAnsi="Tahoma" w:cs="Tahoma"/>
          <w:sz w:val="16"/>
          <w:szCs w:val="16"/>
        </w:rPr>
        <w:t xml:space="preserve">prodávající </w:t>
      </w:r>
      <w:r w:rsidR="007C62C1">
        <w:rPr>
          <w:rFonts w:ascii="Tahoma" w:hAnsi="Tahoma" w:cs="Tahoma"/>
          <w:sz w:val="16"/>
          <w:szCs w:val="16"/>
        </w:rPr>
        <w:t>léčivý přípravek</w:t>
      </w:r>
      <w:r w:rsidR="00510DC8">
        <w:rPr>
          <w:rFonts w:ascii="Tahoma" w:hAnsi="Tahoma" w:cs="Tahoma"/>
          <w:sz w:val="16"/>
          <w:szCs w:val="16"/>
        </w:rPr>
        <w:t xml:space="preserve"> od výrobce odebírá</w:t>
      </w:r>
      <w:r w:rsidR="00C46FCD">
        <w:rPr>
          <w:rFonts w:ascii="Tahoma" w:hAnsi="Tahoma" w:cs="Tahoma"/>
          <w:sz w:val="16"/>
          <w:szCs w:val="16"/>
        </w:rPr>
        <w:t xml:space="preserve">. Z těchto faktur </w:t>
      </w:r>
      <w:r w:rsidR="00510DC8">
        <w:rPr>
          <w:rFonts w:ascii="Tahoma" w:hAnsi="Tahoma" w:cs="Tahoma"/>
          <w:sz w:val="16"/>
          <w:szCs w:val="16"/>
        </w:rPr>
        <w:t xml:space="preserve">musí být patrné, že ze strany </w:t>
      </w:r>
      <w:r w:rsidR="00370199">
        <w:rPr>
          <w:rFonts w:ascii="Tahoma" w:hAnsi="Tahoma" w:cs="Tahoma"/>
          <w:sz w:val="16"/>
          <w:szCs w:val="16"/>
        </w:rPr>
        <w:t xml:space="preserve">výrobce došlo k navýšení ceny, za níž </w:t>
      </w:r>
      <w:r w:rsidR="00412722">
        <w:rPr>
          <w:rFonts w:ascii="Tahoma" w:hAnsi="Tahoma" w:cs="Tahoma"/>
          <w:sz w:val="16"/>
          <w:szCs w:val="16"/>
        </w:rPr>
        <w:t xml:space="preserve">výrobce </w:t>
      </w:r>
      <w:r w:rsidR="00370199">
        <w:rPr>
          <w:rFonts w:ascii="Tahoma" w:hAnsi="Tahoma" w:cs="Tahoma"/>
          <w:sz w:val="16"/>
          <w:szCs w:val="16"/>
        </w:rPr>
        <w:t xml:space="preserve">léčivý přípravek </w:t>
      </w:r>
      <w:r w:rsidR="00412B39">
        <w:rPr>
          <w:rFonts w:ascii="Tahoma" w:hAnsi="Tahoma" w:cs="Tahoma"/>
          <w:sz w:val="16"/>
          <w:szCs w:val="16"/>
        </w:rPr>
        <w:t>prodávajícímu</w:t>
      </w:r>
      <w:r w:rsidR="00370199">
        <w:rPr>
          <w:rFonts w:ascii="Tahoma" w:hAnsi="Tahoma" w:cs="Tahoma"/>
          <w:sz w:val="16"/>
          <w:szCs w:val="16"/>
        </w:rPr>
        <w:t xml:space="preserve"> poskytuje</w:t>
      </w:r>
      <w:r w:rsidR="00C46FCD">
        <w:rPr>
          <w:rFonts w:ascii="Tahoma" w:hAnsi="Tahoma" w:cs="Tahoma"/>
          <w:sz w:val="16"/>
          <w:szCs w:val="16"/>
        </w:rPr>
        <w:t>,</w:t>
      </w:r>
      <w:r w:rsidR="00412722">
        <w:rPr>
          <w:rFonts w:ascii="Tahoma" w:hAnsi="Tahoma" w:cs="Tahoma"/>
          <w:sz w:val="16"/>
          <w:szCs w:val="16"/>
        </w:rPr>
        <w:t xml:space="preserve"> a to</w:t>
      </w:r>
      <w:r w:rsidR="00C46FCD">
        <w:rPr>
          <w:rFonts w:ascii="Tahoma" w:hAnsi="Tahoma" w:cs="Tahoma"/>
          <w:sz w:val="16"/>
          <w:szCs w:val="16"/>
        </w:rPr>
        <w:t xml:space="preserve"> oproti </w:t>
      </w:r>
      <w:r w:rsidR="00412722">
        <w:rPr>
          <w:rFonts w:ascii="Tahoma" w:hAnsi="Tahoma" w:cs="Tahoma"/>
          <w:sz w:val="16"/>
          <w:szCs w:val="16"/>
        </w:rPr>
        <w:t xml:space="preserve">doloženým </w:t>
      </w:r>
      <w:r w:rsidR="00C46FCD">
        <w:rPr>
          <w:rFonts w:ascii="Tahoma" w:hAnsi="Tahoma" w:cs="Tahoma"/>
          <w:sz w:val="16"/>
          <w:szCs w:val="16"/>
        </w:rPr>
        <w:t>cenám</w:t>
      </w:r>
      <w:r w:rsidR="005F55C5">
        <w:rPr>
          <w:rFonts w:ascii="Tahoma" w:hAnsi="Tahoma" w:cs="Tahoma"/>
          <w:sz w:val="16"/>
          <w:szCs w:val="16"/>
        </w:rPr>
        <w:t xml:space="preserve"> výrobce</w:t>
      </w:r>
      <w:r w:rsidR="00724C54">
        <w:rPr>
          <w:rFonts w:ascii="Tahoma" w:hAnsi="Tahoma" w:cs="Tahoma"/>
          <w:sz w:val="16"/>
          <w:szCs w:val="16"/>
        </w:rPr>
        <w:t>,</w:t>
      </w:r>
      <w:r w:rsidR="00C46FCD">
        <w:rPr>
          <w:rFonts w:ascii="Tahoma" w:hAnsi="Tahoma" w:cs="Tahoma"/>
          <w:sz w:val="16"/>
          <w:szCs w:val="16"/>
        </w:rPr>
        <w:t xml:space="preserve"> kter</w:t>
      </w:r>
      <w:r w:rsidR="00724C54">
        <w:rPr>
          <w:rFonts w:ascii="Tahoma" w:hAnsi="Tahoma" w:cs="Tahoma"/>
          <w:sz w:val="16"/>
          <w:szCs w:val="16"/>
        </w:rPr>
        <w:t>é</w:t>
      </w:r>
      <w:r w:rsidR="00BF10CA">
        <w:rPr>
          <w:rFonts w:ascii="Tahoma" w:hAnsi="Tahoma" w:cs="Tahoma"/>
          <w:sz w:val="16"/>
          <w:szCs w:val="16"/>
        </w:rPr>
        <w:t xml:space="preserve"> byly účinné v době uzavření této smlouvy.</w:t>
      </w:r>
    </w:p>
    <w:p w14:paraId="6213172B" w14:textId="77777777" w:rsidR="00C655CE" w:rsidRPr="00CD2A4B" w:rsidRDefault="00C655CE" w:rsidP="00CD2A4B">
      <w:pPr>
        <w:spacing w:after="0" w:line="240" w:lineRule="auto"/>
        <w:ind w:left="360"/>
        <w:jc w:val="both"/>
        <w:rPr>
          <w:rFonts w:ascii="Tahoma" w:hAnsi="Tahoma" w:cs="Tahoma"/>
          <w:sz w:val="16"/>
          <w:szCs w:val="16"/>
        </w:rPr>
      </w:pPr>
    </w:p>
    <w:p w14:paraId="116CB4B3"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 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56CBDE02"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w:t>
      </w:r>
      <w:r w:rsidR="00F35F87">
        <w:rPr>
          <w:rFonts w:ascii="Tahoma" w:hAnsi="Tahoma" w:cs="Tahoma"/>
          <w:sz w:val="16"/>
          <w:szCs w:val="16"/>
        </w:rPr>
        <w:t>předá</w:t>
      </w:r>
      <w:r w:rsidR="00793BD6">
        <w:rPr>
          <w:rFonts w:ascii="Tahoma" w:hAnsi="Tahoma" w:cs="Tahoma"/>
          <w:sz w:val="16"/>
          <w:szCs w:val="16"/>
        </w:rPr>
        <w:t xml:space="preserve"> kupujícímu</w:t>
      </w:r>
      <w:r w:rsidR="00AE23E1">
        <w:rPr>
          <w:rFonts w:ascii="Tahoma" w:hAnsi="Tahoma" w:cs="Tahoma"/>
          <w:sz w:val="16"/>
          <w:szCs w:val="16"/>
        </w:rPr>
        <w:t xml:space="preserve"> fakturu</w:t>
      </w:r>
      <w:r w:rsidR="00793BD6">
        <w:rPr>
          <w:rFonts w:ascii="Tahoma" w:hAnsi="Tahoma" w:cs="Tahoma"/>
          <w:sz w:val="16"/>
          <w:szCs w:val="16"/>
        </w:rPr>
        <w:t xml:space="preserve"> s kopií dodacího listu buď společně se zbožím, nebo ji doručí</w:t>
      </w:r>
      <w:r w:rsidRPr="00231BC6">
        <w:rPr>
          <w:rFonts w:ascii="Tahoma" w:hAnsi="Tahoma" w:cs="Tahoma"/>
          <w:sz w:val="16"/>
          <w:szCs w:val="16"/>
        </w:rPr>
        <w:t xml:space="preserve"> na Ekonomický úsek kupujícího, Odbor účetnictví</w:t>
      </w:r>
      <w:r w:rsidR="00C75EA6">
        <w:rPr>
          <w:rFonts w:ascii="Tahoma" w:hAnsi="Tahoma" w:cs="Tahoma"/>
          <w:sz w:val="16"/>
          <w:szCs w:val="16"/>
        </w:rPr>
        <w:t>, nacházející se v jeho sídle</w:t>
      </w:r>
      <w:r w:rsidRPr="00231BC6">
        <w:rPr>
          <w:rFonts w:ascii="Tahoma" w:hAnsi="Tahoma" w:cs="Tahoma"/>
          <w:sz w:val="16"/>
          <w:szCs w:val="16"/>
        </w:rPr>
        <w:t>. Faktura může b</w:t>
      </w:r>
      <w:r w:rsidR="00AE23E1">
        <w:rPr>
          <w:rFonts w:ascii="Tahoma" w:hAnsi="Tahoma" w:cs="Tahoma"/>
          <w:sz w:val="16"/>
          <w:szCs w:val="16"/>
        </w:rPr>
        <w:t xml:space="preserve">ude </w:t>
      </w:r>
      <w:r w:rsidRPr="00231BC6">
        <w:rPr>
          <w:rFonts w:ascii="Tahoma" w:hAnsi="Tahoma" w:cs="Tahoma"/>
          <w:sz w:val="16"/>
          <w:szCs w:val="16"/>
        </w:rPr>
        <w:t xml:space="preserve">zaslána </w:t>
      </w:r>
      <w:r w:rsidR="00C75EA6">
        <w:rPr>
          <w:rFonts w:ascii="Tahoma" w:hAnsi="Tahoma" w:cs="Tahoma"/>
          <w:sz w:val="16"/>
          <w:szCs w:val="16"/>
        </w:rPr>
        <w:t xml:space="preserve">i </w:t>
      </w:r>
      <w:r w:rsidRPr="00231BC6">
        <w:rPr>
          <w:rFonts w:ascii="Tahoma" w:hAnsi="Tahoma" w:cs="Tahoma"/>
          <w:sz w:val="16"/>
          <w:szCs w:val="16"/>
        </w:rPr>
        <w:t>elektronicky ve formátu PDF na adres</w:t>
      </w:r>
      <w:r w:rsidR="00974F1C">
        <w:rPr>
          <w:rFonts w:ascii="Tahoma" w:hAnsi="Tahoma" w:cs="Tahoma"/>
          <w:sz w:val="16"/>
          <w:szCs w:val="16"/>
        </w:rPr>
        <w:t>u xxxxx</w:t>
      </w:r>
      <w:r w:rsidRPr="00231BC6">
        <w:rPr>
          <w:rFonts w:ascii="Tahoma" w:hAnsi="Tahoma" w:cs="Tahoma"/>
          <w:sz w:val="16"/>
          <w:szCs w:val="16"/>
        </w:rPr>
        <w:t>. Další podmínky ohledně vystavení a doručení dodacího listu jsou upraveny níže v čl. VII. odst. 2</w:t>
      </w:r>
      <w:r w:rsidR="00CF34DC">
        <w:rPr>
          <w:rFonts w:ascii="Tahoma" w:hAnsi="Tahoma" w:cs="Tahoma"/>
          <w:sz w:val="16"/>
          <w:szCs w:val="16"/>
        </w:rPr>
        <w:t xml:space="preserve"> této smlouvy</w:t>
      </w:r>
      <w:r w:rsidRPr="00231BC6">
        <w:rPr>
          <w:rFonts w:ascii="Tahoma" w:hAnsi="Tahoma" w:cs="Tahoma"/>
          <w:sz w:val="16"/>
          <w:szCs w:val="16"/>
        </w:rPr>
        <w:t>.</w:t>
      </w:r>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798C2593"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sjednávána na 60 dní ode dne jejich předání či doručení dle podmínek uvedených v odst.</w:t>
      </w:r>
      <w:r w:rsidR="00DB61A6" w:rsidRPr="00231BC6">
        <w:rPr>
          <w:rFonts w:ascii="Tahoma" w:hAnsi="Tahoma" w:cs="Tahoma"/>
          <w:sz w:val="16"/>
          <w:szCs w:val="16"/>
        </w:rPr>
        <w:t xml:space="preserve"> </w:t>
      </w:r>
      <w:r w:rsidRPr="00231BC6">
        <w:rPr>
          <w:rFonts w:ascii="Tahoma" w:hAnsi="Tahoma" w:cs="Tahoma"/>
          <w:sz w:val="16"/>
          <w:szCs w:val="16"/>
        </w:rPr>
        <w:t>2 tohoto článku.</w:t>
      </w:r>
    </w:p>
    <w:p w14:paraId="1F4A6079" w14:textId="40D2DDD2"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Veškeré platby mezi smluvními stranami se uskutečňují prostřednictvím bankovního spojení uvedeného v záhlaví této</w:t>
      </w:r>
      <w:r w:rsidR="00A00210">
        <w:rPr>
          <w:rFonts w:ascii="Tahoma" w:hAnsi="Tahoma" w:cs="Tahoma"/>
          <w:sz w:val="16"/>
          <w:szCs w:val="16"/>
        </w:rPr>
        <w:t> </w:t>
      </w:r>
      <w:r w:rsidRPr="00231BC6">
        <w:rPr>
          <w:rFonts w:ascii="Tahoma" w:hAnsi="Tahoma" w:cs="Tahoma"/>
          <w:sz w:val="16"/>
          <w:szCs w:val="16"/>
        </w:rPr>
        <w:t>smlouvy.</w:t>
      </w:r>
    </w:p>
    <w:p w14:paraId="25DA967A" w14:textId="4AC70D09"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VII. Dodání zboží</w:t>
      </w:r>
    </w:p>
    <w:p w14:paraId="4DCB9239" w14:textId="032E3F8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w:t>
      </w:r>
      <w:r w:rsidR="00204B5B" w:rsidRPr="00231BC6">
        <w:rPr>
          <w:rFonts w:ascii="Tahoma" w:hAnsi="Tahoma" w:cs="Tahoma"/>
          <w:sz w:val="16"/>
          <w:szCs w:val="16"/>
        </w:rPr>
        <w:t xml:space="preserve">odpovídá </w:t>
      </w:r>
      <w:r w:rsidRPr="00231BC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1321B284"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Prodávající je povinen vystavit a předat kupujícímu kromě písemné podoby dodacího listu i jeho elektronickou podobu ve formátu kompatibilním se SW nemocniční lékárny. </w:t>
      </w:r>
    </w:p>
    <w:p w14:paraId="6C61A266" w14:textId="27E3E583"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Pr="00231BC6">
        <w:rPr>
          <w:rFonts w:ascii="Tahoma" w:hAnsi="Tahoma" w:cs="Tahoma"/>
          <w:sz w:val="16"/>
          <w:szCs w:val="16"/>
        </w:rPr>
        <w:t>IV. odst. 2 smlouvy.</w:t>
      </w:r>
    </w:p>
    <w:p w14:paraId="78A01EAF" w14:textId="7C1EDDB9" w:rsidR="00C655CE" w:rsidRPr="00231BC6" w:rsidRDefault="00C655CE" w:rsidP="00C655CE">
      <w:pPr>
        <w:numPr>
          <w:ilvl w:val="0"/>
          <w:numId w:val="7"/>
        </w:numPr>
        <w:spacing w:after="0" w:line="240" w:lineRule="auto"/>
        <w:jc w:val="both"/>
        <w:rPr>
          <w:rFonts w:ascii="Tahoma" w:hAnsi="Tahoma" w:cs="Tahoma"/>
          <w:sz w:val="16"/>
          <w:szCs w:val="16"/>
        </w:rPr>
      </w:pPr>
      <w:r w:rsidRPr="00231BC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231BC6">
        <w:rPr>
          <w:rFonts w:ascii="Tahoma" w:hAnsi="Tahoma" w:cs="Tahoma"/>
          <w:sz w:val="16"/>
          <w:szCs w:val="16"/>
        </w:rPr>
        <w:t>6</w:t>
      </w:r>
      <w:r w:rsidR="008A5FBB" w:rsidRPr="00231BC6">
        <w:rPr>
          <w:rFonts w:ascii="Tahoma" w:hAnsi="Tahoma" w:cs="Tahoma"/>
          <w:sz w:val="16"/>
          <w:szCs w:val="16"/>
        </w:rPr>
        <w:t xml:space="preserve"> </w:t>
      </w:r>
      <w:r w:rsidRPr="00231BC6">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2047CFB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r w:rsidRPr="00231BC6">
        <w:rPr>
          <w:rFonts w:ascii="Tahoma" w:hAnsi="Tahoma" w:cs="Tahoma"/>
          <w:sz w:val="16"/>
          <w:szCs w:val="16"/>
        </w:rPr>
        <w:t>zákonem č. 378/2007 Sb., o léčivech a vyhláškou č. 229/2008 Sb., o výrobě a distribuci léčiv.</w:t>
      </w:r>
    </w:p>
    <w:p w14:paraId="07A0132D" w14:textId="77777777" w:rsidR="00C655CE" w:rsidRPr="00231BC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VIII. Pojištění odpovědnosti</w:t>
      </w:r>
    </w:p>
    <w:p w14:paraId="2C8D1EC1" w14:textId="17C1A0DF"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w:t>
      </w:r>
      <w:r w:rsidRPr="00F30DB1">
        <w:rPr>
          <w:rFonts w:ascii="Tahoma" w:hAnsi="Tahoma" w:cs="Tahoma"/>
          <w:b/>
          <w:bCs/>
          <w:sz w:val="16"/>
          <w:szCs w:val="16"/>
        </w:rPr>
        <w:t xml:space="preserve">s limitem pojistného plnění v minimální výši </w:t>
      </w:r>
      <w:r w:rsidR="00551769" w:rsidRPr="00F30DB1">
        <w:rPr>
          <w:rFonts w:ascii="Tahoma" w:hAnsi="Tahoma" w:cs="Tahoma"/>
          <w:b/>
          <w:bCs/>
          <w:sz w:val="16"/>
          <w:szCs w:val="16"/>
        </w:rPr>
        <w:t>10</w:t>
      </w:r>
      <w:r w:rsidR="00614B1E" w:rsidRPr="00F30DB1">
        <w:rPr>
          <w:rFonts w:ascii="Tahoma" w:hAnsi="Tahoma" w:cs="Tahoma"/>
          <w:b/>
          <w:bCs/>
          <w:sz w:val="16"/>
          <w:szCs w:val="16"/>
        </w:rPr>
        <w:t>.</w:t>
      </w:r>
      <w:r w:rsidR="00551769" w:rsidRPr="00F30DB1">
        <w:rPr>
          <w:rFonts w:ascii="Tahoma" w:hAnsi="Tahoma" w:cs="Tahoma"/>
          <w:b/>
          <w:bCs/>
          <w:sz w:val="16"/>
          <w:szCs w:val="16"/>
        </w:rPr>
        <w:t>000</w:t>
      </w:r>
      <w:r w:rsidR="0059792E" w:rsidRPr="00F30DB1">
        <w:rPr>
          <w:rFonts w:ascii="Tahoma" w:hAnsi="Tahoma" w:cs="Tahoma"/>
          <w:b/>
          <w:bCs/>
          <w:sz w:val="16"/>
          <w:szCs w:val="16"/>
        </w:rPr>
        <w:t>.</w:t>
      </w:r>
      <w:r w:rsidR="00551769" w:rsidRPr="00F30DB1">
        <w:rPr>
          <w:rFonts w:ascii="Tahoma" w:hAnsi="Tahoma" w:cs="Tahoma"/>
          <w:b/>
          <w:bCs/>
          <w:sz w:val="16"/>
          <w:szCs w:val="16"/>
        </w:rPr>
        <w:t xml:space="preserve">000 </w:t>
      </w:r>
      <w:r w:rsidRPr="00F30DB1">
        <w:rPr>
          <w:rFonts w:ascii="Tahoma" w:hAnsi="Tahoma" w:cs="Tahoma"/>
          <w:b/>
          <w:bCs/>
          <w:sz w:val="16"/>
          <w:szCs w:val="16"/>
        </w:rPr>
        <w:t>Kč</w:t>
      </w:r>
      <w:r w:rsidR="00942795">
        <w:rPr>
          <w:rFonts w:ascii="Tahoma" w:hAnsi="Tahoma" w:cs="Tahoma"/>
          <w:sz w:val="16"/>
          <w:szCs w:val="16"/>
        </w:rPr>
        <w:t xml:space="preserve"> a zavazuje se stanovený limit pojistného plnění v plné výši zachovat výlučně pro účely krytí škodních událostí vzniklých v souvislosti s touto smlouvou</w:t>
      </w:r>
      <w:r w:rsidRPr="00231BC6">
        <w:rPr>
          <w:rFonts w:ascii="Tahoma" w:hAnsi="Tahoma" w:cs="Tahoma"/>
          <w:sz w:val="16"/>
          <w:szCs w:val="16"/>
        </w:rPr>
        <w:t>.</w:t>
      </w:r>
    </w:p>
    <w:p w14:paraId="06EB4704" w14:textId="5DB4F768"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udržovat pojištění dle odst. 1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CD2A4B" w:rsidRDefault="00C655CE" w:rsidP="00CD2A4B">
      <w:pPr>
        <w:autoSpaceDE w:val="0"/>
        <w:autoSpaceDN w:val="0"/>
        <w:adjustRightInd w:val="0"/>
        <w:spacing w:after="0" w:line="240" w:lineRule="auto"/>
        <w:jc w:val="both"/>
        <w:rPr>
          <w:rFonts w:ascii="Tahoma" w:hAnsi="Tahoma" w:cs="Tahoma"/>
          <w:b/>
          <w:bCs/>
          <w:sz w:val="16"/>
          <w:szCs w:val="16"/>
        </w:rPr>
      </w:pPr>
    </w:p>
    <w:p w14:paraId="6B83F943"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IX. Sankce</w:t>
      </w:r>
    </w:p>
    <w:p w14:paraId="40FE7B6C" w14:textId="7A455C28"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w:t>
      </w:r>
      <w:r w:rsidR="00F30DB1">
        <w:rPr>
          <w:rFonts w:ascii="Tahoma" w:hAnsi="Tahoma" w:cs="Tahoma"/>
          <w:sz w:val="16"/>
          <w:szCs w:val="16"/>
        </w:rPr>
        <w:t xml:space="preserve"> </w:t>
      </w:r>
      <w:r w:rsidRPr="00231BC6">
        <w:rPr>
          <w:rFonts w:ascii="Tahoma" w:hAnsi="Tahoma" w:cs="Tahoma"/>
          <w:sz w:val="16"/>
          <w:szCs w:val="16"/>
        </w:rPr>
        <w:t>%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7E964330" w:rsidR="00336488" w:rsidRPr="006E7D78" w:rsidRDefault="00336488" w:rsidP="00053902">
      <w:pPr>
        <w:pStyle w:val="Odstavecseseznamem"/>
        <w:numPr>
          <w:ilvl w:val="0"/>
          <w:numId w:val="14"/>
        </w:numPr>
        <w:ind w:left="357" w:hanging="357"/>
        <w:jc w:val="both"/>
        <w:rPr>
          <w:rFonts w:ascii="Tahoma" w:hAnsi="Tahoma" w:cs="Tahoma"/>
          <w:sz w:val="16"/>
          <w:szCs w:val="16"/>
        </w:rPr>
      </w:pPr>
      <w:r w:rsidRPr="006E7D78">
        <w:rPr>
          <w:rFonts w:ascii="Tahoma" w:hAnsi="Tahoma" w:cs="Tahoma"/>
          <w:sz w:val="16"/>
          <w:szCs w:val="16"/>
        </w:rPr>
        <w:t>V případě nedodržení termínu výměny zboží při reklamaci vad je kupující oprávněn požadovat zaplacení jednorázové smluvní pokuty ve výši 1.000</w:t>
      </w:r>
      <w:r w:rsidR="00F30DB1">
        <w:rPr>
          <w:rFonts w:ascii="Tahoma" w:hAnsi="Tahoma" w:cs="Tahoma"/>
          <w:sz w:val="16"/>
          <w:szCs w:val="16"/>
        </w:rPr>
        <w:t xml:space="preserve"> </w:t>
      </w:r>
      <w:r w:rsidRPr="006E7D78">
        <w:rPr>
          <w:rFonts w:ascii="Tahoma" w:hAnsi="Tahoma" w:cs="Tahoma"/>
          <w:sz w:val="16"/>
          <w:szCs w:val="16"/>
        </w:rPr>
        <w:t>Kč. V případě prodlení s dodáním zboží (např. při dodání jiného zboží než vysoutěženého bez souhlasu kupujícího, jiného množství než objednaného, nedodržení termínu dodání zboží) je kupující oprávněn požadovat zaplacení jednorázové smluvní pokuty ve výši 1.000</w:t>
      </w:r>
      <w:r w:rsidR="00F30DB1">
        <w:rPr>
          <w:rFonts w:ascii="Tahoma" w:hAnsi="Tahoma" w:cs="Tahoma"/>
          <w:sz w:val="16"/>
          <w:szCs w:val="16"/>
        </w:rPr>
        <w:t xml:space="preserve"> </w:t>
      </w:r>
      <w:r w:rsidRPr="006E7D78">
        <w:rPr>
          <w:rFonts w:ascii="Tahoma" w:hAnsi="Tahoma" w:cs="Tahoma"/>
          <w:sz w:val="16"/>
          <w:szCs w:val="16"/>
        </w:rPr>
        <w:t>Kč za první započatý den prodlení, a dále zaplacení smluvní pokuty ve výši 0,</w:t>
      </w:r>
      <w:r w:rsidR="00525050">
        <w:rPr>
          <w:rFonts w:ascii="Tahoma" w:hAnsi="Tahoma" w:cs="Tahoma"/>
          <w:sz w:val="16"/>
          <w:szCs w:val="16"/>
        </w:rPr>
        <w:t>0</w:t>
      </w:r>
      <w:r w:rsidRPr="006E7D78">
        <w:rPr>
          <w:rFonts w:ascii="Tahoma" w:hAnsi="Tahoma" w:cs="Tahoma"/>
          <w:sz w:val="16"/>
          <w:szCs w:val="16"/>
        </w:rPr>
        <w:t>5</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 xml:space="preserve">za každý následující započatý den prodlení s dodáním zboží. </w:t>
      </w:r>
    </w:p>
    <w:p w14:paraId="6C5F7476" w14:textId="206FCA92"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dodávkou řádně objednaného zboží z důvodů stahování zboží z trhu na základě rozhodnutí SÚKL (doložené příslušným rozhodnutím SÚKL), </w:t>
      </w:r>
      <w:bookmarkStart w:id="2" w:name="_Hlk155947448"/>
      <w:r w:rsidR="00386545">
        <w:rPr>
          <w:rFonts w:ascii="Tahoma" w:hAnsi="Tahoma" w:cs="Tahoma"/>
          <w:sz w:val="16"/>
          <w:szCs w:val="16"/>
        </w:rPr>
        <w:t xml:space="preserve">nebo pokud bylo zboží/léčivý přípravek </w:t>
      </w:r>
      <w:r w:rsidR="009626A5">
        <w:rPr>
          <w:rFonts w:ascii="Tahoma" w:hAnsi="Tahoma" w:cs="Tahoma"/>
          <w:sz w:val="16"/>
          <w:szCs w:val="16"/>
        </w:rPr>
        <w:t xml:space="preserve">Ministerstvem zdravotnictví zařazeno/zařazen do tzv. systému rezervních </w:t>
      </w:r>
      <w:r w:rsidR="00387104">
        <w:rPr>
          <w:rFonts w:ascii="Tahoma" w:hAnsi="Tahoma" w:cs="Tahoma"/>
          <w:sz w:val="16"/>
          <w:szCs w:val="16"/>
        </w:rPr>
        <w:t>zásob</w:t>
      </w:r>
      <w:r w:rsidR="002C1368">
        <w:rPr>
          <w:rFonts w:ascii="Tahoma" w:hAnsi="Tahoma" w:cs="Tahoma"/>
          <w:sz w:val="16"/>
          <w:szCs w:val="16"/>
        </w:rPr>
        <w:t>,</w:t>
      </w:r>
      <w:bookmarkEnd w:id="2"/>
      <w:r w:rsidR="002C1368">
        <w:rPr>
          <w:rFonts w:ascii="Tahoma" w:hAnsi="Tahoma" w:cs="Tahoma"/>
          <w:sz w:val="16"/>
          <w:szCs w:val="16"/>
        </w:rPr>
        <w:t xml:space="preserve"> </w:t>
      </w:r>
      <w:r w:rsidRPr="00231BC6">
        <w:rPr>
          <w:rFonts w:ascii="Tahoma" w:hAnsi="Tahoma" w:cs="Tahoma"/>
          <w:sz w:val="16"/>
          <w:szCs w:val="16"/>
        </w:rPr>
        <w:t>nevznikne kupujícímu v těchto případech nárok na úhradu smluvní pokuty dle odstavce 2</w:t>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06BA0D23"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uvní pokutu ve výši 100.000 Kč, kterou je prodávající povinen uhradit kupujícímu.</w:t>
      </w:r>
      <w:r w:rsidR="009266C8" w:rsidRPr="00231BC6">
        <w:rPr>
          <w:rFonts w:ascii="Tahoma" w:hAnsi="Tahoma" w:cs="Tahoma"/>
          <w:sz w:val="16"/>
          <w:szCs w:val="16"/>
        </w:rPr>
        <w:t xml:space="preserve"> </w:t>
      </w:r>
    </w:p>
    <w:p w14:paraId="4B5A5DE6" w14:textId="77777777"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5CF61650" w14:textId="7161ADED" w:rsidR="00C655CE" w:rsidRPr="00231BC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Pr="00231BC6" w:rsidRDefault="00CD2A4B" w:rsidP="00CD2A4B">
      <w:pPr>
        <w:pStyle w:val="Odstavecseseznamem"/>
        <w:ind w:left="357"/>
        <w:jc w:val="both"/>
        <w:rPr>
          <w:rFonts w:ascii="Tahoma" w:hAnsi="Tahoma" w:cs="Tahoma"/>
          <w:sz w:val="16"/>
          <w:szCs w:val="16"/>
        </w:rPr>
      </w:pPr>
    </w:p>
    <w:p w14:paraId="38B3707D"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X. 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321BF1B2" w14:textId="56CC7BD9" w:rsidR="00047474" w:rsidRPr="00231BC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409CC15F" w14:textId="7DF0B22A"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Pr="00231BC6" w:rsidRDefault="00CD2A4B" w:rsidP="00CD2A4B">
      <w:pPr>
        <w:autoSpaceDE w:val="0"/>
        <w:autoSpaceDN w:val="0"/>
        <w:adjustRightInd w:val="0"/>
        <w:spacing w:after="0" w:line="240" w:lineRule="auto"/>
        <w:ind w:left="360"/>
        <w:jc w:val="both"/>
        <w:rPr>
          <w:rFonts w:ascii="Tahoma" w:hAnsi="Tahoma" w:cs="Tahoma"/>
          <w:b/>
          <w:bCs/>
          <w:sz w:val="16"/>
          <w:szCs w:val="16"/>
        </w:rPr>
      </w:pPr>
    </w:p>
    <w:p w14:paraId="54CA8683" w14:textId="4F2CCC21"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XI. Ostatní ujednání</w:t>
      </w:r>
    </w:p>
    <w:p w14:paraId="5F2DEC98" w14:textId="5553A42E" w:rsidR="008D6055" w:rsidRPr="00231BC6" w:rsidRDefault="008D6055" w:rsidP="008D6055">
      <w:pPr>
        <w:numPr>
          <w:ilvl w:val="0"/>
          <w:numId w:val="11"/>
        </w:numPr>
        <w:spacing w:after="0" w:line="240" w:lineRule="auto"/>
        <w:jc w:val="both"/>
        <w:rPr>
          <w:rFonts w:ascii="Tahoma" w:hAnsi="Tahoma" w:cs="Tahoma"/>
          <w:sz w:val="16"/>
          <w:szCs w:val="16"/>
        </w:rPr>
      </w:pPr>
      <w:bookmarkStart w:id="3" w:name="_Hlk2688581"/>
      <w:r w:rsidRPr="00231BC6">
        <w:rPr>
          <w:rFonts w:ascii="Tahoma" w:hAnsi="Tahoma" w:cs="Tahoma"/>
          <w:sz w:val="16"/>
          <w:szCs w:val="16"/>
        </w:rPr>
        <w:t>Prodávající bere na vědomí, že kupující je při naplnění podmínek stanovených v § 219 odst. 1 z. č. 134/2016 Sb.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3"/>
    <w:p w14:paraId="593A1CD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49F3526C"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lastRenderedPageBreak/>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Pr="00231BC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B4297D" w:rsidRDefault="00C655CE" w:rsidP="00C655CE">
      <w:pPr>
        <w:autoSpaceDE w:val="0"/>
        <w:autoSpaceDN w:val="0"/>
        <w:adjustRightInd w:val="0"/>
        <w:jc w:val="center"/>
        <w:rPr>
          <w:rFonts w:ascii="Tahoma" w:hAnsi="Tahoma" w:cs="Tahoma"/>
          <w:b/>
          <w:bCs/>
          <w:sz w:val="16"/>
          <w:szCs w:val="16"/>
        </w:rPr>
      </w:pPr>
      <w:r w:rsidRPr="00B4297D">
        <w:rPr>
          <w:rFonts w:ascii="Tahoma" w:hAnsi="Tahoma" w:cs="Tahoma"/>
          <w:b/>
          <w:bCs/>
          <w:sz w:val="16"/>
          <w:szCs w:val="16"/>
        </w:rPr>
        <w:t>XII. Závěrečná ustanovení</w:t>
      </w:r>
    </w:p>
    <w:p w14:paraId="4BAF89D7" w14:textId="1D1BC9ED" w:rsidR="00C655CE" w:rsidRPr="00B4297D"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B4297D">
        <w:rPr>
          <w:rFonts w:ascii="Tahoma" w:hAnsi="Tahoma" w:cs="Tahoma"/>
          <w:sz w:val="16"/>
          <w:szCs w:val="16"/>
        </w:rPr>
        <w:t>Smlouva se uzavírá na</w:t>
      </w:r>
      <w:r w:rsidR="00FD0570" w:rsidRPr="00B4297D">
        <w:rPr>
          <w:rFonts w:ascii="Tahoma" w:hAnsi="Tahoma" w:cs="Tahoma"/>
          <w:sz w:val="16"/>
          <w:szCs w:val="16"/>
        </w:rPr>
        <w:t xml:space="preserve"> </w:t>
      </w:r>
      <w:r w:rsidR="00E5300C" w:rsidRPr="00AE67C2">
        <w:rPr>
          <w:rFonts w:ascii="Tahoma" w:hAnsi="Tahoma" w:cs="Tahoma"/>
          <w:b/>
          <w:bCs/>
          <w:sz w:val="16"/>
          <w:szCs w:val="16"/>
        </w:rPr>
        <w:t>2</w:t>
      </w:r>
      <w:r w:rsidR="00FD0570" w:rsidRPr="00AE67C2">
        <w:rPr>
          <w:rFonts w:ascii="Tahoma" w:hAnsi="Tahoma" w:cs="Tahoma"/>
          <w:b/>
          <w:bCs/>
          <w:sz w:val="16"/>
          <w:szCs w:val="16"/>
        </w:rPr>
        <w:t xml:space="preserve"> roky.</w:t>
      </w:r>
    </w:p>
    <w:p w14:paraId="2847EBA0" w14:textId="4AC30BB8"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B4297D">
        <w:rPr>
          <w:rFonts w:ascii="Tahoma" w:hAnsi="Tahoma" w:cs="Tahoma"/>
          <w:sz w:val="16"/>
          <w:szCs w:val="16"/>
        </w:rPr>
        <w:t xml:space="preserve">Smlouvu lze ukončit písemnou dohodou nebo výpovědí kterékoliv strany, a to i bez udání důvodu s jednoměsíční výpovědní lhůtou, která počíná běžet prvním dnem </w:t>
      </w:r>
      <w:r w:rsidR="00CF34DC" w:rsidRPr="00B4297D">
        <w:rPr>
          <w:rFonts w:ascii="Tahoma" w:hAnsi="Tahoma" w:cs="Tahoma"/>
          <w:sz w:val="16"/>
          <w:szCs w:val="16"/>
        </w:rPr>
        <w:t xml:space="preserve">kalendářního </w:t>
      </w:r>
      <w:r w:rsidRPr="00B4297D">
        <w:rPr>
          <w:rFonts w:ascii="Tahoma" w:hAnsi="Tahoma" w:cs="Tahoma"/>
          <w:sz w:val="16"/>
          <w:szCs w:val="16"/>
        </w:rPr>
        <w:t>měsíce následujícího po doručení písemné výpovědi druhé smluvní straně. Smluvní strany mohou od t</w:t>
      </w:r>
      <w:r w:rsidR="00321418" w:rsidRPr="00B4297D">
        <w:rPr>
          <w:rFonts w:ascii="Tahoma" w:hAnsi="Tahoma" w:cs="Tahoma"/>
          <w:sz w:val="16"/>
          <w:szCs w:val="16"/>
        </w:rPr>
        <w:t xml:space="preserve">éto smlouvy odstoupit v </w:t>
      </w:r>
      <w:r w:rsidRPr="00B4297D">
        <w:rPr>
          <w:rFonts w:ascii="Tahoma" w:hAnsi="Tahoma" w:cs="Tahoma"/>
          <w:sz w:val="16"/>
          <w:szCs w:val="16"/>
        </w:rPr>
        <w:t>případech hrubého porušení smluvních povinností, za které se u</w:t>
      </w:r>
      <w:r w:rsidR="00416BBD" w:rsidRPr="00B4297D">
        <w:rPr>
          <w:rFonts w:ascii="Tahoma" w:hAnsi="Tahoma" w:cs="Tahoma"/>
          <w:sz w:val="16"/>
          <w:szCs w:val="16"/>
        </w:rPr>
        <w:t> </w:t>
      </w:r>
      <w:r w:rsidRPr="00B4297D">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sidRPr="00B4297D">
        <w:rPr>
          <w:rFonts w:ascii="Tahoma" w:hAnsi="Tahoma" w:cs="Tahoma"/>
          <w:sz w:val="16"/>
          <w:szCs w:val="16"/>
        </w:rPr>
        <w:t> </w:t>
      </w:r>
      <w:r w:rsidRPr="00B4297D">
        <w:rPr>
          <w:rFonts w:ascii="Tahoma" w:hAnsi="Tahoma" w:cs="Tahoma"/>
          <w:sz w:val="16"/>
          <w:szCs w:val="16"/>
        </w:rPr>
        <w:t>zaplacením řádně fakturovan</w:t>
      </w:r>
      <w:r w:rsidRPr="00231BC6">
        <w:rPr>
          <w:rFonts w:ascii="Tahoma" w:hAnsi="Tahoma" w:cs="Tahoma"/>
          <w:sz w:val="16"/>
          <w:szCs w:val="16"/>
        </w:rPr>
        <w:t>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6BD2C8BA"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byla vyhotovena ve dvou stejnopisech</w:t>
      </w:r>
      <w:r w:rsidR="004C0370">
        <w:rPr>
          <w:rFonts w:ascii="Tahoma" w:hAnsi="Tahoma" w:cs="Tahoma"/>
          <w:sz w:val="16"/>
          <w:szCs w:val="16"/>
        </w:rPr>
        <w:t xml:space="preserve"> s platností originálu</w:t>
      </w:r>
      <w:r w:rsidRPr="00231BC6">
        <w:rPr>
          <w:rFonts w:ascii="Tahoma" w:hAnsi="Tahoma" w:cs="Tahoma"/>
          <w:sz w:val="16"/>
          <w:szCs w:val="16"/>
        </w:rPr>
        <w:t xml:space="preserve">, přičemž každá ze smluvních stran obdrží jeden výtisk. </w:t>
      </w:r>
    </w:p>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7B0FEC08" w14:textId="77777777" w:rsidR="00C655CE" w:rsidRPr="00231BC6" w:rsidRDefault="00C655CE" w:rsidP="00C655CE">
      <w:pPr>
        <w:ind w:left="360"/>
        <w:rPr>
          <w:rFonts w:ascii="Tahoma" w:hAnsi="Tahoma" w:cs="Tahoma"/>
          <w:sz w:val="16"/>
          <w:szCs w:val="16"/>
        </w:rPr>
      </w:pPr>
    </w:p>
    <w:p w14:paraId="2CDEF9D3" w14:textId="30BB8E61" w:rsidR="00C655CE" w:rsidRPr="00231BC6" w:rsidRDefault="00C655CE" w:rsidP="00C655CE">
      <w:pPr>
        <w:ind w:left="360"/>
        <w:rPr>
          <w:rFonts w:ascii="Tahoma" w:hAnsi="Tahoma" w:cs="Tahoma"/>
          <w:sz w:val="16"/>
          <w:szCs w:val="16"/>
        </w:rPr>
      </w:pPr>
      <w:r w:rsidRPr="00231BC6">
        <w:rPr>
          <w:rFonts w:ascii="Tahoma" w:hAnsi="Tahoma" w:cs="Tahoma"/>
          <w:sz w:val="16"/>
          <w:szCs w:val="16"/>
        </w:rPr>
        <w:t>Příloha č. 1 – Položkový ceník</w:t>
      </w:r>
      <w:r w:rsidR="00401553">
        <w:rPr>
          <w:rFonts w:ascii="Tahoma" w:hAnsi="Tahoma" w:cs="Tahoma"/>
          <w:sz w:val="16"/>
          <w:szCs w:val="16"/>
        </w:rPr>
        <w:t xml:space="preserve"> </w:t>
      </w: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5E1F7BE1"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V</w:t>
      </w:r>
      <w:r w:rsidR="005862A4">
        <w:rPr>
          <w:rFonts w:ascii="Tahoma" w:hAnsi="Tahoma" w:cs="Tahoma"/>
          <w:sz w:val="16"/>
          <w:szCs w:val="16"/>
        </w:rPr>
        <w:t xml:space="preserve"> Brně </w:t>
      </w:r>
      <w:r w:rsidRPr="00231BC6">
        <w:rPr>
          <w:rFonts w:ascii="Tahoma" w:hAnsi="Tahoma" w:cs="Tahoma"/>
          <w:sz w:val="16"/>
          <w:szCs w:val="16"/>
        </w:rPr>
        <w:t xml:space="preserve">dne: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005862A4">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V Praze dne:</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Pr="00231BC6" w:rsidRDefault="00C655CE" w:rsidP="00C655CE">
      <w:pPr>
        <w:autoSpaceDE w:val="0"/>
        <w:autoSpaceDN w:val="0"/>
        <w:adjustRightInd w:val="0"/>
        <w:jc w:val="both"/>
        <w:rPr>
          <w:rFonts w:ascii="Tahoma" w:hAnsi="Tahoma" w:cs="Tahoma"/>
          <w:sz w:val="16"/>
          <w:szCs w:val="16"/>
        </w:rPr>
      </w:pPr>
    </w:p>
    <w:p w14:paraId="45918810" w14:textId="08DCAC48" w:rsidR="00DD2863" w:rsidRPr="00231BC6" w:rsidRDefault="00C655CE" w:rsidP="00DD286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 xml:space="preserve">------------------------------------------                       </w:t>
      </w:r>
      <w:r w:rsidR="001B12F5" w:rsidRPr="00231BC6">
        <w:rPr>
          <w:rFonts w:ascii="Tahoma" w:hAnsi="Tahoma" w:cs="Tahoma"/>
          <w:sz w:val="16"/>
          <w:szCs w:val="16"/>
        </w:rPr>
        <w:t xml:space="preserve"> </w:t>
      </w:r>
      <w:r w:rsidR="005862A4">
        <w:rPr>
          <w:rFonts w:ascii="Tahoma" w:hAnsi="Tahoma" w:cs="Tahoma"/>
          <w:sz w:val="16"/>
          <w:szCs w:val="16"/>
        </w:rPr>
        <w:t>Bc. Petr Med</w:t>
      </w:r>
      <w:r w:rsidR="009C0670">
        <w:rPr>
          <w:rFonts w:ascii="Tahoma" w:hAnsi="Tahoma" w:cs="Tahoma"/>
          <w:sz w:val="16"/>
          <w:szCs w:val="16"/>
        </w:rPr>
        <w:t>řický</w:t>
      </w:r>
      <w:r w:rsidR="004D50AB">
        <w:rPr>
          <w:rFonts w:ascii="Tahoma" w:hAnsi="Tahoma" w:cs="Tahoma"/>
          <w:sz w:val="16"/>
          <w:szCs w:val="16"/>
        </w:rPr>
        <w:tab/>
      </w:r>
      <w:r w:rsidR="001B12F5"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00DD2863" w:rsidRPr="00231BC6">
        <w:rPr>
          <w:rFonts w:ascii="Tahoma" w:hAnsi="Tahoma" w:cs="Tahoma"/>
          <w:sz w:val="16"/>
          <w:szCs w:val="16"/>
        </w:rPr>
        <w:tab/>
      </w:r>
      <w:r w:rsidR="00376517" w:rsidRPr="00231BC6">
        <w:rPr>
          <w:rFonts w:ascii="Tahoma" w:hAnsi="Tahoma" w:cs="Tahoma"/>
          <w:sz w:val="16"/>
          <w:szCs w:val="16"/>
        </w:rPr>
        <w:tab/>
      </w:r>
      <w:r w:rsidR="000B5F26" w:rsidRPr="00231BC6">
        <w:rPr>
          <w:rFonts w:ascii="Tahoma" w:hAnsi="Tahoma" w:cs="Tahoma"/>
          <w:sz w:val="16"/>
          <w:szCs w:val="16"/>
        </w:rPr>
        <w:tab/>
      </w:r>
      <w:r w:rsidR="00CC6C9C" w:rsidRPr="00231BC6">
        <w:rPr>
          <w:rFonts w:ascii="Tahoma" w:hAnsi="Tahoma" w:cs="Tahoma"/>
          <w:sz w:val="16"/>
          <w:szCs w:val="16"/>
        </w:rPr>
        <w:t xml:space="preserve">prof. </w:t>
      </w:r>
      <w:r w:rsidR="00DD2863" w:rsidRPr="00231BC6">
        <w:rPr>
          <w:rFonts w:ascii="Tahoma" w:hAnsi="Tahoma" w:cs="Tahoma"/>
          <w:sz w:val="16"/>
          <w:szCs w:val="16"/>
        </w:rPr>
        <w:t xml:space="preserve">MUDr. </w:t>
      </w:r>
      <w:r w:rsidR="00CC6C9C" w:rsidRPr="00231BC6">
        <w:rPr>
          <w:rFonts w:ascii="Tahoma" w:hAnsi="Tahoma" w:cs="Tahoma"/>
          <w:sz w:val="16"/>
          <w:szCs w:val="16"/>
        </w:rPr>
        <w:t>David Feltl, Ph.D</w:t>
      </w:r>
      <w:r w:rsidR="00DD2863" w:rsidRPr="00231BC6">
        <w:rPr>
          <w:rFonts w:ascii="Tahoma" w:hAnsi="Tahoma" w:cs="Tahoma"/>
          <w:sz w:val="16"/>
          <w:szCs w:val="16"/>
        </w:rPr>
        <w:t xml:space="preserve">., MBA  </w:t>
      </w:r>
    </w:p>
    <w:p w14:paraId="31D5C736" w14:textId="21205C7E" w:rsidR="00C655CE" w:rsidRPr="00231BC6" w:rsidRDefault="009C0670" w:rsidP="009C0670">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manažer provozně právního oddělení </w:t>
      </w:r>
      <w:r w:rsidR="00376517" w:rsidRPr="00231BC6">
        <w:rPr>
          <w:rFonts w:ascii="Tahoma" w:hAnsi="Tahoma" w:cs="Tahoma"/>
          <w:sz w:val="16"/>
          <w:szCs w:val="16"/>
        </w:rPr>
        <w:t xml:space="preserve"> </w:t>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CC6C9C" w:rsidRPr="00231BC6">
        <w:rPr>
          <w:rFonts w:ascii="Tahoma" w:hAnsi="Tahoma" w:cs="Tahoma"/>
          <w:sz w:val="16"/>
          <w:szCs w:val="16"/>
        </w:rPr>
        <w:t>ředitel</w:t>
      </w:r>
    </w:p>
    <w:p w14:paraId="6F6F37DF" w14:textId="12269789" w:rsidR="00B16C78" w:rsidRPr="00231BC6" w:rsidRDefault="009C0670" w:rsidP="00C655CE">
      <w:pPr>
        <w:rPr>
          <w:rFonts w:ascii="Tahoma" w:hAnsi="Tahoma" w:cs="Tahoma"/>
          <w:sz w:val="16"/>
          <w:szCs w:val="16"/>
        </w:rPr>
      </w:pPr>
      <w:r>
        <w:rPr>
          <w:rFonts w:ascii="Tahoma" w:hAnsi="Tahoma" w:cs="Tahoma"/>
          <w:sz w:val="16"/>
          <w:szCs w:val="16"/>
        </w:rPr>
        <w:t xml:space="preserve">na základě plné moci </w:t>
      </w:r>
    </w:p>
    <w:p w14:paraId="735212D9" w14:textId="77777777" w:rsidR="000B5F26" w:rsidRPr="00231BC6" w:rsidRDefault="000B5F26" w:rsidP="00C655CE">
      <w:pPr>
        <w:rPr>
          <w:rFonts w:ascii="Tahoma" w:hAnsi="Tahoma" w:cs="Tahoma"/>
          <w:sz w:val="16"/>
          <w:szCs w:val="16"/>
        </w:rPr>
      </w:pPr>
    </w:p>
    <w:p w14:paraId="7F76B81B" w14:textId="0881E73D" w:rsidR="00B16C78" w:rsidRPr="00231BC6" w:rsidRDefault="00B16C78" w:rsidP="00C655CE">
      <w:pPr>
        <w:rPr>
          <w:rFonts w:ascii="Tahoma" w:hAnsi="Tahoma" w:cs="Tahoma"/>
          <w:sz w:val="16"/>
          <w:szCs w:val="16"/>
        </w:rPr>
      </w:pPr>
    </w:p>
    <w:p w14:paraId="77B0544E" w14:textId="47C50F7B" w:rsidR="00B16C78" w:rsidRDefault="00B16C78" w:rsidP="00C655CE">
      <w:pPr>
        <w:rPr>
          <w:rFonts w:ascii="Tahoma" w:hAnsi="Tahoma" w:cs="Tahoma"/>
          <w:sz w:val="16"/>
          <w:szCs w:val="16"/>
        </w:rPr>
      </w:pPr>
    </w:p>
    <w:p w14:paraId="5D037AFA" w14:textId="77777777" w:rsidR="00F57786" w:rsidRDefault="00F57786" w:rsidP="00C655CE">
      <w:pPr>
        <w:rPr>
          <w:rFonts w:ascii="Tahoma" w:hAnsi="Tahoma" w:cs="Tahoma"/>
          <w:sz w:val="16"/>
          <w:szCs w:val="16"/>
        </w:rPr>
      </w:pPr>
    </w:p>
    <w:p w14:paraId="569FE021" w14:textId="77777777" w:rsidR="00F57786" w:rsidRDefault="00F57786" w:rsidP="00C655CE">
      <w:pPr>
        <w:rPr>
          <w:rFonts w:ascii="Tahoma" w:hAnsi="Tahoma" w:cs="Tahoma"/>
          <w:sz w:val="16"/>
          <w:szCs w:val="16"/>
        </w:rPr>
      </w:pPr>
    </w:p>
    <w:p w14:paraId="033B3E1B" w14:textId="77777777" w:rsidR="00F57786" w:rsidRDefault="00F57786" w:rsidP="00C655CE">
      <w:pPr>
        <w:rPr>
          <w:rFonts w:ascii="Tahoma" w:hAnsi="Tahoma" w:cs="Tahoma"/>
          <w:sz w:val="16"/>
          <w:szCs w:val="16"/>
        </w:rPr>
      </w:pPr>
    </w:p>
    <w:p w14:paraId="03E90E09" w14:textId="77777777" w:rsidR="00F57786" w:rsidRDefault="00F57786" w:rsidP="00C655CE">
      <w:pPr>
        <w:rPr>
          <w:rFonts w:ascii="Tahoma" w:hAnsi="Tahoma" w:cs="Tahoma"/>
          <w:sz w:val="16"/>
          <w:szCs w:val="16"/>
        </w:rPr>
      </w:pPr>
    </w:p>
    <w:p w14:paraId="28BF4F9E" w14:textId="77777777" w:rsidR="00F57786" w:rsidRDefault="00F57786" w:rsidP="00C655CE">
      <w:pPr>
        <w:rPr>
          <w:rFonts w:ascii="Tahoma" w:hAnsi="Tahoma" w:cs="Tahoma"/>
          <w:sz w:val="16"/>
          <w:szCs w:val="16"/>
        </w:rPr>
      </w:pPr>
    </w:p>
    <w:p w14:paraId="2EA9DB28" w14:textId="77777777" w:rsidR="00974F1C" w:rsidRDefault="00974F1C" w:rsidP="00C655CE">
      <w:pPr>
        <w:rPr>
          <w:rFonts w:ascii="Tahoma" w:hAnsi="Tahoma" w:cs="Tahoma"/>
          <w:sz w:val="16"/>
          <w:szCs w:val="16"/>
        </w:rPr>
      </w:pPr>
    </w:p>
    <w:p w14:paraId="2C3D771E" w14:textId="77777777" w:rsidR="00974F1C" w:rsidRDefault="00974F1C" w:rsidP="00C655CE">
      <w:pPr>
        <w:rPr>
          <w:rFonts w:ascii="Tahoma" w:hAnsi="Tahoma" w:cs="Tahoma"/>
          <w:sz w:val="16"/>
          <w:szCs w:val="16"/>
        </w:rPr>
      </w:pPr>
    </w:p>
    <w:p w14:paraId="485D25E5" w14:textId="45496892" w:rsidR="00F57786" w:rsidRDefault="00EB3B33" w:rsidP="00C655CE">
      <w:pPr>
        <w:rPr>
          <w:rFonts w:ascii="Tahoma" w:hAnsi="Tahoma" w:cs="Tahoma"/>
          <w:sz w:val="16"/>
          <w:szCs w:val="16"/>
        </w:rPr>
      </w:pPr>
      <w:r>
        <w:rPr>
          <w:rFonts w:ascii="Tahoma" w:hAnsi="Tahoma" w:cs="Tahoma"/>
          <w:sz w:val="16"/>
          <w:szCs w:val="16"/>
        </w:rPr>
        <w:lastRenderedPageBreak/>
        <w:t xml:space="preserve">Příloha č. </w:t>
      </w:r>
      <w:r w:rsidR="00EA642C">
        <w:rPr>
          <w:rFonts w:ascii="Tahoma" w:hAnsi="Tahoma" w:cs="Tahoma"/>
          <w:sz w:val="16"/>
          <w:szCs w:val="16"/>
        </w:rPr>
        <w:t>1 Položkový ceník</w:t>
      </w:r>
    </w:p>
    <w:p w14:paraId="75307189" w14:textId="77777777" w:rsidR="00F57786" w:rsidRDefault="00F57786" w:rsidP="00C655CE">
      <w:pPr>
        <w:rPr>
          <w:rFonts w:ascii="Tahoma" w:hAnsi="Tahoma" w:cs="Tahoma"/>
          <w:sz w:val="16"/>
          <w:szCs w:val="16"/>
        </w:rPr>
      </w:pPr>
    </w:p>
    <w:tbl>
      <w:tblPr>
        <w:tblStyle w:val="Mkatabulky"/>
        <w:tblW w:w="9209" w:type="dxa"/>
        <w:tblLook w:val="04A0" w:firstRow="1" w:lastRow="0" w:firstColumn="1" w:lastColumn="0" w:noHBand="0" w:noVBand="1"/>
      </w:tblPr>
      <w:tblGrid>
        <w:gridCol w:w="953"/>
        <w:gridCol w:w="3327"/>
        <w:gridCol w:w="766"/>
        <w:gridCol w:w="1117"/>
        <w:gridCol w:w="1916"/>
        <w:gridCol w:w="1130"/>
      </w:tblGrid>
      <w:tr w:rsidR="00EB3B33" w:rsidRPr="00EB3B33" w14:paraId="52CEFE6F" w14:textId="77777777" w:rsidTr="0049101B">
        <w:trPr>
          <w:trHeight w:val="315"/>
        </w:trPr>
        <w:tc>
          <w:tcPr>
            <w:tcW w:w="953" w:type="dxa"/>
            <w:hideMark/>
          </w:tcPr>
          <w:p w14:paraId="44251688" w14:textId="77777777" w:rsidR="00EB3B33" w:rsidRPr="00EB3B33" w:rsidRDefault="00EB3B33" w:rsidP="00EB3B33">
            <w:pPr>
              <w:rPr>
                <w:rFonts w:ascii="Tahoma" w:hAnsi="Tahoma" w:cs="Tahoma"/>
                <w:sz w:val="16"/>
                <w:szCs w:val="16"/>
              </w:rPr>
            </w:pPr>
            <w:r w:rsidRPr="00EB3B33">
              <w:rPr>
                <w:rFonts w:ascii="Tahoma" w:hAnsi="Tahoma" w:cs="Tahoma"/>
                <w:sz w:val="16"/>
                <w:szCs w:val="16"/>
              </w:rPr>
              <w:t>ATC</w:t>
            </w:r>
          </w:p>
        </w:tc>
        <w:tc>
          <w:tcPr>
            <w:tcW w:w="3327" w:type="dxa"/>
            <w:hideMark/>
          </w:tcPr>
          <w:p w14:paraId="5DDE3127" w14:textId="77777777" w:rsidR="00EB3B33" w:rsidRPr="00EB3B33" w:rsidRDefault="00EB3B33" w:rsidP="00EB3B33">
            <w:pPr>
              <w:rPr>
                <w:rFonts w:ascii="Tahoma" w:hAnsi="Tahoma" w:cs="Tahoma"/>
                <w:sz w:val="16"/>
                <w:szCs w:val="16"/>
              </w:rPr>
            </w:pPr>
            <w:r w:rsidRPr="00EB3B33">
              <w:rPr>
                <w:rFonts w:ascii="Tahoma" w:hAnsi="Tahoma" w:cs="Tahoma"/>
                <w:sz w:val="16"/>
                <w:szCs w:val="16"/>
              </w:rPr>
              <w:t>Název</w:t>
            </w:r>
          </w:p>
        </w:tc>
        <w:tc>
          <w:tcPr>
            <w:tcW w:w="766" w:type="dxa"/>
            <w:hideMark/>
          </w:tcPr>
          <w:p w14:paraId="30108587" w14:textId="77777777" w:rsidR="00EB3B33" w:rsidRPr="00EB3B33" w:rsidRDefault="00EB3B33" w:rsidP="00EB3B33">
            <w:pPr>
              <w:rPr>
                <w:rFonts w:ascii="Tahoma" w:hAnsi="Tahoma" w:cs="Tahoma"/>
                <w:sz w:val="16"/>
                <w:szCs w:val="16"/>
              </w:rPr>
            </w:pPr>
            <w:r w:rsidRPr="00EB3B33">
              <w:rPr>
                <w:rFonts w:ascii="Tahoma" w:hAnsi="Tahoma" w:cs="Tahoma"/>
                <w:sz w:val="16"/>
                <w:szCs w:val="16"/>
              </w:rPr>
              <w:t>SÚKL kód</w:t>
            </w:r>
          </w:p>
        </w:tc>
        <w:tc>
          <w:tcPr>
            <w:tcW w:w="1117" w:type="dxa"/>
            <w:hideMark/>
          </w:tcPr>
          <w:p w14:paraId="04DF5627" w14:textId="77777777" w:rsidR="00EB3B33" w:rsidRPr="00EB3B33" w:rsidRDefault="00EB3B33" w:rsidP="00EB3B33">
            <w:pPr>
              <w:rPr>
                <w:rFonts w:ascii="Tahoma" w:hAnsi="Tahoma" w:cs="Tahoma"/>
                <w:sz w:val="16"/>
                <w:szCs w:val="16"/>
              </w:rPr>
            </w:pPr>
            <w:r w:rsidRPr="00EB3B33">
              <w:rPr>
                <w:rFonts w:ascii="Tahoma" w:hAnsi="Tahoma" w:cs="Tahoma"/>
                <w:sz w:val="16"/>
                <w:szCs w:val="16"/>
              </w:rPr>
              <w:t>Velikost balení</w:t>
            </w:r>
          </w:p>
        </w:tc>
        <w:tc>
          <w:tcPr>
            <w:tcW w:w="1916" w:type="dxa"/>
            <w:hideMark/>
          </w:tcPr>
          <w:p w14:paraId="06F8BBF0" w14:textId="77777777" w:rsidR="00EB3B33" w:rsidRPr="00EB3B33" w:rsidRDefault="00EB3B33" w:rsidP="00EB3B33">
            <w:pPr>
              <w:rPr>
                <w:rFonts w:ascii="Tahoma" w:hAnsi="Tahoma" w:cs="Tahoma"/>
                <w:sz w:val="16"/>
                <w:szCs w:val="16"/>
              </w:rPr>
            </w:pPr>
            <w:r w:rsidRPr="00EB3B33">
              <w:rPr>
                <w:rFonts w:ascii="Tahoma" w:hAnsi="Tahoma" w:cs="Tahoma"/>
                <w:sz w:val="16"/>
                <w:szCs w:val="16"/>
              </w:rPr>
              <w:t>Cena v Kč bez DPH/bal.</w:t>
            </w:r>
          </w:p>
        </w:tc>
        <w:tc>
          <w:tcPr>
            <w:tcW w:w="1130" w:type="dxa"/>
            <w:hideMark/>
          </w:tcPr>
          <w:p w14:paraId="0F4E8848" w14:textId="77777777" w:rsidR="00EB3B33" w:rsidRPr="00EB3B33" w:rsidRDefault="00EB3B33" w:rsidP="00EB3B33">
            <w:pPr>
              <w:rPr>
                <w:rFonts w:ascii="Tahoma" w:hAnsi="Tahoma" w:cs="Tahoma"/>
                <w:sz w:val="16"/>
                <w:szCs w:val="16"/>
              </w:rPr>
            </w:pPr>
            <w:r w:rsidRPr="00EB3B33">
              <w:rPr>
                <w:rFonts w:ascii="Tahoma" w:hAnsi="Tahoma" w:cs="Tahoma"/>
                <w:sz w:val="16"/>
                <w:szCs w:val="16"/>
              </w:rPr>
              <w:t>sazba DPH</w:t>
            </w:r>
          </w:p>
        </w:tc>
      </w:tr>
      <w:tr w:rsidR="00EB3B33" w:rsidRPr="00EB3B33" w14:paraId="4E0A973E" w14:textId="77777777" w:rsidTr="0049101B">
        <w:trPr>
          <w:trHeight w:val="315"/>
        </w:trPr>
        <w:tc>
          <w:tcPr>
            <w:tcW w:w="953" w:type="dxa"/>
            <w:noWrap/>
            <w:hideMark/>
          </w:tcPr>
          <w:p w14:paraId="6A03BEB7" w14:textId="77777777" w:rsidR="00EB3B33" w:rsidRPr="00EB3B33" w:rsidRDefault="00EB3B33">
            <w:pPr>
              <w:rPr>
                <w:rFonts w:ascii="Tahoma" w:hAnsi="Tahoma" w:cs="Tahoma"/>
                <w:b/>
                <w:bCs/>
                <w:sz w:val="16"/>
                <w:szCs w:val="16"/>
              </w:rPr>
            </w:pPr>
            <w:r w:rsidRPr="00EB3B33">
              <w:rPr>
                <w:rFonts w:ascii="Tahoma" w:hAnsi="Tahoma" w:cs="Tahoma"/>
                <w:b/>
                <w:bCs/>
                <w:sz w:val="16"/>
                <w:szCs w:val="16"/>
              </w:rPr>
              <w:t>A16AX18</w:t>
            </w:r>
          </w:p>
        </w:tc>
        <w:tc>
          <w:tcPr>
            <w:tcW w:w="3327" w:type="dxa"/>
            <w:noWrap/>
            <w:hideMark/>
          </w:tcPr>
          <w:p w14:paraId="2CB85CE1" w14:textId="77777777" w:rsidR="00EB3B33" w:rsidRPr="00EB3B33" w:rsidRDefault="00EB3B33">
            <w:pPr>
              <w:rPr>
                <w:rFonts w:ascii="Tahoma" w:hAnsi="Tahoma" w:cs="Tahoma"/>
                <w:b/>
                <w:bCs/>
                <w:sz w:val="16"/>
                <w:szCs w:val="16"/>
              </w:rPr>
            </w:pPr>
            <w:r w:rsidRPr="00EB3B33">
              <w:rPr>
                <w:rFonts w:ascii="Tahoma" w:hAnsi="Tahoma" w:cs="Tahoma"/>
                <w:b/>
                <w:bCs/>
                <w:sz w:val="16"/>
                <w:szCs w:val="16"/>
              </w:rPr>
              <w:t>OXLUMO 94,5MG/0,5ML INJ SOL 1X0,5ML</w:t>
            </w:r>
          </w:p>
        </w:tc>
        <w:tc>
          <w:tcPr>
            <w:tcW w:w="766" w:type="dxa"/>
            <w:noWrap/>
            <w:hideMark/>
          </w:tcPr>
          <w:p w14:paraId="37CFFAE1" w14:textId="77777777" w:rsidR="00EB3B33" w:rsidRPr="00EB3B33" w:rsidRDefault="00EB3B33" w:rsidP="00EB3B33">
            <w:pPr>
              <w:rPr>
                <w:rFonts w:ascii="Tahoma" w:hAnsi="Tahoma" w:cs="Tahoma"/>
                <w:sz w:val="16"/>
                <w:szCs w:val="16"/>
              </w:rPr>
            </w:pPr>
            <w:r w:rsidRPr="00EB3B33">
              <w:rPr>
                <w:rFonts w:ascii="Tahoma" w:hAnsi="Tahoma" w:cs="Tahoma"/>
                <w:sz w:val="16"/>
                <w:szCs w:val="16"/>
              </w:rPr>
              <w:t>250225</w:t>
            </w:r>
          </w:p>
        </w:tc>
        <w:tc>
          <w:tcPr>
            <w:tcW w:w="1117" w:type="dxa"/>
            <w:noWrap/>
            <w:hideMark/>
          </w:tcPr>
          <w:p w14:paraId="40D86D18" w14:textId="77777777" w:rsidR="00EB3B33" w:rsidRPr="00EB3B33" w:rsidRDefault="00EB3B33">
            <w:pPr>
              <w:rPr>
                <w:rFonts w:ascii="Tahoma" w:hAnsi="Tahoma" w:cs="Tahoma"/>
                <w:sz w:val="16"/>
                <w:szCs w:val="16"/>
              </w:rPr>
            </w:pPr>
            <w:r w:rsidRPr="00EB3B33">
              <w:rPr>
                <w:rFonts w:ascii="Tahoma" w:hAnsi="Tahoma" w:cs="Tahoma"/>
                <w:sz w:val="16"/>
                <w:szCs w:val="16"/>
              </w:rPr>
              <w:t>1X0,5ML</w:t>
            </w:r>
          </w:p>
        </w:tc>
        <w:tc>
          <w:tcPr>
            <w:tcW w:w="1916" w:type="dxa"/>
            <w:noWrap/>
            <w:hideMark/>
          </w:tcPr>
          <w:p w14:paraId="49DE0603" w14:textId="4756C7F8" w:rsidR="00EB3B33" w:rsidRPr="00EB3B33" w:rsidRDefault="00974F1C" w:rsidP="00EB3B33">
            <w:pPr>
              <w:rPr>
                <w:rFonts w:ascii="Tahoma" w:hAnsi="Tahoma" w:cs="Tahoma"/>
                <w:sz w:val="16"/>
                <w:szCs w:val="16"/>
              </w:rPr>
            </w:pPr>
            <w:r>
              <w:rPr>
                <w:rFonts w:ascii="Tahoma" w:hAnsi="Tahoma" w:cs="Tahoma"/>
                <w:sz w:val="16"/>
                <w:szCs w:val="16"/>
              </w:rPr>
              <w:t>xxxxx</w:t>
            </w:r>
          </w:p>
        </w:tc>
        <w:tc>
          <w:tcPr>
            <w:tcW w:w="1130" w:type="dxa"/>
            <w:noWrap/>
            <w:hideMark/>
          </w:tcPr>
          <w:p w14:paraId="65998830" w14:textId="60DC0DC9" w:rsidR="00EB3B33" w:rsidRPr="00EB3B33" w:rsidRDefault="00EA642C" w:rsidP="00EB3B33">
            <w:pPr>
              <w:rPr>
                <w:rFonts w:ascii="Tahoma" w:hAnsi="Tahoma" w:cs="Tahoma"/>
                <w:sz w:val="16"/>
                <w:szCs w:val="16"/>
              </w:rPr>
            </w:pPr>
            <w:r w:rsidRPr="00EB3B33">
              <w:rPr>
                <w:rFonts w:ascii="Tahoma" w:hAnsi="Tahoma" w:cs="Tahoma"/>
                <w:sz w:val="16"/>
                <w:szCs w:val="16"/>
              </w:rPr>
              <w:t>12 %</w:t>
            </w:r>
          </w:p>
        </w:tc>
      </w:tr>
    </w:tbl>
    <w:p w14:paraId="5CD06E90" w14:textId="77777777" w:rsidR="00F57786" w:rsidRDefault="00F57786" w:rsidP="00C655CE">
      <w:pPr>
        <w:rPr>
          <w:rFonts w:ascii="Tahoma" w:hAnsi="Tahoma" w:cs="Tahoma"/>
          <w:sz w:val="16"/>
          <w:szCs w:val="16"/>
        </w:rPr>
      </w:pPr>
    </w:p>
    <w:p w14:paraId="20C6D475" w14:textId="77777777" w:rsidR="00F57786" w:rsidRPr="00231BC6" w:rsidRDefault="00F57786" w:rsidP="00C655CE">
      <w:pPr>
        <w:rPr>
          <w:rFonts w:ascii="Tahoma" w:hAnsi="Tahoma" w:cs="Tahoma"/>
          <w:sz w:val="16"/>
          <w:szCs w:val="16"/>
        </w:rPr>
      </w:pPr>
    </w:p>
    <w:sectPr w:rsidR="00F57786" w:rsidRPr="00231BC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4C02B" w14:textId="77777777" w:rsidR="000B4C58" w:rsidRDefault="000B4C58" w:rsidP="00C655CE">
      <w:pPr>
        <w:spacing w:after="0" w:line="240" w:lineRule="auto"/>
      </w:pPr>
      <w:r>
        <w:separator/>
      </w:r>
    </w:p>
  </w:endnote>
  <w:endnote w:type="continuationSeparator" w:id="0">
    <w:p w14:paraId="7739D892" w14:textId="77777777" w:rsidR="000B4C58" w:rsidRDefault="000B4C58" w:rsidP="00C655CE">
      <w:pPr>
        <w:spacing w:after="0" w:line="240" w:lineRule="auto"/>
      </w:pPr>
      <w:r>
        <w:continuationSeparator/>
      </w:r>
    </w:p>
  </w:endnote>
  <w:endnote w:type="continuationNotice" w:id="1">
    <w:p w14:paraId="19615B6F" w14:textId="77777777" w:rsidR="000B4C58" w:rsidRDefault="000B4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B25C69"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B25C69" w:rsidRDefault="00B25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DB83" w14:textId="77777777" w:rsidR="000B4C58" w:rsidRDefault="000B4C58" w:rsidP="00C655CE">
      <w:pPr>
        <w:spacing w:after="0" w:line="240" w:lineRule="auto"/>
      </w:pPr>
      <w:r>
        <w:separator/>
      </w:r>
    </w:p>
  </w:footnote>
  <w:footnote w:type="continuationSeparator" w:id="0">
    <w:p w14:paraId="6A83075F" w14:textId="77777777" w:rsidR="000B4C58" w:rsidRDefault="000B4C58" w:rsidP="00C655CE">
      <w:pPr>
        <w:spacing w:after="0" w:line="240" w:lineRule="auto"/>
      </w:pPr>
      <w:r>
        <w:continuationSeparator/>
      </w:r>
    </w:p>
  </w:footnote>
  <w:footnote w:type="continuationNotice" w:id="1">
    <w:p w14:paraId="10E7585C" w14:textId="77777777" w:rsidR="000B4C58" w:rsidRDefault="000B4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0FF275E4" w:rsidR="00B25C69" w:rsidRDefault="00D24526" w:rsidP="00182861">
    <w:pPr>
      <w:pStyle w:val="Zhlav"/>
      <w:jc w:val="right"/>
      <w:rPr>
        <w:rFonts w:ascii="Arial" w:hAnsi="Arial" w:cs="Arial"/>
        <w:b/>
        <w:sz w:val="18"/>
        <w:szCs w:val="18"/>
        <w:lang w:val="cs-CZ"/>
      </w:rPr>
    </w:pPr>
    <w:r w:rsidRPr="00B808A0">
      <w:rPr>
        <w:rFonts w:ascii="Arial" w:hAnsi="Arial" w:cs="Arial"/>
        <w:b/>
        <w:sz w:val="18"/>
        <w:szCs w:val="18"/>
        <w:lang w:val="cs-CZ"/>
      </w:rPr>
      <w:t>PO</w:t>
    </w:r>
    <w:r w:rsidR="00105DEF">
      <w:rPr>
        <w:rFonts w:ascii="Arial" w:hAnsi="Arial" w:cs="Arial"/>
        <w:b/>
        <w:sz w:val="18"/>
        <w:szCs w:val="18"/>
        <w:lang w:val="cs-CZ"/>
      </w:rPr>
      <w:t xml:space="preserve"> 323</w:t>
    </w:r>
    <w:r w:rsidRPr="00B808A0">
      <w:rPr>
        <w:rFonts w:ascii="Arial" w:hAnsi="Arial" w:cs="Arial"/>
        <w:b/>
        <w:sz w:val="18"/>
        <w:szCs w:val="18"/>
        <w:lang w:val="cs-CZ"/>
      </w:rPr>
      <w:t>/S/</w:t>
    </w:r>
    <w:r w:rsidR="001105EE" w:rsidRPr="00B808A0">
      <w:rPr>
        <w:rFonts w:ascii="Arial" w:hAnsi="Arial" w:cs="Arial"/>
        <w:b/>
        <w:sz w:val="18"/>
        <w:szCs w:val="18"/>
        <w:lang w:val="cs-CZ"/>
      </w:rPr>
      <w:t>2</w:t>
    </w:r>
    <w:r w:rsidR="00B4297D" w:rsidRPr="00B808A0">
      <w:rPr>
        <w:rFonts w:ascii="Arial" w:hAnsi="Arial" w:cs="Arial"/>
        <w:b/>
        <w:sz w:val="18"/>
        <w:szCs w:val="18"/>
        <w:lang w:val="cs-CZ"/>
      </w:rPr>
      <w:t>4</w:t>
    </w:r>
  </w:p>
  <w:p w14:paraId="2DA45C1C" w14:textId="77777777" w:rsidR="00C515C6" w:rsidRPr="001859F3" w:rsidRDefault="00C515C6" w:rsidP="00182861">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C6064FDE"/>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
  </w:num>
  <w:num w:numId="4">
    <w:abstractNumId w:val="10"/>
  </w:num>
  <w:num w:numId="5">
    <w:abstractNumId w:val="7"/>
  </w:num>
  <w:num w:numId="6">
    <w:abstractNumId w:val="6"/>
  </w:num>
  <w:num w:numId="7">
    <w:abstractNumId w:val="16"/>
  </w:num>
  <w:num w:numId="8">
    <w:abstractNumId w:val="5"/>
  </w:num>
  <w:num w:numId="9">
    <w:abstractNumId w:val="0"/>
  </w:num>
  <w:num w:numId="10">
    <w:abstractNumId w:val="2"/>
  </w:num>
  <w:num w:numId="11">
    <w:abstractNumId w:val="4"/>
  </w:num>
  <w:num w:numId="12">
    <w:abstractNumId w:val="15"/>
  </w:num>
  <w:num w:numId="13">
    <w:abstractNumId w:val="11"/>
  </w:num>
  <w:num w:numId="14">
    <w:abstractNumId w:val="19"/>
  </w:num>
  <w:num w:numId="15">
    <w:abstractNumId w:val="8"/>
  </w:num>
  <w:num w:numId="16">
    <w:abstractNumId w:val="12"/>
  </w:num>
  <w:num w:numId="17">
    <w:abstractNumId w:val="9"/>
  </w:num>
  <w:num w:numId="18">
    <w:abstractNumId w:val="3"/>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DocumentId" w:val="EMEA_DMS!417097505.5"/>
    <w:docVar w:name="DMDocumentLibraryName" w:val="EMEA_DMS"/>
    <w:docVar w:name="DMReference" w:val="417097505-v5\EMEA_DMS"/>
  </w:docVars>
  <w:rsids>
    <w:rsidRoot w:val="00B0075D"/>
    <w:rsid w:val="0002322E"/>
    <w:rsid w:val="00031007"/>
    <w:rsid w:val="000311C5"/>
    <w:rsid w:val="00033DD9"/>
    <w:rsid w:val="0004697C"/>
    <w:rsid w:val="00047474"/>
    <w:rsid w:val="00053902"/>
    <w:rsid w:val="00054B04"/>
    <w:rsid w:val="000713DA"/>
    <w:rsid w:val="00074428"/>
    <w:rsid w:val="00090370"/>
    <w:rsid w:val="000B35D6"/>
    <w:rsid w:val="000B4C58"/>
    <w:rsid w:val="000B5F26"/>
    <w:rsid w:val="000B6286"/>
    <w:rsid w:val="000C0D2D"/>
    <w:rsid w:val="000C624D"/>
    <w:rsid w:val="000E07E8"/>
    <w:rsid w:val="00105DEF"/>
    <w:rsid w:val="001105EE"/>
    <w:rsid w:val="00131EB2"/>
    <w:rsid w:val="00151118"/>
    <w:rsid w:val="00154E6C"/>
    <w:rsid w:val="001577A9"/>
    <w:rsid w:val="00180144"/>
    <w:rsid w:val="001900FC"/>
    <w:rsid w:val="001A4EF8"/>
    <w:rsid w:val="001B12F5"/>
    <w:rsid w:val="001C0913"/>
    <w:rsid w:val="001C0A46"/>
    <w:rsid w:val="001C43CB"/>
    <w:rsid w:val="001F6E7D"/>
    <w:rsid w:val="001F7EDB"/>
    <w:rsid w:val="00202A1F"/>
    <w:rsid w:val="00203BF9"/>
    <w:rsid w:val="00204B5B"/>
    <w:rsid w:val="00214062"/>
    <w:rsid w:val="0022534F"/>
    <w:rsid w:val="00231BC6"/>
    <w:rsid w:val="002444DC"/>
    <w:rsid w:val="0025013E"/>
    <w:rsid w:val="00254292"/>
    <w:rsid w:val="0027187D"/>
    <w:rsid w:val="002838DF"/>
    <w:rsid w:val="0029642C"/>
    <w:rsid w:val="002A09EA"/>
    <w:rsid w:val="002B28B0"/>
    <w:rsid w:val="002C1368"/>
    <w:rsid w:val="002C4067"/>
    <w:rsid w:val="002F5B88"/>
    <w:rsid w:val="002F73CF"/>
    <w:rsid w:val="00321418"/>
    <w:rsid w:val="003276AE"/>
    <w:rsid w:val="00336488"/>
    <w:rsid w:val="003428C7"/>
    <w:rsid w:val="0034502F"/>
    <w:rsid w:val="00345C3C"/>
    <w:rsid w:val="003528FA"/>
    <w:rsid w:val="00352E08"/>
    <w:rsid w:val="00370199"/>
    <w:rsid w:val="00376517"/>
    <w:rsid w:val="00383378"/>
    <w:rsid w:val="00386545"/>
    <w:rsid w:val="00387104"/>
    <w:rsid w:val="00392E75"/>
    <w:rsid w:val="003A04EB"/>
    <w:rsid w:val="003A2EAA"/>
    <w:rsid w:val="003A5716"/>
    <w:rsid w:val="003C572B"/>
    <w:rsid w:val="003D3561"/>
    <w:rsid w:val="003D4172"/>
    <w:rsid w:val="003F3078"/>
    <w:rsid w:val="003F4A22"/>
    <w:rsid w:val="003F4F36"/>
    <w:rsid w:val="003F565D"/>
    <w:rsid w:val="00401553"/>
    <w:rsid w:val="0040174C"/>
    <w:rsid w:val="00401DD3"/>
    <w:rsid w:val="00412034"/>
    <w:rsid w:val="0041234D"/>
    <w:rsid w:val="00412722"/>
    <w:rsid w:val="00412B39"/>
    <w:rsid w:val="00416BBD"/>
    <w:rsid w:val="00422DEC"/>
    <w:rsid w:val="004236F3"/>
    <w:rsid w:val="00440B2E"/>
    <w:rsid w:val="00446A7F"/>
    <w:rsid w:val="00452472"/>
    <w:rsid w:val="00461828"/>
    <w:rsid w:val="00480BF7"/>
    <w:rsid w:val="0049101B"/>
    <w:rsid w:val="004B0FD6"/>
    <w:rsid w:val="004C0320"/>
    <w:rsid w:val="004C0370"/>
    <w:rsid w:val="004D50AB"/>
    <w:rsid w:val="004D7A36"/>
    <w:rsid w:val="004F026F"/>
    <w:rsid w:val="004F6B6E"/>
    <w:rsid w:val="00500133"/>
    <w:rsid w:val="00501ACA"/>
    <w:rsid w:val="005028C9"/>
    <w:rsid w:val="00506E16"/>
    <w:rsid w:val="00510DC8"/>
    <w:rsid w:val="0051435E"/>
    <w:rsid w:val="00525050"/>
    <w:rsid w:val="005320CD"/>
    <w:rsid w:val="0053466D"/>
    <w:rsid w:val="00534C55"/>
    <w:rsid w:val="005367B6"/>
    <w:rsid w:val="005403F4"/>
    <w:rsid w:val="00551769"/>
    <w:rsid w:val="00564162"/>
    <w:rsid w:val="00564EB6"/>
    <w:rsid w:val="00575FFB"/>
    <w:rsid w:val="005862A4"/>
    <w:rsid w:val="005959D9"/>
    <w:rsid w:val="005965F3"/>
    <w:rsid w:val="0059792E"/>
    <w:rsid w:val="005A54E1"/>
    <w:rsid w:val="005A6B25"/>
    <w:rsid w:val="005B05BC"/>
    <w:rsid w:val="005C0638"/>
    <w:rsid w:val="005C7F0F"/>
    <w:rsid w:val="005D06BD"/>
    <w:rsid w:val="005D54FF"/>
    <w:rsid w:val="005E3698"/>
    <w:rsid w:val="005F55C5"/>
    <w:rsid w:val="005F6E9F"/>
    <w:rsid w:val="005F7F9D"/>
    <w:rsid w:val="00614B1E"/>
    <w:rsid w:val="00627BE6"/>
    <w:rsid w:val="00641079"/>
    <w:rsid w:val="006449EC"/>
    <w:rsid w:val="00661AF2"/>
    <w:rsid w:val="00666B7E"/>
    <w:rsid w:val="00670FBF"/>
    <w:rsid w:val="006727A1"/>
    <w:rsid w:val="006813BA"/>
    <w:rsid w:val="006914F3"/>
    <w:rsid w:val="0069270D"/>
    <w:rsid w:val="006962CE"/>
    <w:rsid w:val="00697838"/>
    <w:rsid w:val="006A0F40"/>
    <w:rsid w:val="006B2A48"/>
    <w:rsid w:val="006C0224"/>
    <w:rsid w:val="006C5A69"/>
    <w:rsid w:val="006D3E14"/>
    <w:rsid w:val="006E4D80"/>
    <w:rsid w:val="006F2229"/>
    <w:rsid w:val="00722C34"/>
    <w:rsid w:val="00724502"/>
    <w:rsid w:val="007248DF"/>
    <w:rsid w:val="00724C54"/>
    <w:rsid w:val="007352FD"/>
    <w:rsid w:val="00741957"/>
    <w:rsid w:val="00747D18"/>
    <w:rsid w:val="007502FF"/>
    <w:rsid w:val="00754CE6"/>
    <w:rsid w:val="0075600D"/>
    <w:rsid w:val="00757DED"/>
    <w:rsid w:val="00791953"/>
    <w:rsid w:val="00793BD6"/>
    <w:rsid w:val="007C530E"/>
    <w:rsid w:val="007C62C1"/>
    <w:rsid w:val="00801DB4"/>
    <w:rsid w:val="0081013B"/>
    <w:rsid w:val="00811573"/>
    <w:rsid w:val="0081357A"/>
    <w:rsid w:val="00821130"/>
    <w:rsid w:val="00822DFB"/>
    <w:rsid w:val="00824C1F"/>
    <w:rsid w:val="00825E1E"/>
    <w:rsid w:val="00831AEB"/>
    <w:rsid w:val="00833D2E"/>
    <w:rsid w:val="00835216"/>
    <w:rsid w:val="00843764"/>
    <w:rsid w:val="00846A5A"/>
    <w:rsid w:val="008537F8"/>
    <w:rsid w:val="00856894"/>
    <w:rsid w:val="0085769E"/>
    <w:rsid w:val="00865CB2"/>
    <w:rsid w:val="0088620D"/>
    <w:rsid w:val="00886255"/>
    <w:rsid w:val="008A2EA0"/>
    <w:rsid w:val="008A5B3C"/>
    <w:rsid w:val="008A5FBB"/>
    <w:rsid w:val="008C431F"/>
    <w:rsid w:val="008D2579"/>
    <w:rsid w:val="008D6055"/>
    <w:rsid w:val="008D6268"/>
    <w:rsid w:val="008E36A5"/>
    <w:rsid w:val="008F0012"/>
    <w:rsid w:val="008F14D2"/>
    <w:rsid w:val="008F6507"/>
    <w:rsid w:val="008F7DE0"/>
    <w:rsid w:val="00907535"/>
    <w:rsid w:val="009266C8"/>
    <w:rsid w:val="00932BE3"/>
    <w:rsid w:val="00933AB6"/>
    <w:rsid w:val="00937933"/>
    <w:rsid w:val="00942795"/>
    <w:rsid w:val="009452FC"/>
    <w:rsid w:val="0094706B"/>
    <w:rsid w:val="009626A5"/>
    <w:rsid w:val="00974F1C"/>
    <w:rsid w:val="0098582C"/>
    <w:rsid w:val="009A1B8F"/>
    <w:rsid w:val="009A20B6"/>
    <w:rsid w:val="009C0670"/>
    <w:rsid w:val="009D3B3B"/>
    <w:rsid w:val="009E0896"/>
    <w:rsid w:val="009E444D"/>
    <w:rsid w:val="009F4DEE"/>
    <w:rsid w:val="00A00210"/>
    <w:rsid w:val="00A04095"/>
    <w:rsid w:val="00A05CB8"/>
    <w:rsid w:val="00A35CE2"/>
    <w:rsid w:val="00A40C03"/>
    <w:rsid w:val="00A43F47"/>
    <w:rsid w:val="00A461B1"/>
    <w:rsid w:val="00A52FC6"/>
    <w:rsid w:val="00A541F6"/>
    <w:rsid w:val="00A56777"/>
    <w:rsid w:val="00A61E26"/>
    <w:rsid w:val="00A7606E"/>
    <w:rsid w:val="00A77835"/>
    <w:rsid w:val="00A81562"/>
    <w:rsid w:val="00A9322A"/>
    <w:rsid w:val="00AC1529"/>
    <w:rsid w:val="00AC5AC7"/>
    <w:rsid w:val="00AD3835"/>
    <w:rsid w:val="00AE0326"/>
    <w:rsid w:val="00AE098F"/>
    <w:rsid w:val="00AE23E1"/>
    <w:rsid w:val="00AE67C2"/>
    <w:rsid w:val="00AF1590"/>
    <w:rsid w:val="00AF6EB2"/>
    <w:rsid w:val="00B0075D"/>
    <w:rsid w:val="00B038B2"/>
    <w:rsid w:val="00B03D32"/>
    <w:rsid w:val="00B071F3"/>
    <w:rsid w:val="00B164A0"/>
    <w:rsid w:val="00B16C78"/>
    <w:rsid w:val="00B218AF"/>
    <w:rsid w:val="00B25C1F"/>
    <w:rsid w:val="00B25C69"/>
    <w:rsid w:val="00B27E51"/>
    <w:rsid w:val="00B37197"/>
    <w:rsid w:val="00B41761"/>
    <w:rsid w:val="00B4297D"/>
    <w:rsid w:val="00B46C30"/>
    <w:rsid w:val="00B509E1"/>
    <w:rsid w:val="00B55CB3"/>
    <w:rsid w:val="00B72198"/>
    <w:rsid w:val="00B72884"/>
    <w:rsid w:val="00B73984"/>
    <w:rsid w:val="00B808A0"/>
    <w:rsid w:val="00B923A5"/>
    <w:rsid w:val="00B9365B"/>
    <w:rsid w:val="00BB315E"/>
    <w:rsid w:val="00BB55A9"/>
    <w:rsid w:val="00BC3ED9"/>
    <w:rsid w:val="00BC6B85"/>
    <w:rsid w:val="00BF10CA"/>
    <w:rsid w:val="00BF1E2F"/>
    <w:rsid w:val="00C0289B"/>
    <w:rsid w:val="00C06A70"/>
    <w:rsid w:val="00C10D8A"/>
    <w:rsid w:val="00C12010"/>
    <w:rsid w:val="00C20304"/>
    <w:rsid w:val="00C33EEC"/>
    <w:rsid w:val="00C34A01"/>
    <w:rsid w:val="00C467D9"/>
    <w:rsid w:val="00C46FCD"/>
    <w:rsid w:val="00C515C6"/>
    <w:rsid w:val="00C52459"/>
    <w:rsid w:val="00C655CE"/>
    <w:rsid w:val="00C75EA6"/>
    <w:rsid w:val="00C75F7E"/>
    <w:rsid w:val="00C800B2"/>
    <w:rsid w:val="00C809AB"/>
    <w:rsid w:val="00C97D10"/>
    <w:rsid w:val="00CA0D5E"/>
    <w:rsid w:val="00CC6C9C"/>
    <w:rsid w:val="00CD2A4B"/>
    <w:rsid w:val="00CE3527"/>
    <w:rsid w:val="00CF34DC"/>
    <w:rsid w:val="00D118B3"/>
    <w:rsid w:val="00D223F2"/>
    <w:rsid w:val="00D23A5C"/>
    <w:rsid w:val="00D23B18"/>
    <w:rsid w:val="00D24526"/>
    <w:rsid w:val="00D251DC"/>
    <w:rsid w:val="00D3251F"/>
    <w:rsid w:val="00D35C60"/>
    <w:rsid w:val="00D4316C"/>
    <w:rsid w:val="00D44A77"/>
    <w:rsid w:val="00D80076"/>
    <w:rsid w:val="00D819BF"/>
    <w:rsid w:val="00D83F08"/>
    <w:rsid w:val="00D8629A"/>
    <w:rsid w:val="00D87824"/>
    <w:rsid w:val="00D92D06"/>
    <w:rsid w:val="00DA5212"/>
    <w:rsid w:val="00DB61A6"/>
    <w:rsid w:val="00DC2900"/>
    <w:rsid w:val="00DC5C16"/>
    <w:rsid w:val="00DD2863"/>
    <w:rsid w:val="00DD798C"/>
    <w:rsid w:val="00DE2018"/>
    <w:rsid w:val="00E02991"/>
    <w:rsid w:val="00E03610"/>
    <w:rsid w:val="00E03BAA"/>
    <w:rsid w:val="00E20984"/>
    <w:rsid w:val="00E21FBE"/>
    <w:rsid w:val="00E25071"/>
    <w:rsid w:val="00E31C26"/>
    <w:rsid w:val="00E348E1"/>
    <w:rsid w:val="00E4518C"/>
    <w:rsid w:val="00E5300C"/>
    <w:rsid w:val="00E84660"/>
    <w:rsid w:val="00E9432B"/>
    <w:rsid w:val="00EA642C"/>
    <w:rsid w:val="00EB3B33"/>
    <w:rsid w:val="00EC4772"/>
    <w:rsid w:val="00ED3854"/>
    <w:rsid w:val="00ED7D43"/>
    <w:rsid w:val="00EE6C9E"/>
    <w:rsid w:val="00F056BA"/>
    <w:rsid w:val="00F12FF7"/>
    <w:rsid w:val="00F131D7"/>
    <w:rsid w:val="00F23714"/>
    <w:rsid w:val="00F26FA9"/>
    <w:rsid w:val="00F30DB1"/>
    <w:rsid w:val="00F326A7"/>
    <w:rsid w:val="00F32D7E"/>
    <w:rsid w:val="00F35F87"/>
    <w:rsid w:val="00F35FF7"/>
    <w:rsid w:val="00F41E1C"/>
    <w:rsid w:val="00F43045"/>
    <w:rsid w:val="00F53462"/>
    <w:rsid w:val="00F5394C"/>
    <w:rsid w:val="00F57786"/>
    <w:rsid w:val="00F64810"/>
    <w:rsid w:val="00F87B73"/>
    <w:rsid w:val="00F913E5"/>
    <w:rsid w:val="00FA3A3B"/>
    <w:rsid w:val="00FA50DC"/>
    <w:rsid w:val="00FB1B56"/>
    <w:rsid w:val="00FB2677"/>
    <w:rsid w:val="00FB28B3"/>
    <w:rsid w:val="00FC4331"/>
    <w:rsid w:val="00FD0570"/>
    <w:rsid w:val="00FD12DC"/>
    <w:rsid w:val="00FD21DF"/>
    <w:rsid w:val="00FD31F0"/>
    <w:rsid w:val="00FF1161"/>
    <w:rsid w:val="00FF32DD"/>
    <w:rsid w:val="00FF3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E02991"/>
    <w:pPr>
      <w:spacing w:after="0" w:line="240" w:lineRule="auto"/>
    </w:pPr>
  </w:style>
  <w:style w:type="paragraph" w:customStyle="1" w:styleId="Default">
    <w:name w:val="Default"/>
    <w:rsid w:val="00D87824"/>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5862A4"/>
    <w:rPr>
      <w:color w:val="605E5C"/>
      <w:shd w:val="clear" w:color="auto" w:fill="E1DFDD"/>
    </w:rPr>
  </w:style>
  <w:style w:type="table" w:styleId="Mkatabulky">
    <w:name w:val="Table Grid"/>
    <w:basedOn w:val="Normlntabulka"/>
    <w:uiPriority w:val="39"/>
    <w:rsid w:val="00EB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947194">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47377952">
      <w:bodyDiv w:val="1"/>
      <w:marLeft w:val="0"/>
      <w:marRight w:val="0"/>
      <w:marTop w:val="0"/>
      <w:marBottom w:val="0"/>
      <w:divBdr>
        <w:top w:val="none" w:sz="0" w:space="0" w:color="auto"/>
        <w:left w:val="none" w:sz="0" w:space="0" w:color="auto"/>
        <w:bottom w:val="none" w:sz="0" w:space="0" w:color="auto"/>
        <w:right w:val="none" w:sz="0" w:space="0" w:color="auto"/>
      </w:divBdr>
    </w:div>
    <w:div w:id="1914001452">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rtner@avenier.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 E M E A _ D M S ! 4 1 7 0 9 7 5 0 5 . 5 < / d o c u m e n t i d >  
     < s e n d e r i d > P R A L X B < / s e n d e r i d >  
     < s e n d e r e m a i l > L E N K A . B E S T A K O V A @ B A K E R M C K E N Z I E . C O M < / s e n d e r e m a i l >  
     < l a s t m o d i f i e d > 2 0 2 3 - 0 3 - 2 4 T 1 3 : 4 8 : 0 0 . 0 0 0 0 0 0 0 + 0 1 : 0 0 < / l a s t m o d i f i e d >  
     < d a t a b a s e > E M E A _ D M S < / d a t a b a s e >  
 < / p r o p e r t i 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435-323/323-24_RS.docx</ZkracenyRetezec>
    <Smazat xmlns="acca34e4-9ecd-41c8-99eb-d6aa654aaa55">&lt;a href="/sites/evidencesmluv/_layouts/15/IniWrkflIP.aspx?List=%7b5BACA63D-3952-4531-BB75-33B3C750A970%7d&amp;amp;ID=1155&amp;amp;ItemGuid=%7b8EAB4D4A-B63F-4E44-B395-7DCF2D99E85C%7d&amp;amp;TemplateID=%7bd3f8102e-f4a5-4901-b93c-fb146a9d820d%7d"&gt;&lt;img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3cdb28fbfd5e7070e63ec880ccb8bbce">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0321dac56cda9f89f380f84ec150a6"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913D9-3F57-439D-9B71-4BEBEB615E1B}"/>
</file>

<file path=customXml/itemProps2.xml><?xml version="1.0" encoding="utf-8"?>
<ds:datastoreItem xmlns:ds="http://schemas.openxmlformats.org/officeDocument/2006/customXml" ds:itemID="{C98AFB5D-9AA0-4F11-8B95-E5E5D0B86202}">
  <ds:schemaRefs>
    <ds:schemaRef ds:uri="http://www.imanage.com/work/xmlschema"/>
  </ds:schemaRefs>
</ds:datastoreItem>
</file>

<file path=customXml/itemProps3.xml><?xml version="1.0" encoding="utf-8"?>
<ds:datastoreItem xmlns:ds="http://schemas.openxmlformats.org/officeDocument/2006/customXml" ds:itemID="{4189BB7F-D45D-4CB1-BEFD-BE82D426246F}">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4.xml><?xml version="1.0" encoding="utf-8"?>
<ds:datastoreItem xmlns:ds="http://schemas.openxmlformats.org/officeDocument/2006/customXml" ds:itemID="{80FFB92D-30C5-4817-913C-593E4F987AF4}">
  <ds:schemaRefs>
    <ds:schemaRef ds:uri="http://schemas.microsoft.com/sharepoint/v3/contenttype/forms"/>
  </ds:schemaRefs>
</ds:datastoreItem>
</file>

<file path=customXml/itemProps5.xml><?xml version="1.0" encoding="utf-8"?>
<ds:datastoreItem xmlns:ds="http://schemas.openxmlformats.org/officeDocument/2006/customXml" ds:itemID="{723B5CE9-58CC-47E1-8D28-27328D4D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173995-2DF7-467B-A232-B32E86DE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2898</Words>
  <Characters>17104</Characters>
  <Application>Microsoft Office Word</Application>
  <DocSecurity>0</DocSecurity>
  <Lines>142</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Trávníčková Monika, Mgr.</dc:creator>
  <cp:keywords/>
  <dc:description/>
  <cp:lastModifiedBy>Kotusová Zuzana, Ing. DiS.</cp:lastModifiedBy>
  <cp:revision>2</cp:revision>
  <cp:lastPrinted>2024-05-09T08:35:00Z</cp:lastPrinted>
  <dcterms:created xsi:type="dcterms:W3CDTF">2024-06-06T06:45:00Z</dcterms:created>
  <dcterms:modified xsi:type="dcterms:W3CDTF">2024-06-06T06:45:00Z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2023-03-29T05:33:59Z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2c2be173-fa25-4903-ae6a-7b648154b600</vt:lpwstr>
  </property>
  <property fmtid="{D5CDD505-2E9C-101B-9397-08002B2CF9AE}" pid="8" name="MSIP_Label_2063cd7f-2d21-486a-9f29-9c1683fdd175_ContentBits">
    <vt:lpwstr>0</vt:lpwstr>
  </property>
  <property fmtid="{D5CDD505-2E9C-101B-9397-08002B2CF9AE}" pid="9" name="ContentTypeId">
    <vt:lpwstr>0x010100EFF427952D4E634383E9B8E9D938055A006D8F8A3808020C419E98C37A57255A2C</vt:lpwstr>
  </property>
  <property fmtid="{D5CDD505-2E9C-101B-9397-08002B2CF9AE}" pid="10" name="MediaServiceImageTags">
    <vt:lpwstr/>
  </property>
  <property fmtid="{D5CDD505-2E9C-101B-9397-08002B2CF9AE}" pid="11" name="_dlc_DocIdItemGuid">
    <vt:lpwstr>68f3931a-3c17-42bd-8054-f4cbef33c239</vt:lpwstr>
  </property>
  <property fmtid="{D5CDD505-2E9C-101B-9397-08002B2CF9AE}" pid="12" name="WorkflowChangePath">
    <vt:lpwstr>9a1e63d7-515c-44cd-98c8-a4c647aa8c7b,2;9a1e63d7-515c-44cd-98c8-a4c647aa8c7b,2;9a1e63d7-515c-44cd-98c8-a4c647aa8c7b,2;</vt:lpwstr>
  </property>
</Properties>
</file>