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59D3411D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2C699D">
        <w:rPr>
          <w:rFonts w:cstheme="minorHAnsi"/>
          <w:szCs w:val="22"/>
        </w:rPr>
        <w:t>SMLUVNÍ STRANY</w:t>
      </w:r>
      <w:bookmarkEnd w:id="0"/>
      <w:bookmarkEnd w:id="1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2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2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0218B44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108DEC0" w14:textId="08C8B295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</w:p>
    <w:p w14:paraId="7C567085" w14:textId="1677A6BF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</w:p>
    <w:p w14:paraId="1B27996D" w14:textId="6F2390BF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3687F235" w14:textId="77777777" w:rsidR="004E5167" w:rsidRPr="00402321" w:rsidRDefault="004E5167" w:rsidP="004E5167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DRS stavební s.r.o.</w:t>
      </w:r>
    </w:p>
    <w:p w14:paraId="1863A702" w14:textId="77777777" w:rsidR="004E5167" w:rsidRDefault="004E5167" w:rsidP="004E5167">
      <w:pPr>
        <w:autoSpaceDE w:val="0"/>
        <w:autoSpaceDN w:val="0"/>
        <w:adjustRightInd w:val="0"/>
        <w:spacing w:line="252" w:lineRule="auto"/>
        <w:ind w:firstLine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Sídlo: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>Pražákova 1008/69, Štýřice, 639 00 Brno</w:t>
      </w:r>
    </w:p>
    <w:p w14:paraId="420AC3B4" w14:textId="77777777" w:rsidR="004E5167" w:rsidRPr="00402321" w:rsidRDefault="004E5167" w:rsidP="004E5167">
      <w:pPr>
        <w:ind w:firstLine="425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>Zastoupen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ý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: 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bookmarkStart w:id="3" w:name="_Hlk165830281"/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David </w:t>
      </w:r>
      <w:proofErr w:type="spellStart"/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>Šprincl</w:t>
      </w:r>
      <w:proofErr w:type="spellEnd"/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>, jednatel</w:t>
      </w:r>
    </w:p>
    <w:p w14:paraId="3202B146" w14:textId="77777777" w:rsidR="004E5167" w:rsidRPr="00402321" w:rsidRDefault="004E5167" w:rsidP="004E516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ab/>
        <w:t>Ing. Martin Drábek, jednatel</w:t>
      </w:r>
      <w:bookmarkEnd w:id="3"/>
    </w:p>
    <w:p w14:paraId="3879A5EC" w14:textId="1E2492FA" w:rsidR="004E5167" w:rsidRPr="002C699D" w:rsidRDefault="004E5167" w:rsidP="004E5167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06324827</w:t>
      </w:r>
    </w:p>
    <w:p w14:paraId="2DDF19D0" w14:textId="77777777" w:rsidR="004E5167" w:rsidRPr="002C699D" w:rsidRDefault="004E5167" w:rsidP="004E5167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CZ06324827</w:t>
      </w:r>
    </w:p>
    <w:p w14:paraId="62EE1A8D" w14:textId="77777777" w:rsidR="004E5167" w:rsidRPr="002C699D" w:rsidRDefault="004E5167" w:rsidP="004E5167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P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>látce DPH: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637D72D4" w14:textId="4274E968" w:rsidR="004E5167" w:rsidRPr="00402321" w:rsidRDefault="004E5167" w:rsidP="004E5167">
      <w:pPr>
        <w:autoSpaceDE w:val="0"/>
        <w:autoSpaceDN w:val="0"/>
        <w:adjustRightInd w:val="0"/>
        <w:spacing w:line="252" w:lineRule="auto"/>
        <w:ind w:firstLine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B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>ankovní spojení (číslo účtu):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</w:p>
    <w:p w14:paraId="5EAB2686" w14:textId="1A2B2050" w:rsidR="004E5167" w:rsidRPr="002C699D" w:rsidRDefault="004E5167" w:rsidP="004E5167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</w:p>
    <w:p w14:paraId="66F1D804" w14:textId="03835543" w:rsidR="004E5167" w:rsidRDefault="004E5167" w:rsidP="004E5167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E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>-mail: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</w:p>
    <w:p w14:paraId="66F8FC86" w14:textId="521A697E" w:rsidR="004E5167" w:rsidRPr="00402321" w:rsidRDefault="004E5167" w:rsidP="004E5167">
      <w:pPr>
        <w:autoSpaceDE w:val="0"/>
        <w:autoSpaceDN w:val="0"/>
        <w:adjustRightInd w:val="0"/>
        <w:spacing w:line="252" w:lineRule="auto"/>
        <w:ind w:firstLine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</w:p>
    <w:p w14:paraId="78FC902B" w14:textId="77777777" w:rsidR="004E5167" w:rsidRDefault="004E5167" w:rsidP="004E5167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0C33CC9E" w14:textId="77777777" w:rsidR="004E5167" w:rsidRDefault="004E5167" w:rsidP="004E5167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3A3D7AC7" w14:textId="77777777" w:rsidR="004E5167" w:rsidRPr="002C699D" w:rsidRDefault="004E5167" w:rsidP="004E5167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 obchodním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rejstříku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vedeném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u</w:t>
      </w:r>
      <w:r w:rsidRPr="00402321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Pr="00402321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Krajského soudu v Brně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. zn. </w:t>
      </w:r>
      <w:r w:rsidRPr="00402321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C 101441</w:t>
      </w:r>
    </w:p>
    <w:p w14:paraId="639BF2AB" w14:textId="77777777" w:rsidR="004E5167" w:rsidRPr="002C699D" w:rsidRDefault="004E5167" w:rsidP="004E5167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ZÁKLADNÍ USTANOVENÍ SMLOUVY A ÚČEL SMLOUVY</w:t>
      </w:r>
    </w:p>
    <w:p w14:paraId="2AB1342D" w14:textId="1FC69570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r w:rsidR="00865E90" w:rsidRPr="00865E90">
        <w:rPr>
          <w:rFonts w:asciiTheme="minorHAnsi" w:hAnsiTheme="minorHAnsi" w:cstheme="minorHAnsi"/>
          <w:b/>
          <w:sz w:val="22"/>
          <w:szCs w:val="22"/>
        </w:rPr>
        <w:t>Stavební úprava prostor na hygienická zařízení – havárie</w:t>
      </w:r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5221ED28" w14:textId="77777777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color w:val="000000"/>
          <w:sz w:val="22"/>
          <w:szCs w:val="22"/>
        </w:rPr>
        <w:t>Objednatel je oprávněn pro jednotlivé úkony související s plněním dle této smlouvy pověřit jednáním za Objednatele technický dozor (dále také „</w:t>
      </w:r>
      <w:r w:rsidRPr="00974CA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TDS</w:t>
      </w:r>
      <w:r w:rsidRPr="00974CA7">
        <w:rPr>
          <w:rFonts w:asciiTheme="minorHAnsi" w:hAnsiTheme="minorHAnsi" w:cstheme="minorHAnsi"/>
          <w:color w:val="000000"/>
          <w:sz w:val="22"/>
          <w:szCs w:val="22"/>
        </w:rPr>
        <w:t xml:space="preserve">“). </w:t>
      </w:r>
    </w:p>
    <w:p w14:paraId="44554087" w14:textId="541EBCD3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Objednatel, resp. TDS, je oprávněn rozhodovat ve vztahu ke všem objektům realizovaným v rámci Stavby, není-li dále stanoveno jinak. Taková pravomoc Objednatele, resp. TDS 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4" w:name="_Toc335318128"/>
      <w:bookmarkStart w:id="5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4"/>
      <w:bookmarkEnd w:id="5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335318130"/>
      <w:bookmarkStart w:id="7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6"/>
      <w:bookmarkEnd w:id="7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8" w:name="_Ref20918676"/>
      <w:r w:rsidRPr="002C699D">
        <w:rPr>
          <w:rFonts w:cstheme="minorHAnsi"/>
          <w:szCs w:val="22"/>
        </w:rPr>
        <w:t xml:space="preserve">PŘEDMĚT </w:t>
      </w:r>
      <w:bookmarkEnd w:id="8"/>
      <w:r w:rsidRPr="002C699D">
        <w:rPr>
          <w:rFonts w:cstheme="minorHAnsi"/>
          <w:szCs w:val="22"/>
        </w:rPr>
        <w:t xml:space="preserve">DÍLA </w:t>
      </w:r>
    </w:p>
    <w:p w14:paraId="34555AC1" w14:textId="30D3BD00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9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4F5A16" w:rsidRPr="00510C29">
        <w:rPr>
          <w:rFonts w:asciiTheme="minorHAnsi" w:hAnsiTheme="minorHAnsi" w:cstheme="minorHAnsi"/>
          <w:sz w:val="22"/>
          <w:szCs w:val="22"/>
        </w:rPr>
        <w:t>spočívající v</w:t>
      </w:r>
      <w:r w:rsidR="00B00579" w:rsidRPr="00510C29">
        <w:rPr>
          <w:rFonts w:asciiTheme="minorHAnsi" w:hAnsiTheme="minorHAnsi" w:cstheme="minorHAnsi"/>
          <w:sz w:val="22"/>
          <w:szCs w:val="22"/>
        </w:rPr>
        <w:t> </w:t>
      </w:r>
      <w:r w:rsidR="00D42122" w:rsidRPr="00510C29">
        <w:rPr>
          <w:rFonts w:asciiTheme="minorHAnsi" w:hAnsiTheme="minorHAnsi" w:cstheme="minorHAnsi"/>
          <w:sz w:val="22"/>
          <w:szCs w:val="22"/>
        </w:rPr>
        <w:t>provedení</w:t>
      </w:r>
      <w:r w:rsidR="00B00579" w:rsidRPr="00510C29">
        <w:rPr>
          <w:rFonts w:asciiTheme="minorHAnsi" w:hAnsiTheme="minorHAnsi" w:cstheme="minorHAnsi"/>
          <w:sz w:val="22"/>
          <w:szCs w:val="22"/>
        </w:rPr>
        <w:t xml:space="preserve"> </w:t>
      </w:r>
      <w:r w:rsidR="00510C29">
        <w:rPr>
          <w:rFonts w:asciiTheme="minorHAnsi" w:hAnsiTheme="minorHAnsi" w:cstheme="minorHAnsi"/>
          <w:sz w:val="22"/>
          <w:szCs w:val="22"/>
        </w:rPr>
        <w:t>s</w:t>
      </w:r>
      <w:r w:rsidR="00510C29" w:rsidRPr="00510C29">
        <w:rPr>
          <w:rFonts w:asciiTheme="minorHAnsi" w:hAnsiTheme="minorHAnsi" w:cstheme="minorHAnsi"/>
          <w:sz w:val="22"/>
          <w:szCs w:val="22"/>
        </w:rPr>
        <w:t>tavební</w:t>
      </w:r>
      <w:r w:rsidR="00510C29">
        <w:rPr>
          <w:rFonts w:asciiTheme="minorHAnsi" w:hAnsiTheme="minorHAnsi" w:cstheme="minorHAnsi"/>
          <w:sz w:val="22"/>
          <w:szCs w:val="22"/>
        </w:rPr>
        <w:t>ch</w:t>
      </w:r>
      <w:r w:rsidR="00510C29" w:rsidRPr="00510C29">
        <w:rPr>
          <w:rFonts w:asciiTheme="minorHAnsi" w:hAnsiTheme="minorHAnsi" w:cstheme="minorHAnsi"/>
          <w:sz w:val="22"/>
          <w:szCs w:val="22"/>
        </w:rPr>
        <w:t xml:space="preserve"> úprav týkají</w:t>
      </w:r>
      <w:r w:rsidR="00510C29">
        <w:rPr>
          <w:rFonts w:asciiTheme="minorHAnsi" w:hAnsiTheme="minorHAnsi" w:cstheme="minorHAnsi"/>
          <w:sz w:val="22"/>
          <w:szCs w:val="22"/>
        </w:rPr>
        <w:t>cích se</w:t>
      </w:r>
      <w:r w:rsidR="00510C29" w:rsidRPr="00510C29">
        <w:rPr>
          <w:rFonts w:asciiTheme="minorHAnsi" w:hAnsiTheme="minorHAnsi" w:cstheme="minorHAnsi"/>
          <w:sz w:val="22"/>
          <w:szCs w:val="22"/>
        </w:rPr>
        <w:t xml:space="preserve"> realizace nového sociálního zázemí jako rozšíření stávajícího </w:t>
      </w:r>
      <w:r w:rsidR="00C876D1">
        <w:rPr>
          <w:rFonts w:asciiTheme="minorHAnsi" w:hAnsiTheme="minorHAnsi" w:cstheme="minorHAnsi"/>
          <w:sz w:val="22"/>
          <w:szCs w:val="22"/>
        </w:rPr>
        <w:t xml:space="preserve">v 2.NP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0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10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2CD9BE2D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BE276B">
        <w:rPr>
          <w:rFonts w:asciiTheme="minorHAnsi" w:hAnsiTheme="minorHAnsi" w:cstheme="minorHAnsi"/>
          <w:sz w:val="22"/>
          <w:szCs w:val="22"/>
          <w:lang w:eastAsia="en-US"/>
        </w:rPr>
        <w:t>Soupisu stavebních prací, dodávek a služeb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5805563" w14:textId="2E52C525" w:rsidR="004A2CEE" w:rsidRPr="00974CA7" w:rsidRDefault="00422646" w:rsidP="00974CA7">
      <w:pPr>
        <w:pStyle w:val="Odstavecseseznamem"/>
        <w:widowControl w:val="0"/>
        <w:numPr>
          <w:ilvl w:val="0"/>
          <w:numId w:val="19"/>
        </w:numPr>
        <w:spacing w:after="120" w:line="252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345D">
        <w:rPr>
          <w:rFonts w:asciiTheme="minorHAnsi" w:hAnsiTheme="minorHAnsi" w:cstheme="minorHAnsi"/>
          <w:sz w:val="22"/>
          <w:szCs w:val="22"/>
          <w:lang w:eastAsia="en-US"/>
        </w:rPr>
        <w:t xml:space="preserve">Technické specifikace předmětu plnění, </w:t>
      </w:r>
      <w:r w:rsidRPr="00B2345D">
        <w:rPr>
          <w:rFonts w:asciiTheme="minorHAnsi" w:hAnsiTheme="minorHAnsi" w:cstheme="minorHAnsi"/>
          <w:sz w:val="22"/>
          <w:szCs w:val="22"/>
        </w:rPr>
        <w:t>která sestává</w:t>
      </w:r>
      <w:r w:rsidR="007029DA" w:rsidRPr="00B2345D">
        <w:rPr>
          <w:rFonts w:asciiTheme="minorHAnsi" w:hAnsiTheme="minorHAnsi" w:cstheme="minorHAnsi"/>
          <w:sz w:val="22"/>
          <w:szCs w:val="22"/>
        </w:rPr>
        <w:t xml:space="preserve"> z</w:t>
      </w:r>
      <w:r w:rsidR="00B00579">
        <w:rPr>
          <w:rFonts w:asciiTheme="minorHAnsi" w:hAnsiTheme="minorHAnsi" w:cstheme="minorHAnsi"/>
          <w:sz w:val="22"/>
          <w:szCs w:val="22"/>
        </w:rPr>
        <w:t xml:space="preserve"> technické </w:t>
      </w:r>
      <w:r w:rsidR="000F00E3" w:rsidRPr="00B2345D">
        <w:rPr>
          <w:rFonts w:asciiTheme="minorHAnsi" w:hAnsiTheme="minorHAnsi" w:cstheme="minorHAnsi"/>
          <w:sz w:val="22"/>
          <w:szCs w:val="22"/>
        </w:rPr>
        <w:t>dokumenta</w:t>
      </w:r>
      <w:r w:rsidR="00B00579">
        <w:rPr>
          <w:rFonts w:asciiTheme="minorHAnsi" w:hAnsiTheme="minorHAnsi" w:cstheme="minorHAnsi"/>
          <w:sz w:val="22"/>
          <w:szCs w:val="22"/>
        </w:rPr>
        <w:t xml:space="preserve">ce </w:t>
      </w:r>
      <w:r w:rsidR="000F00E3" w:rsidRPr="005B37B2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865E90" w:rsidRPr="00865E90">
        <w:rPr>
          <w:rFonts w:asciiTheme="minorHAnsi" w:hAnsiTheme="minorHAnsi" w:cstheme="minorHAnsi"/>
          <w:b/>
          <w:i/>
          <w:sz w:val="22"/>
          <w:szCs w:val="22"/>
        </w:rPr>
        <w:t>Stavební úprava prostor na hygienická zařízení – havárie</w:t>
      </w:r>
      <w:r w:rsidR="000F00E3" w:rsidRPr="00974CA7">
        <w:rPr>
          <w:rFonts w:asciiTheme="minorHAnsi" w:hAnsiTheme="minorHAnsi" w:cstheme="minorHAnsi"/>
          <w:b/>
          <w:i/>
          <w:sz w:val="22"/>
          <w:szCs w:val="22"/>
        </w:rPr>
        <w:t>“</w:t>
      </w:r>
      <w:r w:rsidR="000F00E3" w:rsidRPr="00974CA7">
        <w:rPr>
          <w:rFonts w:asciiTheme="minorHAnsi" w:hAnsiTheme="minorHAnsi" w:cstheme="minorHAnsi"/>
          <w:sz w:val="22"/>
          <w:szCs w:val="22"/>
        </w:rPr>
        <w:t xml:space="preserve"> </w:t>
      </w:r>
      <w:r w:rsidR="005B37B2" w:rsidRPr="00974CA7">
        <w:rPr>
          <w:rFonts w:asciiTheme="minorHAnsi" w:hAnsiTheme="minorHAnsi" w:cstheme="minorHAnsi"/>
          <w:sz w:val="22"/>
          <w:szCs w:val="22"/>
        </w:rPr>
        <w:t xml:space="preserve">zpracovanou společností </w:t>
      </w:r>
      <w:proofErr w:type="spellStart"/>
      <w:r w:rsidR="005B37B2" w:rsidRPr="00974CA7">
        <w:rPr>
          <w:rFonts w:asciiTheme="minorHAnsi" w:hAnsiTheme="minorHAnsi" w:cstheme="minorHAnsi"/>
          <w:sz w:val="22"/>
          <w:szCs w:val="22"/>
        </w:rPr>
        <w:t>Múčka</w:t>
      </w:r>
      <w:proofErr w:type="spellEnd"/>
      <w:r w:rsidR="005B37B2" w:rsidRPr="00974CA7">
        <w:rPr>
          <w:rFonts w:asciiTheme="minorHAnsi" w:hAnsiTheme="minorHAnsi" w:cstheme="minorHAnsi"/>
          <w:sz w:val="22"/>
          <w:szCs w:val="22"/>
        </w:rPr>
        <w:t xml:space="preserve"> Veselý architekti s. r. o.</w:t>
      </w:r>
      <w:r w:rsidR="005B37B2" w:rsidRPr="00974CA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5B37B2" w:rsidRPr="00974CA7">
        <w:rPr>
          <w:rFonts w:asciiTheme="minorHAnsi" w:hAnsiTheme="minorHAnsi" w:cstheme="minorHAnsi"/>
          <w:sz w:val="22"/>
          <w:szCs w:val="22"/>
        </w:rPr>
        <w:t>se sídlem Karlova 933/7, Brno 614 00, IČO: 07587295 (dále jen „</w:t>
      </w:r>
      <w:r w:rsidR="005B37B2" w:rsidRPr="00974CA7">
        <w:rPr>
          <w:rFonts w:asciiTheme="minorHAnsi" w:hAnsiTheme="minorHAnsi" w:cstheme="minorHAnsi"/>
          <w:b/>
          <w:i/>
          <w:sz w:val="22"/>
          <w:szCs w:val="22"/>
        </w:rPr>
        <w:t>Projektová dokumentace</w:t>
      </w:r>
      <w:r w:rsidR="005B37B2" w:rsidRPr="00974CA7">
        <w:rPr>
          <w:rFonts w:asciiTheme="minorHAnsi" w:hAnsiTheme="minorHAnsi" w:cstheme="minorHAnsi"/>
          <w:sz w:val="22"/>
          <w:szCs w:val="22"/>
        </w:rPr>
        <w:t xml:space="preserve">“). </w:t>
      </w:r>
      <w:r w:rsidR="003D2D1A" w:rsidRPr="00974CA7">
        <w:rPr>
          <w:rFonts w:asciiTheme="minorHAnsi" w:hAnsiTheme="minorHAnsi" w:cstheme="minorHAnsi"/>
          <w:sz w:val="22"/>
          <w:szCs w:val="22"/>
        </w:rPr>
        <w:t>Projektová dokumentace</w:t>
      </w:r>
      <w:r w:rsidR="00D23333" w:rsidRPr="00974CA7">
        <w:rPr>
          <w:rFonts w:asciiTheme="minorHAnsi" w:hAnsiTheme="minorHAnsi" w:cstheme="minorHAnsi"/>
          <w:sz w:val="22"/>
          <w:szCs w:val="22"/>
        </w:rPr>
        <w:t xml:space="preserve"> byla Zhotoviteli poskytnuta před</w:t>
      </w:r>
      <w:r w:rsidR="00C7740C" w:rsidRPr="00974CA7">
        <w:rPr>
          <w:rFonts w:asciiTheme="minorHAnsi" w:hAnsiTheme="minorHAnsi" w:cstheme="minorHAnsi"/>
          <w:sz w:val="22"/>
          <w:szCs w:val="22"/>
        </w:rPr>
        <w:t> </w:t>
      </w:r>
      <w:r w:rsidR="00D23333" w:rsidRPr="00974CA7">
        <w:rPr>
          <w:rFonts w:asciiTheme="minorHAnsi" w:hAnsiTheme="minorHAnsi" w:cstheme="minorHAnsi"/>
          <w:sz w:val="22"/>
          <w:szCs w:val="22"/>
        </w:rPr>
        <w:t>uzavřením smlouvy v rámci Výběrového řízení</w:t>
      </w:r>
      <w:r w:rsidR="00C32A2F" w:rsidRPr="00974CA7">
        <w:rPr>
          <w:rFonts w:asciiTheme="minorHAnsi" w:hAnsiTheme="minorHAnsi" w:cstheme="minorHAnsi"/>
          <w:sz w:val="22"/>
          <w:szCs w:val="22"/>
        </w:rPr>
        <w:t>,</w:t>
      </w:r>
      <w:r w:rsidR="004A2CEE" w:rsidRPr="00974C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ACB8F3" w14:textId="3F6406F3" w:rsidR="005B3925" w:rsidRPr="00C876D1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76D1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C876D1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r w:rsidR="00B00579" w:rsidRPr="00C876D1">
        <w:rPr>
          <w:rFonts w:asciiTheme="minorHAnsi" w:hAnsiTheme="minorHAnsi" w:cstheme="minorHAnsi"/>
          <w:sz w:val="22"/>
          <w:szCs w:val="22"/>
        </w:rPr>
        <w:t xml:space="preserve">stavební a </w:t>
      </w:r>
      <w:proofErr w:type="spellStart"/>
      <w:r w:rsidR="00C876D1" w:rsidRPr="00C876D1">
        <w:rPr>
          <w:rFonts w:asciiTheme="minorHAnsi" w:hAnsiTheme="minorHAnsi" w:cstheme="minorHAnsi"/>
          <w:sz w:val="22"/>
          <w:szCs w:val="22"/>
        </w:rPr>
        <w:t>zdravotechnické</w:t>
      </w:r>
      <w:proofErr w:type="spellEnd"/>
      <w:r w:rsidR="00C876D1" w:rsidRPr="00C876D1">
        <w:rPr>
          <w:rFonts w:asciiTheme="minorHAnsi" w:hAnsiTheme="minorHAnsi" w:cstheme="minorHAnsi"/>
          <w:sz w:val="22"/>
          <w:szCs w:val="22"/>
        </w:rPr>
        <w:t xml:space="preserve"> práce</w:t>
      </w:r>
      <w:r w:rsidR="00537B4A" w:rsidRPr="00C876D1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C876D1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76D1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C876D1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C876D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0C21CB" w14:textId="06CDA1BE" w:rsidR="003E267E" w:rsidRPr="00C876D1" w:rsidRDefault="00C876D1" w:rsidP="00561A3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876D1">
        <w:rPr>
          <w:rFonts w:asciiTheme="minorHAnsi" w:hAnsiTheme="minorHAnsi" w:cstheme="minorHAnsi"/>
          <w:snapToGrid w:val="0"/>
          <w:sz w:val="22"/>
          <w:szCs w:val="22"/>
        </w:rPr>
        <w:t>provedení nového podlahového souvrství v místnosti 231</w:t>
      </w:r>
      <w:r w:rsidR="003E267E" w:rsidRPr="00C876D1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44358F2" w14:textId="1C9306EF" w:rsidR="003E267E" w:rsidRPr="00C876D1" w:rsidRDefault="00C876D1" w:rsidP="00F5102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876D1">
        <w:rPr>
          <w:rFonts w:asciiTheme="minorHAnsi" w:hAnsiTheme="minorHAnsi" w:cstheme="minorHAnsi"/>
          <w:snapToGrid w:val="0"/>
          <w:sz w:val="22"/>
          <w:szCs w:val="22"/>
        </w:rPr>
        <w:t>provedení nové SDK předstěny pro vedení instalací</w:t>
      </w:r>
      <w:r w:rsidR="00C4608A" w:rsidRPr="00C876D1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3FC2C8C0" w14:textId="2EFD7F83" w:rsidR="003E267E" w:rsidRPr="00C876D1" w:rsidRDefault="00C876D1" w:rsidP="00F5102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876D1">
        <w:rPr>
          <w:rFonts w:asciiTheme="minorHAnsi" w:hAnsiTheme="minorHAnsi" w:cstheme="minorHAnsi"/>
          <w:snapToGrid w:val="0"/>
          <w:sz w:val="22"/>
          <w:szCs w:val="22"/>
        </w:rPr>
        <w:t>provedení nových kazetových podhledů pro vedení VZT a ELE</w:t>
      </w:r>
      <w:r w:rsidR="00C4608A" w:rsidRPr="00C876D1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3CEC0C02" w14:textId="417D8AF9" w:rsidR="00FD3237" w:rsidRPr="00C876D1" w:rsidRDefault="00C876D1" w:rsidP="003256AD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876D1">
        <w:rPr>
          <w:rFonts w:asciiTheme="minorHAnsi" w:hAnsiTheme="minorHAnsi" w:cstheme="minorHAnsi"/>
          <w:snapToGrid w:val="0"/>
          <w:sz w:val="22"/>
          <w:szCs w:val="22"/>
        </w:rPr>
        <w:t>provedení nového vedení ZTI (stoupací potrubí z 1.PP), nové elektroinstalace a vzduchotechniky, bude upraveno stávající vedení otopné soustavy a bude umístěno otopné těleso</w:t>
      </w:r>
      <w:r w:rsidR="0077617E" w:rsidRPr="00C876D1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E96635" w14:textId="6D20FBF6" w:rsidR="00040C31" w:rsidRPr="00C876D1" w:rsidRDefault="00C876D1" w:rsidP="005F225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876D1">
        <w:rPr>
          <w:rFonts w:asciiTheme="minorHAnsi" w:hAnsiTheme="minorHAnsi" w:cstheme="minorHAnsi"/>
          <w:snapToGrid w:val="0"/>
          <w:sz w:val="22"/>
          <w:szCs w:val="22"/>
        </w:rPr>
        <w:lastRenderedPageBreak/>
        <w:t>provedení nové sanitární příčky</w:t>
      </w:r>
      <w:r w:rsidR="009F6F34" w:rsidRPr="00C876D1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5317A4C6" w14:textId="09B9E68D" w:rsidR="00F007DF" w:rsidRPr="00C876D1" w:rsidRDefault="00F007DF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876D1">
        <w:rPr>
          <w:rFonts w:asciiTheme="minorHAnsi" w:hAnsiTheme="minorHAnsi" w:cstheme="minorHAnsi"/>
          <w:snapToGrid w:val="0"/>
          <w:sz w:val="22"/>
          <w:szCs w:val="22"/>
        </w:rPr>
        <w:t>poř</w:t>
      </w:r>
      <w:r w:rsidR="000E756B" w:rsidRPr="00C876D1">
        <w:rPr>
          <w:rFonts w:asciiTheme="minorHAnsi" w:hAnsiTheme="minorHAnsi" w:cstheme="minorHAnsi"/>
          <w:snapToGrid w:val="0"/>
          <w:sz w:val="22"/>
          <w:szCs w:val="22"/>
        </w:rPr>
        <w:t>ízení dokumentace</w:t>
      </w:r>
      <w:r w:rsidRPr="00C876D1">
        <w:rPr>
          <w:rFonts w:asciiTheme="minorHAnsi" w:hAnsiTheme="minorHAnsi" w:cstheme="minorHAnsi"/>
          <w:snapToGrid w:val="0"/>
          <w:sz w:val="22"/>
          <w:szCs w:val="22"/>
        </w:rPr>
        <w:t xml:space="preserve"> o průběhu realizace Díla a její předání Objednateli při předání a</w:t>
      </w:r>
      <w:r w:rsidR="00C47EC8" w:rsidRPr="00C876D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C876D1">
        <w:rPr>
          <w:rFonts w:asciiTheme="minorHAnsi" w:hAnsiTheme="minorHAnsi" w:cstheme="minorHAnsi"/>
          <w:snapToGrid w:val="0"/>
          <w:sz w:val="22"/>
          <w:szCs w:val="22"/>
        </w:rPr>
        <w:t>převzetí Díla</w:t>
      </w:r>
      <w:r w:rsidR="00A25A78" w:rsidRPr="00C876D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79B1DE74" w:rsidR="000E21C5" w:rsidRDefault="00B76091" w:rsidP="00D5229F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CAAA33" w14:textId="46FF0FDC" w:rsidR="000E21C5" w:rsidRPr="002C699D" w:rsidRDefault="000E21C5" w:rsidP="004B795D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4F339C0A" w:rsidR="00C9725E" w:rsidRPr="00C9725E" w:rsidRDefault="00C9725E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>pro t</w:t>
      </w:r>
      <w:r w:rsidR="00E552E7">
        <w:rPr>
          <w:rFonts w:asciiTheme="minorHAnsi" w:hAnsiTheme="minorHAnsi" w:cstheme="minorHAnsi"/>
          <w:snapToGrid w:val="0"/>
          <w:sz w:val="22"/>
          <w:szCs w:val="22"/>
        </w:rPr>
        <w:t>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činnosti potřebné osvědčení nebo oprávnění. </w:t>
      </w:r>
    </w:p>
    <w:p w14:paraId="764B2C66" w14:textId="4FB79037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AA1AEF1" w14:textId="767692B6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573315B" w14:textId="78C81572" w:rsidR="00160545" w:rsidRDefault="0016054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>zajistit plán bezpečnosti a ochrany zdraví při práci na staveništi v souladu se zákonem 309/2006 Sb.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kterým se upravují další požadavky bezpečnosti a ochrany zdraví při práci v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pracovněprávních vztazích a o zajištění bezpečnosti a ochrany zdraví při činnosti nebo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poskytování služeb mimo pracovněprávní vztahy</w:t>
      </w:r>
      <w:r>
        <w:rPr>
          <w:rFonts w:asciiTheme="minorHAnsi" w:hAnsiTheme="minorHAnsi" w:cstheme="minorHAnsi"/>
          <w:snapToGrid w:val="0"/>
          <w:sz w:val="22"/>
          <w:szCs w:val="22"/>
        </w:rPr>
        <w:t>, ve znění dalších předpisů,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8FD147A" w14:textId="5B9D4E7A" w:rsidR="000E21C5" w:rsidRPr="00160545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při 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>provádění prací</w:t>
      </w:r>
      <w:r w:rsidR="00D242A6">
        <w:rPr>
          <w:rFonts w:asciiTheme="minorHAnsi" w:hAnsiTheme="minorHAnsi" w:cstheme="minorHAnsi"/>
          <w:snapToGrid w:val="0"/>
          <w:sz w:val="22"/>
          <w:szCs w:val="22"/>
        </w:rPr>
        <w:t xml:space="preserve"> týkajících se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 zdravotně technických rozvodů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dodržovat ustanovení příslušných vyhlášek, předpisů a norem (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zejména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5409</w:t>
      </w:r>
      <w:r w:rsidR="00160F02"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6760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</w:p>
    <w:p w14:paraId="68BE93F2" w14:textId="48647125" w:rsidR="000E21C5" w:rsidRPr="002C699D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navrhnout všechny části stavby v souladu s přepisy platnými v České republice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F3C6048" w14:textId="5A34D4F1" w:rsidR="00815C1E" w:rsidRPr="002C699D" w:rsidRDefault="0072709C" w:rsidP="00004DA6">
      <w:pPr>
        <w:pStyle w:val="Odstavecseseznamem"/>
        <w:widowControl w:val="0"/>
        <w:suppressAutoHyphens w:val="0"/>
        <w:spacing w:after="120" w:line="252" w:lineRule="auto"/>
        <w:ind w:left="709" w:hanging="70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8.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15C1E" w:rsidRPr="002C699D">
        <w:rPr>
          <w:rFonts w:asciiTheme="minorHAnsi" w:hAnsiTheme="minorHAnsi" w:cstheme="minorHAnsi"/>
          <w:sz w:val="22"/>
          <w:szCs w:val="22"/>
        </w:rPr>
        <w:t>Zhotovitel se zavazuje poskytnout Objednateli nevýhradní a neomezenou licenc</w:t>
      </w:r>
      <w:r w:rsidR="0098132C">
        <w:rPr>
          <w:rFonts w:asciiTheme="minorHAnsi" w:hAnsiTheme="minorHAnsi" w:cstheme="minorHAnsi"/>
          <w:sz w:val="22"/>
          <w:szCs w:val="22"/>
        </w:rPr>
        <w:t>i</w:t>
      </w:r>
      <w:r w:rsidR="00815C1E" w:rsidRPr="002C699D">
        <w:rPr>
          <w:rFonts w:asciiTheme="minorHAnsi" w:hAnsiTheme="minorHAnsi" w:cstheme="minorHAnsi"/>
          <w:sz w:val="22"/>
          <w:szCs w:val="22"/>
        </w:rPr>
        <w:t xml:space="preserve"> k</w:t>
      </w:r>
      <w:r w:rsidR="0052149D" w:rsidRPr="002C699D">
        <w:rPr>
          <w:rFonts w:asciiTheme="minorHAnsi" w:hAnsiTheme="minorHAnsi" w:cstheme="minorHAnsi"/>
          <w:sz w:val="22"/>
          <w:szCs w:val="22"/>
        </w:rPr>
        <w:t>e zhotovené dokumentaci skutečného provedení Díla.</w:t>
      </w:r>
    </w:p>
    <w:p w14:paraId="542BCC5C" w14:textId="243762AE" w:rsidR="0064243B" w:rsidRPr="002C699D" w:rsidRDefault="00897FEE" w:rsidP="00004DA6">
      <w:pPr>
        <w:pStyle w:val="Odstavecseseznamem"/>
        <w:widowControl w:val="0"/>
        <w:numPr>
          <w:ilvl w:val="0"/>
          <w:numId w:val="21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64243B" w:rsidRPr="002C699D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4243B" w:rsidRPr="002C699D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004DA6">
      <w:pPr>
        <w:pStyle w:val="Odstavecseseznamem"/>
        <w:widowControl w:val="0"/>
        <w:numPr>
          <w:ilvl w:val="0"/>
          <w:numId w:val="21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Pr="002C699D" w:rsidRDefault="00897FEE" w:rsidP="00004DA6">
      <w:pPr>
        <w:pStyle w:val="Odstavecseseznamem"/>
        <w:widowControl w:val="0"/>
        <w:numPr>
          <w:ilvl w:val="0"/>
          <w:numId w:val="21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2C972456" w14:textId="77777777" w:rsidR="00422646" w:rsidRPr="002C699D" w:rsidRDefault="00422646" w:rsidP="00883D31">
      <w:pPr>
        <w:pStyle w:val="Odstavecseseznamem"/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1" w:name="_Ref20924067"/>
      <w:r w:rsidRPr="002C699D">
        <w:rPr>
          <w:rFonts w:cstheme="minorHAnsi"/>
          <w:szCs w:val="22"/>
        </w:rPr>
        <w:lastRenderedPageBreak/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1"/>
    </w:p>
    <w:p w14:paraId="6743BAC8" w14:textId="158CBFBE" w:rsidR="00675B4F" w:rsidRDefault="00897FEE" w:rsidP="008A447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sedmi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>dnů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>i zaslána elektronickou poštou nejpozději pět (5) dnů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5D591F08" w14:textId="6218A64D" w:rsidR="00FF2C01" w:rsidRPr="007B493B" w:rsidRDefault="008937A4" w:rsidP="00FF2C0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Předpokládané datum předání staveniště </w:t>
      </w:r>
      <w:r w:rsidRPr="007B493B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="00CD3FD9" w:rsidRPr="007B493B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měsíci </w:t>
      </w:r>
      <w:r w:rsidR="00772268" w:rsidRPr="007B493B">
        <w:rPr>
          <w:rFonts w:asciiTheme="minorHAnsi" w:hAnsiTheme="minorHAnsi" w:cstheme="minorHAnsi"/>
          <w:b/>
          <w:bCs/>
          <w:sz w:val="22"/>
          <w:szCs w:val="22"/>
          <w:lang w:val="cs-CZ"/>
        </w:rPr>
        <w:t>červnu</w:t>
      </w:r>
      <w:r w:rsidR="00CD3FD9" w:rsidRPr="007B493B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7B493B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772268" w:rsidRPr="007B493B">
        <w:rPr>
          <w:rFonts w:asciiTheme="minorHAnsi" w:hAnsiTheme="minorHAnsi" w:cstheme="minorHAnsi"/>
          <w:b/>
          <w:bCs/>
          <w:sz w:val="22"/>
          <w:szCs w:val="22"/>
          <w:lang w:val="cs-CZ"/>
        </w:rPr>
        <w:t>4</w:t>
      </w:r>
      <w:r w:rsidRPr="007B493B">
        <w:rPr>
          <w:rFonts w:asciiTheme="minorHAnsi" w:hAnsiTheme="minorHAnsi" w:cstheme="minorHAnsi"/>
          <w:sz w:val="22"/>
          <w:szCs w:val="22"/>
          <w:lang w:val="cs-CZ"/>
        </w:rPr>
        <w:t>.</w:t>
      </w:r>
      <w:bookmarkStart w:id="12" w:name="_Ref479011678"/>
      <w:bookmarkStart w:id="13" w:name="_Ref469402524"/>
    </w:p>
    <w:p w14:paraId="1BB23982" w14:textId="5E3C67E8" w:rsidR="00FF2C01" w:rsidRPr="00081972" w:rsidRDefault="00FF2C01" w:rsidP="00A4097F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1134" w:hanging="426"/>
        <w:rPr>
          <w:rFonts w:asciiTheme="minorHAnsi" w:hAnsiTheme="minorHAnsi" w:cstheme="minorHAnsi"/>
          <w:sz w:val="22"/>
          <w:szCs w:val="22"/>
        </w:rPr>
      </w:pP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081972">
        <w:rPr>
          <w:rFonts w:asciiTheme="minorHAnsi" w:hAnsiTheme="minorHAnsi" w:cstheme="minorHAnsi"/>
          <w:color w:val="000000"/>
          <w:sz w:val="22"/>
          <w:szCs w:val="22"/>
        </w:rPr>
        <w:t xml:space="preserve"> pro dokončení díla </w:t>
      </w:r>
      <w:r w:rsidR="00772268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>do 26.</w:t>
      </w:r>
      <w:r w:rsidR="00B427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bookmarkEnd w:id="12"/>
      <w:bookmarkEnd w:id="13"/>
      <w:r w:rsidR="007B493B">
        <w:rPr>
          <w:rFonts w:asciiTheme="minorHAnsi" w:hAnsiTheme="minorHAnsi" w:cstheme="minorHAnsi"/>
          <w:color w:val="000000"/>
          <w:sz w:val="22"/>
          <w:szCs w:val="22"/>
          <w:lang w:val="cs-CZ"/>
        </w:rPr>
        <w:t>srpna</w:t>
      </w:r>
      <w:r w:rsidR="00B427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064C57">
        <w:rPr>
          <w:rFonts w:asciiTheme="minorHAnsi" w:hAnsiTheme="minorHAnsi" w:cstheme="minorHAnsi"/>
          <w:color w:val="000000"/>
          <w:sz w:val="22"/>
          <w:szCs w:val="22"/>
          <w:lang w:val="cs-CZ"/>
        </w:rPr>
        <w:t>2024</w:t>
      </w:r>
      <w:r w:rsidR="00081972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14294B" w14:textId="1C24119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k vyzvání Objednatele k převzetí díla</w:t>
      </w:r>
    </w:p>
    <w:p w14:paraId="77A96853" w14:textId="22D3BFC7" w:rsidR="00A53B37" w:rsidRDefault="00A53B37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7 dnů před koncem Finální lhůty.</w:t>
      </w:r>
    </w:p>
    <w:p w14:paraId="10D90365" w14:textId="6EE51CE8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úplnému vyklizení Staveniště </w:t>
      </w:r>
    </w:p>
    <w:p w14:paraId="7063E3F3" w14:textId="15153450" w:rsidR="00A53B37" w:rsidRDefault="00A53B37" w:rsidP="00A53B37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5 pracovních dnů po předání a převzetí díla.</w:t>
      </w:r>
    </w:p>
    <w:p w14:paraId="1C2C05C3" w14:textId="7E11420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odstranění případných Drobných vad </w:t>
      </w:r>
    </w:p>
    <w:p w14:paraId="164B586A" w14:textId="77777777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10 dnů po předání a převzetí díla, případně ve lhůtě sjednané smluvními stranami při předání a převzetí díla.</w:t>
      </w: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310A71FD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</w:t>
      </w:r>
      <w:r w:rsidR="00865E90">
        <w:rPr>
          <w:rFonts w:asciiTheme="minorHAnsi" w:hAnsiTheme="minorHAnsi" w:cstheme="minorHAnsi"/>
          <w:sz w:val="22"/>
          <w:szCs w:val="22"/>
        </w:rPr>
        <w:t>je budova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4" w:name="_Ref68611896"/>
      <w:r w:rsidRPr="002C699D">
        <w:rPr>
          <w:rFonts w:cstheme="minorHAnsi"/>
          <w:szCs w:val="22"/>
        </w:rPr>
        <w:t>PRÁVA A POVINNOSTI ZHOTOVITELE</w:t>
      </w:r>
      <w:bookmarkEnd w:id="14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7A2F9E5" w14:textId="77777777" w:rsidR="004139D4" w:rsidRDefault="004139D4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 je povinen umožnit Objednateli provádění kontroly realizace Díla, zejména pak Zhotovitel umožní v průběhu realizace stavby provedení kontrolních prohlídek stavby ve smyslu § 133 zákona č. 183/2006, o územním plánování a stavebním řádu, ve znění pozdějších předpisů (dále jen „</w:t>
      </w:r>
      <w:r w:rsidRPr="004139D4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Stavební zákon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“) a zajistí nápravu zjištěných nedostatků v objednatelem stanovené přiměřené lhůtě. Zhotovitel se zavazuje zajistit účast stavbyvedoucího na kontrolní prohlídce.</w:t>
      </w:r>
    </w:p>
    <w:p w14:paraId="78500737" w14:textId="0C6EF816" w:rsidR="004139D4" w:rsidRPr="004139D4" w:rsidRDefault="004139D4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vést ode dne předání staveniště do dne předání a převzetí stavby stavební deník. Do stavebního deníku bude zhotovitel zapisovat všechny skutečnosti stanovené Stavebním zákonem a vyhláškou č. 499/2006 Sb., o dokumentaci staveb a současně všechny skutečnosti rozhodné pro plnění podmínek této smlouvy, změny harmonogramu postupu prací: Stavební deník bude splňovat veškeré náležitosti úředního dokladu a bude uložen tak, aby byl přístupný oběma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stranám, případně kontrolním orgánům. Po odstranění veškerých vad a nedodělků Díla dle této Smlouvy a po převzetí Díla Objednatelem předá Zhotovitel Objednateli originál stavebního deníku.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D284C58" w14:textId="6ADED163" w:rsidR="0078621B" w:rsidRPr="000A0F83" w:rsidRDefault="0078621B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Ref65166929"/>
      <w:r w:rsidRPr="000A0F83">
        <w:rPr>
          <w:rFonts w:asciiTheme="minorHAnsi" w:hAnsiTheme="minorHAnsi" w:cstheme="minorHAnsi"/>
          <w:sz w:val="22"/>
          <w:szCs w:val="22"/>
          <w:lang w:eastAsia="en-US"/>
        </w:rPr>
        <w:t>Zhotovitel je oprávněn v průběhu trvání této smlouvy změnit osobu</w:t>
      </w:r>
      <w:r w:rsidRPr="000A0F83">
        <w:rPr>
          <w:rFonts w:asciiTheme="minorHAnsi" w:hAnsiTheme="minorHAnsi" w:cstheme="minorHAnsi"/>
          <w:sz w:val="22"/>
          <w:szCs w:val="22"/>
        </w:rPr>
        <w:t xml:space="preserve">, </w:t>
      </w:r>
      <w:r w:rsidR="00C116F5" w:rsidRPr="000A0F83">
        <w:rPr>
          <w:rFonts w:asciiTheme="minorHAnsi" w:hAnsiTheme="minorHAnsi" w:cstheme="minorHAnsi"/>
          <w:sz w:val="22"/>
          <w:szCs w:val="22"/>
        </w:rPr>
        <w:t xml:space="preserve">jejímž prostřednictvím zabezpečuje odbornou způsobilost v rozsahu dle § 5 odst. 3 písm. </w:t>
      </w:r>
      <w:r w:rsidR="00606FF7" w:rsidRPr="000A0F83">
        <w:rPr>
          <w:rFonts w:asciiTheme="minorHAnsi" w:hAnsiTheme="minorHAnsi" w:cstheme="minorHAnsi"/>
          <w:sz w:val="22"/>
          <w:szCs w:val="22"/>
        </w:rPr>
        <w:t>a</w:t>
      </w:r>
      <w:r w:rsidR="00193549" w:rsidRPr="000A0F83">
        <w:rPr>
          <w:rFonts w:asciiTheme="minorHAnsi" w:hAnsiTheme="minorHAnsi" w:cstheme="minorHAnsi"/>
          <w:sz w:val="22"/>
          <w:szCs w:val="22"/>
        </w:rPr>
        <w:t xml:space="preserve">) </w:t>
      </w:r>
      <w:r w:rsidR="00C116F5" w:rsidRPr="000A0F83">
        <w:rPr>
          <w:rFonts w:asciiTheme="minorHAnsi" w:hAnsiTheme="minorHAnsi" w:cstheme="minorHAnsi"/>
          <w:sz w:val="22"/>
          <w:szCs w:val="22"/>
        </w:rPr>
        <w:t>zákona č. 360/1992 Sb., o</w:t>
      </w:r>
      <w:r w:rsidR="00AA3E7A" w:rsidRPr="000A0F83">
        <w:rPr>
          <w:rFonts w:asciiTheme="minorHAnsi" w:hAnsiTheme="minorHAnsi" w:cstheme="minorHAnsi"/>
          <w:sz w:val="22"/>
          <w:szCs w:val="22"/>
        </w:rPr>
        <w:t> </w:t>
      </w:r>
      <w:r w:rsidR="00C116F5" w:rsidRPr="000A0F83">
        <w:rPr>
          <w:rFonts w:asciiTheme="minorHAnsi" w:hAnsiTheme="minorHAnsi" w:cstheme="minorHAnsi"/>
          <w:sz w:val="22"/>
          <w:szCs w:val="22"/>
        </w:rPr>
        <w:t>výkonu povolání autorizovaných architektů a o výkonu povolání autorizovaných inženýrů a</w:t>
      </w:r>
      <w:r w:rsidR="00AA3E7A" w:rsidRPr="000A0F83">
        <w:rPr>
          <w:rFonts w:asciiTheme="minorHAnsi" w:hAnsiTheme="minorHAnsi" w:cstheme="minorHAnsi"/>
          <w:sz w:val="22"/>
          <w:szCs w:val="22"/>
        </w:rPr>
        <w:t> </w:t>
      </w:r>
      <w:r w:rsidR="00C116F5" w:rsidRPr="000A0F83">
        <w:rPr>
          <w:rFonts w:asciiTheme="minorHAnsi" w:hAnsiTheme="minorHAnsi" w:cstheme="minorHAnsi"/>
          <w:sz w:val="22"/>
          <w:szCs w:val="22"/>
        </w:rPr>
        <w:t>techniků činných ve výstavbě, ve znění pozdějších předpisů</w:t>
      </w:r>
      <w:r w:rsidR="0001635F" w:rsidRPr="000A0F83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01635F" w:rsidRPr="000A0F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„zákon o výkonu povolání autorizovaných architektů“</w:t>
      </w:r>
      <w:r w:rsidR="0001635F" w:rsidRPr="000A0F83">
        <w:rPr>
          <w:rFonts w:asciiTheme="minorHAnsi" w:hAnsiTheme="minorHAnsi" w:cstheme="minorHAnsi"/>
          <w:sz w:val="22"/>
          <w:szCs w:val="22"/>
        </w:rPr>
        <w:t>)</w:t>
      </w:r>
      <w:r w:rsidR="00037074" w:rsidRPr="000A0F83">
        <w:rPr>
          <w:rFonts w:asciiTheme="minorHAnsi" w:hAnsiTheme="minorHAnsi" w:cstheme="minorHAnsi"/>
          <w:sz w:val="22"/>
          <w:szCs w:val="22"/>
        </w:rPr>
        <w:t xml:space="preserve"> </w:t>
      </w:r>
      <w:r w:rsidR="00C116F5" w:rsidRPr="000A0F83">
        <w:rPr>
          <w:rFonts w:asciiTheme="minorHAnsi" w:hAnsiTheme="minorHAnsi" w:cstheme="minorHAnsi"/>
          <w:sz w:val="22"/>
          <w:szCs w:val="22"/>
        </w:rPr>
        <w:t>pro obor</w:t>
      </w:r>
      <w:r w:rsidR="00193549" w:rsidRPr="000A0F83">
        <w:rPr>
          <w:rFonts w:asciiTheme="minorHAnsi" w:hAnsiTheme="minorHAnsi" w:cstheme="minorHAnsi"/>
          <w:sz w:val="22"/>
          <w:szCs w:val="22"/>
        </w:rPr>
        <w:t xml:space="preserve"> </w:t>
      </w:r>
      <w:r w:rsidR="0054438F" w:rsidRPr="000A0F83">
        <w:rPr>
          <w:rFonts w:asciiTheme="minorHAnsi" w:hAnsiTheme="minorHAnsi" w:cstheme="minorHAnsi"/>
          <w:sz w:val="22"/>
          <w:szCs w:val="22"/>
        </w:rPr>
        <w:t>„pozemní stavby“</w:t>
      </w:r>
      <w:r w:rsidRPr="000A0F83">
        <w:rPr>
          <w:rFonts w:asciiTheme="minorHAnsi" w:hAnsiTheme="minorHAnsi" w:cstheme="minorHAnsi"/>
          <w:sz w:val="22"/>
          <w:szCs w:val="22"/>
        </w:rPr>
        <w:t>,</w:t>
      </w:r>
      <w:r w:rsidRPr="000A0F83">
        <w:rPr>
          <w:rFonts w:asciiTheme="minorHAnsi" w:hAnsiTheme="minorHAnsi" w:cstheme="minorHAnsi"/>
          <w:sz w:val="22"/>
          <w:szCs w:val="22"/>
          <w:lang w:eastAsia="en-US"/>
        </w:rPr>
        <w:t xml:space="preserve"> uvedenou v příloze č. 2 této smlouvy</w:t>
      </w:r>
      <w:r w:rsidR="00A8688A" w:rsidRPr="000A0F83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0A0F83">
        <w:rPr>
          <w:rFonts w:asciiTheme="minorHAnsi" w:hAnsiTheme="minorHAnsi" w:cstheme="minorHAnsi"/>
          <w:sz w:val="22"/>
          <w:szCs w:val="22"/>
          <w:lang w:eastAsia="en-US"/>
        </w:rPr>
        <w:t xml:space="preserve"> pouze s předchozím písemným souhlasem Objednatele. Nová osoba musí disponovat minimálně stejnou kvalifikací, jakou Objednatel (v pozici zadavatele) požadoval k prokázání splnění kvalifikace v zadávacím řízení, na jehož základě je uzavřena tato smlouva. Objednatel vydá písemný souhlas se změnou do </w:t>
      </w:r>
      <w:r w:rsidR="00A8688A" w:rsidRPr="000A0F83">
        <w:rPr>
          <w:rFonts w:asciiTheme="minorHAnsi" w:hAnsiTheme="minorHAnsi" w:cstheme="minorHAnsi"/>
          <w:sz w:val="22"/>
          <w:szCs w:val="22"/>
          <w:lang w:eastAsia="en-US"/>
        </w:rPr>
        <w:t>5 pracovních</w:t>
      </w:r>
      <w:r w:rsidRPr="000A0F83">
        <w:rPr>
          <w:rFonts w:asciiTheme="minorHAnsi" w:hAnsiTheme="minorHAnsi" w:cstheme="minorHAnsi"/>
          <w:sz w:val="22"/>
          <w:szCs w:val="22"/>
          <w:lang w:eastAsia="en-US"/>
        </w:rPr>
        <w:t xml:space="preserve"> dnů od doručení žádosti Zhotovitele a potřebných dokladů Objednateli, disponuje-li nová osoba potřebnou kvalifikací. Objednatel nesmí souhlas se</w:t>
      </w:r>
      <w:r w:rsidR="00AB498F" w:rsidRPr="000A0F83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0A0F83">
        <w:rPr>
          <w:rFonts w:asciiTheme="minorHAnsi" w:hAnsiTheme="minorHAnsi" w:cstheme="minorHAnsi"/>
          <w:sz w:val="22"/>
          <w:szCs w:val="22"/>
          <w:lang w:eastAsia="en-US"/>
        </w:rPr>
        <w:t>změnou osoby bez vážných objektivních důvodů odmítnout, pokud mu budou Zhotovitelem příslušné doklady předloženy.</w:t>
      </w:r>
      <w:bookmarkEnd w:id="15"/>
    </w:p>
    <w:p w14:paraId="0113AC65" w14:textId="5C8DAE8A" w:rsidR="00DD5D91" w:rsidRDefault="00DD5D91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D91">
        <w:rPr>
          <w:rFonts w:asciiTheme="minorHAnsi" w:hAnsiTheme="minorHAnsi" w:cstheme="minorHAnsi"/>
          <w:sz w:val="22"/>
          <w:szCs w:val="22"/>
          <w:lang w:eastAsia="en-US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</w:t>
      </w:r>
      <w:r w:rsidR="00CD488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042C532B" w:rsidR="007E0EF6" w:rsidRPr="00484A45" w:rsidRDefault="007E0EF6" w:rsidP="00484A4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6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7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článku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2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7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6"/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20919205"/>
      <w:r w:rsidRPr="002C699D">
        <w:rPr>
          <w:rFonts w:cstheme="minorHAnsi"/>
          <w:szCs w:val="22"/>
        </w:rPr>
        <w:t>CENA DÍLA</w:t>
      </w:r>
      <w:bookmarkEnd w:id="18"/>
    </w:p>
    <w:p w14:paraId="1891EF0F" w14:textId="2A809EC0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4E5167" w:rsidRPr="004E5167">
        <w:rPr>
          <w:rFonts w:asciiTheme="minorHAnsi" w:hAnsiTheme="minorHAnsi" w:cstheme="minorHAnsi"/>
          <w:b/>
          <w:bCs/>
          <w:sz w:val="22"/>
          <w:szCs w:val="22"/>
        </w:rPr>
        <w:t>432 859,-</w:t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B9165ED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>jednaná cena Díla obsahuje veškeré náklady nutné k řádnému provedení Díla ve Smlouvou vymezeném rozsahu</w:t>
      </w:r>
      <w:r w:rsidR="0096185E">
        <w:rPr>
          <w:rFonts w:asciiTheme="minorHAnsi" w:hAnsiTheme="minorHAnsi" w:cstheme="minorHAnsi"/>
          <w:sz w:val="22"/>
          <w:szCs w:val="22"/>
        </w:rPr>
        <w:t xml:space="preserve"> i přiměřený zisk zhotovitele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2C699D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>
        <w:rPr>
          <w:rFonts w:asciiTheme="minorHAnsi" w:hAnsiTheme="minorHAnsi" w:cstheme="minorHAnsi"/>
          <w:sz w:val="22"/>
          <w:szCs w:val="22"/>
        </w:rPr>
        <w:t>.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039DBAD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>položkového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nebo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242A6">
        <w:rPr>
          <w:rFonts w:asciiTheme="minorHAnsi" w:hAnsiTheme="minorHAnsi" w:cstheme="minorHAnsi"/>
          <w:sz w:val="22"/>
          <w:szCs w:val="22"/>
        </w:rPr>
        <w:t>Projektové dokumentace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3AD650FD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stavebními pracemi se rozumí stavební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stavební práce jsou nezbytné pro provedení původních stavebních prací.</w:t>
      </w:r>
    </w:p>
    <w:p w14:paraId="49AC5D18" w14:textId="6D86A3D1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stavební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 a </w:t>
      </w:r>
      <w:r w:rsidR="00D242A6">
        <w:rPr>
          <w:rFonts w:asciiTheme="minorHAnsi" w:hAnsiTheme="minorHAnsi" w:cstheme="minorHAnsi"/>
          <w:sz w:val="22"/>
          <w:szCs w:val="22"/>
        </w:rPr>
        <w:t>Projektové dokumentaci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stavební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prověří nutnost provedení dodatečných stavebních 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stavebních prací. Dodatečné stavební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1C35519E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stavebních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9" w:name="_Ref70940551"/>
      <w:r w:rsidRPr="002C699D">
        <w:rPr>
          <w:rFonts w:cstheme="minorHAnsi"/>
          <w:szCs w:val="22"/>
        </w:rPr>
        <w:t>PLATEBNÍ PODMÍNKY</w:t>
      </w:r>
      <w:bookmarkEnd w:id="19"/>
    </w:p>
    <w:p w14:paraId="6D3A8BDE" w14:textId="277D010A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 xml:space="preserve">Podkladem pro úhradu Ceny bude daňový doklad s náležitostmi daňového dokladu dle Zákona o DPH a náležitostmi stanovenými </w:t>
      </w:r>
      <w:proofErr w:type="spellStart"/>
      <w:r w:rsidRPr="00781F9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81F93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XIV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XIV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lastRenderedPageBreak/>
        <w:t>Splatnost Faktury je stanovena na 30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0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20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5ED40F99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pěti </w:t>
      </w:r>
      <w:r w:rsidR="00A7574C" w:rsidRPr="006D0236">
        <w:rPr>
          <w:rFonts w:asciiTheme="minorHAnsi" w:hAnsiTheme="minorHAnsi" w:cstheme="minorHAnsi"/>
          <w:sz w:val="22"/>
          <w:szCs w:val="22"/>
        </w:rPr>
        <w:t>(5)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D0236">
        <w:rPr>
          <w:rFonts w:asciiTheme="minorHAnsi" w:hAnsiTheme="minorHAnsi" w:cstheme="minorHAnsi"/>
          <w:b/>
          <w:bCs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1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činností Zhotovitele dojde ke způsobení majetkové nebo nemajetkové újmy Objednateli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14A5C2" w14:textId="0F0952A9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2" w:name="_Ref20923443"/>
      <w:r w:rsidRPr="002C699D">
        <w:rPr>
          <w:rFonts w:cstheme="minorHAnsi"/>
          <w:szCs w:val="22"/>
        </w:rPr>
        <w:t>POJIŠTĚNÍ</w:t>
      </w:r>
      <w:bookmarkEnd w:id="22"/>
    </w:p>
    <w:p w14:paraId="1E2801E2" w14:textId="67478303" w:rsidR="002008E8" w:rsidRPr="002C699D" w:rsidRDefault="00897FEE" w:rsidP="005D0737">
      <w:pPr>
        <w:widowControl w:val="0"/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20923445"/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mít 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v postavení pojištěného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uzavřenu 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pojistnou </w:t>
      </w:r>
      <w:r w:rsidR="003B7326" w:rsidRPr="002C699D">
        <w:rPr>
          <w:rFonts w:asciiTheme="minorHAnsi" w:hAnsiTheme="minorHAnsi" w:cstheme="minorHAnsi"/>
          <w:sz w:val="22"/>
          <w:szCs w:val="22"/>
        </w:rPr>
        <w:t>s</w:t>
      </w:r>
      <w:r w:rsidR="007E396F" w:rsidRPr="002C699D">
        <w:rPr>
          <w:rFonts w:asciiTheme="minorHAnsi" w:hAnsiTheme="minorHAnsi" w:cstheme="minorHAnsi"/>
          <w:sz w:val="22"/>
          <w:szCs w:val="22"/>
        </w:rPr>
        <w:t>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u s pojišťovnou na pojištění </w:t>
      </w:r>
      <w:bookmarkStart w:id="24" w:name="_Hlk37105335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s jednorázovým pojistným plněním </w:t>
      </w:r>
      <w:bookmarkEnd w:id="24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E12CBA" w:rsidRPr="002C699D">
        <w:rPr>
          <w:rFonts w:asciiTheme="minorHAnsi" w:hAnsiTheme="minorHAnsi" w:cstheme="minorHAnsi"/>
          <w:sz w:val="22"/>
          <w:szCs w:val="22"/>
        </w:rPr>
        <w:t>ceny Díla bez DPH</w:t>
      </w:r>
      <w:r w:rsidR="0099726E" w:rsidRPr="002C699D">
        <w:rPr>
          <w:rFonts w:asciiTheme="minorHAnsi" w:hAnsiTheme="minorHAnsi" w:cstheme="minorHAnsi"/>
          <w:sz w:val="22"/>
          <w:szCs w:val="22"/>
        </w:rPr>
        <w:t xml:space="preserve"> za jednu škodnou událost</w:t>
      </w:r>
      <w:r w:rsidR="002008E8" w:rsidRPr="002C699D">
        <w:rPr>
          <w:rFonts w:asciiTheme="minorHAnsi" w:hAnsiTheme="minorHAnsi" w:cstheme="minorHAnsi"/>
          <w:sz w:val="22"/>
          <w:szCs w:val="22"/>
        </w:rPr>
        <w:t>. Originál nebo ověřen</w:t>
      </w:r>
      <w:r w:rsidR="00EE35F6" w:rsidRPr="002C699D">
        <w:rPr>
          <w:rFonts w:asciiTheme="minorHAnsi" w:hAnsiTheme="minorHAnsi" w:cstheme="minorHAnsi"/>
          <w:sz w:val="22"/>
          <w:szCs w:val="22"/>
        </w:rPr>
        <w:t>ou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2C699D">
        <w:rPr>
          <w:rFonts w:asciiTheme="minorHAnsi" w:hAnsiTheme="minorHAnsi" w:cstheme="minorHAnsi"/>
          <w:sz w:val="22"/>
          <w:szCs w:val="22"/>
        </w:rPr>
        <w:t>i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nebo originál nebo ověřen</w:t>
      </w:r>
      <w:r w:rsidR="00EE35F6" w:rsidRPr="002C699D">
        <w:rPr>
          <w:rFonts w:asciiTheme="minorHAnsi" w:hAnsiTheme="minorHAnsi" w:cstheme="minorHAnsi"/>
          <w:sz w:val="22"/>
          <w:szCs w:val="22"/>
        </w:rPr>
        <w:t>ou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2C699D">
        <w:rPr>
          <w:rFonts w:asciiTheme="minorHAnsi" w:hAnsiTheme="minorHAnsi" w:cstheme="minorHAnsi"/>
          <w:sz w:val="22"/>
          <w:szCs w:val="22"/>
        </w:rPr>
        <w:t>i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předloží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i vždy nejpozději do 3 dnů </w:t>
      </w:r>
      <w:r w:rsidR="00E552E7">
        <w:rPr>
          <w:rFonts w:asciiTheme="minorHAnsi" w:hAnsiTheme="minorHAnsi" w:cstheme="minorHAnsi"/>
          <w:sz w:val="22"/>
          <w:szCs w:val="22"/>
        </w:rPr>
        <w:t xml:space="preserve">od nabytí účinnosti smlouvy. 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Pojistná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Smlouva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bude platná a účinná po celou dobu trvání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>e.</w:t>
      </w:r>
      <w:bookmarkEnd w:id="23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FEFC" w14:textId="05E41B53" w:rsidR="002008E8" w:rsidRPr="002C699D" w:rsidRDefault="002008E8" w:rsidP="005D0737">
      <w:pPr>
        <w:widowControl w:val="0"/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C2EF91D" w14:textId="323057A1" w:rsidR="002008E8" w:rsidRPr="002C699D" w:rsidRDefault="00897FEE" w:rsidP="005D0737">
      <w:pPr>
        <w:widowControl w:val="0"/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039E93E8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2B7910BC" w14:textId="40F702EC" w:rsidR="009001E1" w:rsidRPr="002C699D" w:rsidRDefault="001F2F7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E83CE0B" w14:textId="26FA86A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svou povinnost předložit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na jeho výzvu pojistnou </w:t>
      </w:r>
      <w:r w:rsidR="0067219D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u nebo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pojistný certifikát za podmínek dle čl.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_Ref20923443 \r \h  \* MERGEFORMAT </w:instrTex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napToGrid w:val="0"/>
          <w:sz w:val="22"/>
          <w:szCs w:val="22"/>
        </w:rPr>
        <w:t>XI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_Ref20923445 \r \h  \* MERGEFORMAT </w:instrTex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vzniká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smluvní pokutu ve výši 1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 000,- Kč za každé takové porušení povinnosti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BB5AD6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to i opakovaně.</w:t>
      </w:r>
    </w:p>
    <w:p w14:paraId="53716E9C" w14:textId="4FCC1D5C" w:rsidR="00A166F3" w:rsidRPr="002C699D" w:rsidRDefault="00A166F3" w:rsidP="0001635F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Zhotovitel svou povinnost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změnit </w:t>
      </w:r>
      <w:r w:rsidRPr="008A6190">
        <w:rPr>
          <w:rFonts w:asciiTheme="minorHAnsi" w:hAnsiTheme="minorHAnsi" w:cstheme="minorHAnsi"/>
          <w:sz w:val="22"/>
          <w:szCs w:val="22"/>
          <w:lang w:eastAsia="en-US"/>
        </w:rPr>
        <w:t>v průběhu trvání této smlouvy osobu</w:t>
      </w:r>
      <w:r w:rsidRPr="008A6190">
        <w:rPr>
          <w:rFonts w:asciiTheme="minorHAnsi" w:hAnsiTheme="minorHAnsi" w:cstheme="minorHAnsi"/>
          <w:sz w:val="22"/>
          <w:szCs w:val="22"/>
        </w:rPr>
        <w:t xml:space="preserve">, </w:t>
      </w:r>
      <w:r w:rsidR="0001635F" w:rsidRPr="00037074">
        <w:rPr>
          <w:rFonts w:asciiTheme="minorHAnsi" w:hAnsiTheme="minorHAnsi" w:cstheme="minorHAnsi"/>
          <w:sz w:val="22"/>
          <w:szCs w:val="22"/>
        </w:rPr>
        <w:t xml:space="preserve">jejímž prostřednictvím zabezpečuje odbornou způsobilost v rozsahu dle § 5 odst. 3 písm. </w:t>
      </w:r>
      <w:r w:rsidR="0001635F">
        <w:rPr>
          <w:rFonts w:asciiTheme="minorHAnsi" w:hAnsiTheme="minorHAnsi" w:cstheme="minorHAnsi"/>
          <w:sz w:val="22"/>
          <w:szCs w:val="22"/>
        </w:rPr>
        <w:t>a</w:t>
      </w:r>
      <w:r w:rsidR="00675425">
        <w:rPr>
          <w:rFonts w:asciiTheme="minorHAnsi" w:hAnsiTheme="minorHAnsi" w:cstheme="minorHAnsi"/>
          <w:sz w:val="22"/>
          <w:szCs w:val="22"/>
        </w:rPr>
        <w:t>)</w:t>
      </w:r>
      <w:r w:rsidR="0001635F" w:rsidRPr="00037074">
        <w:rPr>
          <w:rFonts w:asciiTheme="minorHAnsi" w:hAnsiTheme="minorHAnsi" w:cstheme="minorHAnsi"/>
          <w:sz w:val="22"/>
          <w:szCs w:val="22"/>
        </w:rPr>
        <w:t xml:space="preserve"> zákona 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01635F" w:rsidRPr="00037074">
        <w:rPr>
          <w:rFonts w:asciiTheme="minorHAnsi" w:hAnsiTheme="minorHAnsi" w:cstheme="minorHAnsi"/>
          <w:sz w:val="22"/>
          <w:szCs w:val="22"/>
        </w:rPr>
        <w:t xml:space="preserve">výkonu povolání autorizovaných architektů </w:t>
      </w:r>
      <w:r>
        <w:rPr>
          <w:rFonts w:asciiTheme="minorHAnsi" w:hAnsiTheme="minorHAnsi" w:cstheme="minorHAnsi"/>
          <w:sz w:val="22"/>
          <w:szCs w:val="22"/>
        </w:rPr>
        <w:t>pouze po předchozím písemném souhlasu Objednatele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podmínek dle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čl.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>VI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E10912" w:rsidRPr="00410134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01635F"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Smlouvy, vzniká Objednateli právo účtovat Zhotoviteli smluvní pokutu ve výši </w:t>
      </w:r>
      <w:r w:rsidR="00675425" w:rsidRPr="00410134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 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každé takové porušení povinnosti Zhotovitele, a to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opakovaně.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28871619" w14:textId="3BAC38BC" w:rsidR="0048609F" w:rsidRDefault="0048609F" w:rsidP="00D20B7A">
      <w:pPr>
        <w:pStyle w:val="Odstavecseseznamem"/>
        <w:widowControl w:val="0"/>
        <w:numPr>
          <w:ilvl w:val="0"/>
          <w:numId w:val="7"/>
        </w:numPr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porušení povinnosti zhotovitele předložit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bjednateli na jeho výzvu pojistnou smlouvu nebo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pojistný certifikát v souladu s čl.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_Ref20923443 \r \h  \* MERGEFORMAT </w:instrTex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napToGrid w:val="0"/>
          <w:sz w:val="22"/>
          <w:szCs w:val="22"/>
        </w:rPr>
        <w:t>XI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_Ref20923445 \r \h  \* MERGEFORMAT </w:instrTex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Smlouvy.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5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25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0642FCDD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</w:t>
      </w:r>
      <w:r w:rsidRPr="002D0451">
        <w:rPr>
          <w:rFonts w:asciiTheme="minorHAnsi" w:hAnsiTheme="minorHAnsi" w:cstheme="minorHAnsi"/>
          <w:sz w:val="22"/>
          <w:szCs w:val="22"/>
        </w:rPr>
        <w:lastRenderedPageBreak/>
        <w:t>respektive rozpracovaných jednotek. Lhůta pro předání Díla může být ve smlouvě s novým 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Nový zhotovitel musí splňovat kritéria kvalifikace stanovená v zadávací dokumentaci Původního výběrového řízení a musí splnit další podmínky na uzavření smlouvy stanovené v zadávací 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6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6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7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8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8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27A87950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</w:tcPr>
          <w:p w14:paraId="1F9191B6" w14:textId="2061A9E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4E516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Brně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9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9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5E934FAE" w14:textId="77777777" w:rsidR="004E5167" w:rsidRDefault="004E5167" w:rsidP="004E5167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DRS stavební s.r.o.</w:t>
            </w:r>
          </w:p>
          <w:p w14:paraId="0DD37A2D" w14:textId="5464B747" w:rsidR="00ED0669" w:rsidRPr="002C699D" w:rsidRDefault="004E5167" w:rsidP="004E5167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Ing. Martin Drábek                     David </w:t>
            </w: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Šprincl</w:t>
            </w:r>
            <w:proofErr w:type="spellEnd"/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AC272B" w14:textId="081FE952" w:rsidR="004E5167" w:rsidRDefault="004E5167" w:rsidP="00D1318D">
      <w:pPr>
        <w:widowControl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30" w:name="_Hlk67036723"/>
    </w:p>
    <w:p w14:paraId="4B46947A" w14:textId="77777777" w:rsidR="004E5167" w:rsidRDefault="004E5167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30"/>
    <w:p w14:paraId="27C49F2F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6C56CE" w14:textId="77777777" w:rsidR="004E5167" w:rsidRPr="001062B8" w:rsidRDefault="00D1318D" w:rsidP="004E5167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="004E5167"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 w:rsidR="004E5167"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A4AE4FD" w14:textId="77777777" w:rsidR="004E5167" w:rsidRPr="001062B8" w:rsidRDefault="004E5167" w:rsidP="004E5167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563FBB0A" w14:textId="77777777" w:rsidR="004E5167" w:rsidRPr="001062B8" w:rsidRDefault="004E5167" w:rsidP="004E5167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5F75582" w14:textId="77777777" w:rsidR="004E5167" w:rsidRPr="001062B8" w:rsidRDefault="004E5167" w:rsidP="004E5167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5C984520" w14:textId="5589D707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8A0C1DA" w14:textId="240AFA6A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A39B13F" w14:textId="54358A4D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2518AB1" w14:textId="77777777" w:rsidR="004E5167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4262C0" w14:textId="250784FD" w:rsidR="004E5167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Odborně způsobilá osoba pro obor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6D306F1" w14:textId="2C85AFA9" w:rsidR="004E5167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8BE15F2" w14:textId="1FB0A064" w:rsidR="004E5167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F5CBDA2" w14:textId="77777777" w:rsidR="004E5167" w:rsidRPr="001062B8" w:rsidRDefault="004E5167" w:rsidP="004E5167">
      <w:pPr>
        <w:spacing w:after="120" w:line="264" w:lineRule="auto"/>
        <w:ind w:left="2835" w:hanging="2835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43E3A5BA" w14:textId="77777777" w:rsidR="004E5167" w:rsidRPr="001062B8" w:rsidRDefault="004E5167" w:rsidP="004E5167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0F599B0D" w14:textId="5605E66E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B9E0A53" w14:textId="3B65FC74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8FF12BA" w14:textId="5292B698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C7E5E15" w14:textId="77777777" w:rsidR="004E5167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EC36DA" w14:textId="6173D7DB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Technický dozor stavebníka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</w:p>
    <w:p w14:paraId="6F012056" w14:textId="39FF8C76" w:rsidR="004E5167" w:rsidRPr="001062B8" w:rsidRDefault="004E5167" w:rsidP="004E5167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E332349" w14:textId="1BBC6203" w:rsidR="00D1318D" w:rsidRDefault="004E5167" w:rsidP="004E5167">
      <w:pPr>
        <w:widowControl w:val="0"/>
        <w:spacing w:after="120" w:line="264" w:lineRule="auto"/>
        <w:ind w:firstLine="357"/>
        <w:rPr>
          <w:rFonts w:asciiTheme="minorHAnsi" w:hAnsiTheme="minorHAnsi" w:cstheme="minorHAnsi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1117" w14:textId="77777777" w:rsidR="005E3229" w:rsidRDefault="005E3229">
      <w:r>
        <w:separator/>
      </w:r>
    </w:p>
  </w:endnote>
  <w:endnote w:type="continuationSeparator" w:id="0">
    <w:p w14:paraId="6EE25037" w14:textId="77777777" w:rsidR="005E3229" w:rsidRDefault="005E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FA06" w14:textId="77777777" w:rsidR="005E3229" w:rsidRDefault="005E3229">
      <w:r>
        <w:separator/>
      </w:r>
    </w:p>
  </w:footnote>
  <w:footnote w:type="continuationSeparator" w:id="0">
    <w:p w14:paraId="328537F1" w14:textId="77777777" w:rsidR="005E3229" w:rsidRDefault="005E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8"/>
  </w:num>
  <w:num w:numId="5">
    <w:abstractNumId w:val="16"/>
  </w:num>
  <w:num w:numId="6">
    <w:abstractNumId w:val="31"/>
  </w:num>
  <w:num w:numId="7">
    <w:abstractNumId w:val="14"/>
  </w:num>
  <w:num w:numId="8">
    <w:abstractNumId w:val="40"/>
  </w:num>
  <w:num w:numId="9">
    <w:abstractNumId w:val="42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37"/>
  </w:num>
  <w:num w:numId="20">
    <w:abstractNumId w:val="21"/>
  </w:num>
  <w:num w:numId="21">
    <w:abstractNumId w:val="34"/>
  </w:num>
  <w:num w:numId="22">
    <w:abstractNumId w:val="12"/>
  </w:num>
  <w:num w:numId="23">
    <w:abstractNumId w:val="24"/>
  </w:num>
  <w:num w:numId="24">
    <w:abstractNumId w:val="25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9"/>
  </w:num>
  <w:num w:numId="29">
    <w:abstractNumId w:val="33"/>
  </w:num>
  <w:num w:numId="30">
    <w:abstractNumId w:val="13"/>
  </w:num>
  <w:num w:numId="31">
    <w:abstractNumId w:val="29"/>
  </w:num>
  <w:num w:numId="32">
    <w:abstractNumId w:val="41"/>
  </w:num>
  <w:num w:numId="33">
    <w:abstractNumId w:val="0"/>
  </w:num>
  <w:num w:numId="34">
    <w:abstractNumId w:val="36"/>
  </w:num>
  <w:num w:numId="35">
    <w:abstractNumId w:val="27"/>
  </w:num>
  <w:num w:numId="36">
    <w:abstractNumId w:val="1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F83"/>
    <w:rsid w:val="000A1090"/>
    <w:rsid w:val="000A26C6"/>
    <w:rsid w:val="000A30E4"/>
    <w:rsid w:val="000A5106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29FF"/>
    <w:rsid w:val="001D3F88"/>
    <w:rsid w:val="001D46E3"/>
    <w:rsid w:val="001E079F"/>
    <w:rsid w:val="001E17DC"/>
    <w:rsid w:val="001E34AC"/>
    <w:rsid w:val="001E4541"/>
    <w:rsid w:val="001E7A08"/>
    <w:rsid w:val="001E7A8E"/>
    <w:rsid w:val="001F2F78"/>
    <w:rsid w:val="002008E8"/>
    <w:rsid w:val="002059E3"/>
    <w:rsid w:val="00207AF8"/>
    <w:rsid w:val="002109CD"/>
    <w:rsid w:val="00212E12"/>
    <w:rsid w:val="00215A24"/>
    <w:rsid w:val="00216B9C"/>
    <w:rsid w:val="002221F2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B726A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C08"/>
    <w:rsid w:val="0032114A"/>
    <w:rsid w:val="00322B51"/>
    <w:rsid w:val="00322E96"/>
    <w:rsid w:val="00325AE9"/>
    <w:rsid w:val="0033262B"/>
    <w:rsid w:val="0033267A"/>
    <w:rsid w:val="0033406D"/>
    <w:rsid w:val="003410F4"/>
    <w:rsid w:val="00343E71"/>
    <w:rsid w:val="00347F11"/>
    <w:rsid w:val="00353425"/>
    <w:rsid w:val="00356750"/>
    <w:rsid w:val="00361D88"/>
    <w:rsid w:val="00363D7D"/>
    <w:rsid w:val="0037555D"/>
    <w:rsid w:val="0037576B"/>
    <w:rsid w:val="003774DD"/>
    <w:rsid w:val="00377F75"/>
    <w:rsid w:val="0038136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06E86"/>
    <w:rsid w:val="00410134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7BF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5167"/>
    <w:rsid w:val="004E76C7"/>
    <w:rsid w:val="004F5A16"/>
    <w:rsid w:val="0050094B"/>
    <w:rsid w:val="00506665"/>
    <w:rsid w:val="005100CA"/>
    <w:rsid w:val="00510C29"/>
    <w:rsid w:val="00516E5B"/>
    <w:rsid w:val="0051715A"/>
    <w:rsid w:val="00517DF1"/>
    <w:rsid w:val="0052011B"/>
    <w:rsid w:val="0052149D"/>
    <w:rsid w:val="00523CE2"/>
    <w:rsid w:val="00532FF9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A2A"/>
    <w:rsid w:val="0059176A"/>
    <w:rsid w:val="00597A90"/>
    <w:rsid w:val="005A02B1"/>
    <w:rsid w:val="005A050D"/>
    <w:rsid w:val="005A0E37"/>
    <w:rsid w:val="005A202B"/>
    <w:rsid w:val="005A257B"/>
    <w:rsid w:val="005A3CB9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737"/>
    <w:rsid w:val="005D096B"/>
    <w:rsid w:val="005D1719"/>
    <w:rsid w:val="005D3117"/>
    <w:rsid w:val="005E3229"/>
    <w:rsid w:val="005E44A4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5485"/>
    <w:rsid w:val="006571D1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2C4F"/>
    <w:rsid w:val="006F3AAA"/>
    <w:rsid w:val="006F5543"/>
    <w:rsid w:val="006F6EF4"/>
    <w:rsid w:val="006F7727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93B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5E90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2B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493B"/>
    <w:rsid w:val="009B7156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A01C04"/>
    <w:rsid w:val="00A05A1B"/>
    <w:rsid w:val="00A06081"/>
    <w:rsid w:val="00A1041E"/>
    <w:rsid w:val="00A10DE9"/>
    <w:rsid w:val="00A128B1"/>
    <w:rsid w:val="00A130A1"/>
    <w:rsid w:val="00A166F3"/>
    <w:rsid w:val="00A16A2F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2045"/>
    <w:rsid w:val="00A943D6"/>
    <w:rsid w:val="00A94EA0"/>
    <w:rsid w:val="00A956C8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0EC8"/>
    <w:rsid w:val="00AD369F"/>
    <w:rsid w:val="00AD3A95"/>
    <w:rsid w:val="00AD450F"/>
    <w:rsid w:val="00AE2E16"/>
    <w:rsid w:val="00AE5292"/>
    <w:rsid w:val="00AE7C80"/>
    <w:rsid w:val="00AF065E"/>
    <w:rsid w:val="00AF1498"/>
    <w:rsid w:val="00AF2C71"/>
    <w:rsid w:val="00B00579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3F4"/>
    <w:rsid w:val="00B27D9A"/>
    <w:rsid w:val="00B3222F"/>
    <w:rsid w:val="00B337EF"/>
    <w:rsid w:val="00B37445"/>
    <w:rsid w:val="00B42717"/>
    <w:rsid w:val="00B47262"/>
    <w:rsid w:val="00B5005E"/>
    <w:rsid w:val="00B525F5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3234"/>
    <w:rsid w:val="00B94D9C"/>
    <w:rsid w:val="00B95BCC"/>
    <w:rsid w:val="00B962B7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116F5"/>
    <w:rsid w:val="00C125AA"/>
    <w:rsid w:val="00C178BB"/>
    <w:rsid w:val="00C17E5D"/>
    <w:rsid w:val="00C24A06"/>
    <w:rsid w:val="00C32A2F"/>
    <w:rsid w:val="00C33B92"/>
    <w:rsid w:val="00C3565B"/>
    <w:rsid w:val="00C35E6F"/>
    <w:rsid w:val="00C3658E"/>
    <w:rsid w:val="00C367AA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6D1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70FEB"/>
    <w:rsid w:val="00D723B1"/>
    <w:rsid w:val="00D742EA"/>
    <w:rsid w:val="00D75D17"/>
    <w:rsid w:val="00D778B7"/>
    <w:rsid w:val="00D77ACC"/>
    <w:rsid w:val="00D806D5"/>
    <w:rsid w:val="00D80B30"/>
    <w:rsid w:val="00D85B33"/>
    <w:rsid w:val="00D85C90"/>
    <w:rsid w:val="00D865F1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D4C5F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645D"/>
    <w:rsid w:val="00E17E53"/>
    <w:rsid w:val="00E232E7"/>
    <w:rsid w:val="00E24E9A"/>
    <w:rsid w:val="00E2501E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6DB4"/>
    <w:rsid w:val="00E70EFA"/>
    <w:rsid w:val="00E725FD"/>
    <w:rsid w:val="00E74786"/>
    <w:rsid w:val="00E75101"/>
    <w:rsid w:val="00E75C1D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6B77"/>
    <w:rsid w:val="00ED7A7C"/>
    <w:rsid w:val="00EE0819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5D7D"/>
    <w:rsid w:val="00F06904"/>
    <w:rsid w:val="00F07A10"/>
    <w:rsid w:val="00F07A91"/>
    <w:rsid w:val="00F11C8C"/>
    <w:rsid w:val="00F12410"/>
    <w:rsid w:val="00F139DA"/>
    <w:rsid w:val="00F15008"/>
    <w:rsid w:val="00F1782D"/>
    <w:rsid w:val="00F23237"/>
    <w:rsid w:val="00F24003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F63"/>
    <w:rsid w:val="00F978A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4646</Words>
  <Characters>27418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Šmerková Hana</cp:lastModifiedBy>
  <cp:revision>2</cp:revision>
  <cp:lastPrinted>2020-06-18T10:27:00Z</cp:lastPrinted>
  <dcterms:created xsi:type="dcterms:W3CDTF">2024-06-06T12:17:00Z</dcterms:created>
  <dcterms:modified xsi:type="dcterms:W3CDTF">2024-06-06T12:17:00Z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