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2E99" w14:textId="77777777" w:rsidR="00D7181A"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62568C1B" w14:textId="77777777" w:rsidR="00D7181A" w:rsidRDefault="00D7181A">
      <w:pPr>
        <w:spacing w:after="0" w:line="240" w:lineRule="auto"/>
        <w:rPr>
          <w:rFonts w:ascii="Times New Roman" w:eastAsia="Times New Roman" w:hAnsi="Times New Roman" w:cs="Times New Roman"/>
          <w:b/>
          <w:sz w:val="24"/>
          <w:szCs w:val="24"/>
        </w:rPr>
      </w:pPr>
    </w:p>
    <w:p w14:paraId="2D49D08F"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03D2D53F" w14:textId="77777777" w:rsidR="00D7181A" w:rsidRDefault="00D7181A">
      <w:pPr>
        <w:spacing w:after="0" w:line="240" w:lineRule="auto"/>
        <w:jc w:val="both"/>
        <w:rPr>
          <w:rFonts w:ascii="Times New Roman" w:eastAsia="Times New Roman" w:hAnsi="Times New Roman" w:cs="Times New Roman"/>
          <w:b/>
          <w:sz w:val="24"/>
          <w:szCs w:val="24"/>
        </w:rPr>
      </w:pPr>
    </w:p>
    <w:p w14:paraId="4A4B7674"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4C0C0C31"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053C9BA8"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012C2612"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15BD3032"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15EEB5BA" w14:textId="77777777" w:rsidR="00D7181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01BE4B19" w14:textId="77777777" w:rsidR="00D7181A"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7C53A17B" w14:textId="77777777" w:rsidR="00D7181A"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2F66F85D"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Ing. Lukáš Černý</w:t>
      </w:r>
    </w:p>
    <w:p w14:paraId="1C52E6B9" w14:textId="77777777" w:rsidR="00D7181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Pr="00E51B30">
        <w:rPr>
          <w:rFonts w:ascii="Times New Roman" w:eastAsia="Times New Roman" w:hAnsi="Times New Roman" w:cs="Times New Roman"/>
          <w:sz w:val="24"/>
          <w:szCs w:val="24"/>
          <w:highlight w:val="black"/>
        </w:rPr>
        <w:t xml:space="preserve">Matěj </w:t>
      </w:r>
      <w:proofErr w:type="spellStart"/>
      <w:r w:rsidRPr="00E51B30">
        <w:rPr>
          <w:rFonts w:ascii="Times New Roman" w:eastAsia="Times New Roman" w:hAnsi="Times New Roman" w:cs="Times New Roman"/>
          <w:sz w:val="24"/>
          <w:szCs w:val="24"/>
          <w:highlight w:val="black"/>
        </w:rPr>
        <w:t>Vlašánek</w:t>
      </w:r>
      <w:proofErr w:type="spellEnd"/>
      <w:r w:rsidRPr="00E51B30">
        <w:rPr>
          <w:rFonts w:ascii="Times New Roman" w:eastAsia="Times New Roman" w:hAnsi="Times New Roman" w:cs="Times New Roman"/>
          <w:sz w:val="24"/>
          <w:szCs w:val="24"/>
          <w:highlight w:val="black"/>
        </w:rPr>
        <w:t>, tel</w:t>
      </w:r>
      <w:r w:rsidRPr="007B0953">
        <w:rPr>
          <w:rFonts w:ascii="Times New Roman" w:eastAsia="Times New Roman" w:hAnsi="Times New Roman" w:cs="Times New Roman"/>
          <w:sz w:val="24"/>
          <w:szCs w:val="24"/>
          <w:highlight w:val="black"/>
        </w:rPr>
        <w:t>.: 731936327, email: matej.vlasanek@budejovice2028.cz</w:t>
      </w:r>
    </w:p>
    <w:p w14:paraId="336A0001" w14:textId="77777777" w:rsidR="00D7181A" w:rsidRDefault="00D7181A">
      <w:pPr>
        <w:spacing w:after="0" w:line="240" w:lineRule="auto"/>
        <w:jc w:val="both"/>
        <w:rPr>
          <w:rFonts w:ascii="Times New Roman" w:eastAsia="Times New Roman" w:hAnsi="Times New Roman" w:cs="Times New Roman"/>
          <w:sz w:val="24"/>
          <w:szCs w:val="24"/>
        </w:rPr>
      </w:pPr>
    </w:p>
    <w:p w14:paraId="048EF411"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7B35F183" w14:textId="77777777" w:rsidR="00D7181A" w:rsidRDefault="00D7181A">
      <w:pPr>
        <w:spacing w:after="0" w:line="240" w:lineRule="auto"/>
        <w:jc w:val="both"/>
        <w:rPr>
          <w:rFonts w:ascii="Times New Roman" w:eastAsia="Times New Roman" w:hAnsi="Times New Roman" w:cs="Times New Roman"/>
          <w:sz w:val="24"/>
          <w:szCs w:val="24"/>
        </w:rPr>
      </w:pPr>
    </w:p>
    <w:p w14:paraId="5F7F176A"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29B21BD8" w14:textId="77777777" w:rsidR="00D7181A" w:rsidRDefault="00D7181A">
      <w:pPr>
        <w:spacing w:after="0" w:line="240" w:lineRule="auto"/>
        <w:jc w:val="both"/>
        <w:rPr>
          <w:rFonts w:ascii="Times New Roman" w:eastAsia="Times New Roman" w:hAnsi="Times New Roman" w:cs="Times New Roman"/>
          <w:b/>
          <w:sz w:val="24"/>
          <w:szCs w:val="24"/>
          <w:highlight w:val="yellow"/>
        </w:rPr>
      </w:pPr>
    </w:p>
    <w:p w14:paraId="30E2FB3F" w14:textId="77777777" w:rsidR="00D7181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Šimon </w:t>
      </w:r>
      <w:proofErr w:type="spellStart"/>
      <w:r>
        <w:rPr>
          <w:rFonts w:ascii="Times New Roman" w:eastAsia="Times New Roman" w:hAnsi="Times New Roman" w:cs="Times New Roman"/>
          <w:b/>
          <w:sz w:val="24"/>
          <w:szCs w:val="24"/>
          <w:highlight w:val="white"/>
        </w:rPr>
        <w:t>Felenda</w:t>
      </w:r>
      <w:proofErr w:type="spellEnd"/>
    </w:p>
    <w:p w14:paraId="0ECD6832" w14:textId="77777777" w:rsidR="00D7181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 sídlem: </w:t>
      </w:r>
      <w:r w:rsidRPr="007B0953">
        <w:rPr>
          <w:rFonts w:ascii="Times New Roman" w:eastAsia="Times New Roman" w:hAnsi="Times New Roman" w:cs="Times New Roman"/>
          <w:sz w:val="24"/>
          <w:szCs w:val="24"/>
          <w:highlight w:val="black"/>
        </w:rPr>
        <w:t>Ondříčkova 20, 130 00 Praha 3</w:t>
      </w:r>
    </w:p>
    <w:p w14:paraId="79230480" w14:textId="77777777" w:rsidR="00D7181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IČO: 03276465</w:t>
      </w:r>
    </w:p>
    <w:p w14:paraId="4F70A77F" w14:textId="77777777" w:rsidR="00D7181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bankovní spojení: </w:t>
      </w:r>
      <w:r w:rsidRPr="007B0953">
        <w:rPr>
          <w:rFonts w:ascii="Times New Roman" w:eastAsia="Times New Roman" w:hAnsi="Times New Roman" w:cs="Times New Roman"/>
          <w:sz w:val="24"/>
          <w:szCs w:val="24"/>
          <w:highlight w:val="black"/>
        </w:rPr>
        <w:t>Raiffeisenbank a.s.</w:t>
      </w:r>
    </w:p>
    <w:p w14:paraId="2FD69CDD" w14:textId="77777777" w:rsidR="00D7181A" w:rsidRDefault="00000000">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číslo účtu: </w:t>
      </w:r>
      <w:r w:rsidRPr="007B0953">
        <w:rPr>
          <w:rFonts w:ascii="Arial" w:eastAsia="Arial" w:hAnsi="Arial" w:cs="Arial"/>
          <w:sz w:val="20"/>
          <w:szCs w:val="20"/>
          <w:highlight w:val="black"/>
        </w:rPr>
        <w:t>220 00 220 / 5500</w:t>
      </w:r>
    </w:p>
    <w:p w14:paraId="574C8913" w14:textId="77777777" w:rsidR="00D7181A" w:rsidRPr="007B0953" w:rsidRDefault="00000000">
      <w:pPr>
        <w:spacing w:after="0" w:line="240" w:lineRule="auto"/>
        <w:jc w:val="both"/>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highlight w:val="white"/>
        </w:rPr>
        <w:t xml:space="preserve">kontaktní osoba: Šimon </w:t>
      </w:r>
      <w:proofErr w:type="spellStart"/>
      <w:r>
        <w:rPr>
          <w:rFonts w:ascii="Times New Roman" w:eastAsia="Times New Roman" w:hAnsi="Times New Roman" w:cs="Times New Roman"/>
          <w:sz w:val="24"/>
          <w:szCs w:val="24"/>
          <w:highlight w:val="white"/>
        </w:rPr>
        <w:t>Felenda</w:t>
      </w:r>
      <w:proofErr w:type="spellEnd"/>
      <w:r>
        <w:rPr>
          <w:rFonts w:ascii="Times New Roman" w:eastAsia="Times New Roman" w:hAnsi="Times New Roman" w:cs="Times New Roman"/>
          <w:sz w:val="24"/>
          <w:szCs w:val="24"/>
          <w:highlight w:val="white"/>
        </w:rPr>
        <w:t xml:space="preserve">, </w:t>
      </w:r>
      <w:r w:rsidRPr="007B0953">
        <w:rPr>
          <w:rFonts w:ascii="Times New Roman" w:eastAsia="Times New Roman" w:hAnsi="Times New Roman" w:cs="Times New Roman"/>
          <w:sz w:val="24"/>
          <w:szCs w:val="24"/>
          <w:highlight w:val="black"/>
        </w:rPr>
        <w:t>tel.: +420723938164, email: sfelenda@seznam.cz</w:t>
      </w:r>
    </w:p>
    <w:p w14:paraId="2E337FFC" w14:textId="77777777" w:rsidR="00D7181A" w:rsidRDefault="00D7181A">
      <w:pPr>
        <w:spacing w:after="0" w:line="240" w:lineRule="auto"/>
        <w:jc w:val="both"/>
        <w:rPr>
          <w:rFonts w:ascii="Times New Roman" w:eastAsia="Times New Roman" w:hAnsi="Times New Roman" w:cs="Times New Roman"/>
          <w:sz w:val="24"/>
          <w:szCs w:val="24"/>
        </w:rPr>
      </w:pPr>
    </w:p>
    <w:p w14:paraId="08C1B779"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0AA85708" w14:textId="77777777" w:rsidR="00D7181A" w:rsidRDefault="00D7181A">
      <w:pPr>
        <w:spacing w:after="0" w:line="240" w:lineRule="auto"/>
        <w:jc w:val="both"/>
        <w:rPr>
          <w:rFonts w:ascii="Times New Roman" w:eastAsia="Times New Roman" w:hAnsi="Times New Roman" w:cs="Times New Roman"/>
          <w:sz w:val="24"/>
          <w:szCs w:val="24"/>
        </w:rPr>
      </w:pPr>
    </w:p>
    <w:p w14:paraId="771F789D"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0D630D68" w14:textId="77777777" w:rsidR="00D7181A" w:rsidRDefault="00D7181A">
      <w:pPr>
        <w:spacing w:after="0" w:line="240" w:lineRule="auto"/>
        <w:jc w:val="both"/>
        <w:rPr>
          <w:rFonts w:ascii="Times New Roman" w:eastAsia="Times New Roman" w:hAnsi="Times New Roman" w:cs="Times New Roman"/>
          <w:sz w:val="24"/>
          <w:szCs w:val="24"/>
        </w:rPr>
      </w:pPr>
    </w:p>
    <w:p w14:paraId="2C0617B0" w14:textId="77777777" w:rsidR="00D7181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00C78AAA" w14:textId="77777777" w:rsidR="00D7181A" w:rsidRDefault="00D7181A">
      <w:pPr>
        <w:spacing w:after="0" w:line="240" w:lineRule="auto"/>
        <w:jc w:val="both"/>
        <w:rPr>
          <w:rFonts w:ascii="Times New Roman" w:eastAsia="Times New Roman" w:hAnsi="Times New Roman" w:cs="Times New Roman"/>
          <w:sz w:val="24"/>
          <w:szCs w:val="24"/>
        </w:rPr>
      </w:pPr>
    </w:p>
    <w:p w14:paraId="021F596E" w14:textId="77777777" w:rsidR="00D7181A"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07B670E3" w14:textId="77777777" w:rsidR="00D7181A"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7D155B9C" w14:textId="77777777" w:rsidR="00D7181A"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37686881" w14:textId="77777777" w:rsidR="00D7181A" w:rsidRDefault="00D7181A">
      <w:pPr>
        <w:pBdr>
          <w:bottom w:val="single" w:sz="12" w:space="1" w:color="000000"/>
        </w:pBdr>
        <w:spacing w:after="0" w:line="240" w:lineRule="auto"/>
        <w:jc w:val="center"/>
        <w:rPr>
          <w:rFonts w:ascii="Times New Roman" w:eastAsia="Times New Roman" w:hAnsi="Times New Roman" w:cs="Times New Roman"/>
          <w:b/>
          <w:sz w:val="24"/>
          <w:szCs w:val="24"/>
        </w:rPr>
      </w:pPr>
    </w:p>
    <w:p w14:paraId="3B7DEEE9" w14:textId="77777777" w:rsidR="00D7181A"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69433683" w14:textId="77777777" w:rsidR="00D7181A" w:rsidRDefault="00D7181A">
      <w:pPr>
        <w:spacing w:after="0" w:line="240" w:lineRule="auto"/>
        <w:jc w:val="both"/>
        <w:rPr>
          <w:rFonts w:ascii="Times New Roman" w:eastAsia="Times New Roman" w:hAnsi="Times New Roman" w:cs="Times New Roman"/>
          <w:sz w:val="24"/>
          <w:szCs w:val="24"/>
        </w:rPr>
      </w:pPr>
    </w:p>
    <w:p w14:paraId="528F1F92" w14:textId="77777777" w:rsidR="00D7181A" w:rsidRDefault="00D7181A">
      <w:pPr>
        <w:spacing w:after="0" w:line="240" w:lineRule="auto"/>
        <w:rPr>
          <w:rFonts w:ascii="Times New Roman" w:eastAsia="Times New Roman" w:hAnsi="Times New Roman" w:cs="Times New Roman"/>
          <w:sz w:val="24"/>
          <w:szCs w:val="24"/>
        </w:rPr>
      </w:pPr>
      <w:bookmarkStart w:id="0" w:name="bookmark=id.gjdgxs" w:colFirst="0" w:colLast="0"/>
      <w:bookmarkEnd w:id="0"/>
    </w:p>
    <w:p w14:paraId="57BB1807" w14:textId="77777777" w:rsidR="00D7181A" w:rsidRDefault="00000000">
      <w:pPr>
        <w:numPr>
          <w:ilvl w:val="0"/>
          <w:numId w:val="4"/>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3F95A547" w14:textId="77777777" w:rsidR="00D7181A" w:rsidRDefault="00D7181A">
      <w:pPr>
        <w:tabs>
          <w:tab w:val="left" w:pos="720"/>
        </w:tabs>
        <w:spacing w:after="0" w:line="240" w:lineRule="auto"/>
        <w:ind w:left="644"/>
        <w:jc w:val="both"/>
        <w:rPr>
          <w:rFonts w:ascii="Times New Roman" w:eastAsia="Times New Roman" w:hAnsi="Times New Roman" w:cs="Times New Roman"/>
          <w:sz w:val="24"/>
          <w:szCs w:val="24"/>
        </w:rPr>
      </w:pPr>
    </w:p>
    <w:p w14:paraId="6AF25B60" w14:textId="77777777" w:rsidR="00D7181A"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6EA84FC2" w14:textId="77777777" w:rsidR="00D7181A"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dále prohlašuje, že splňuje veškeré podmínky a požadavky v této smlouvě stanovené a je oprávněn tuto smlouvu uzavřít a řádně plnit své povinnosti a závazky v ní obsažené.</w:t>
      </w:r>
    </w:p>
    <w:p w14:paraId="4A08B63E" w14:textId="77777777" w:rsidR="00D7181A"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Poskytovatel prohlašuje, že je právnickou osobou či podnikající fyzickou osobou, a podnikatelem, který disponuje všemi potřebnými oprávněnými pro to, aby mohl přijmout a splnit své závazky a povinnosti z této smlouvy.</w:t>
      </w:r>
    </w:p>
    <w:p w14:paraId="4B445099" w14:textId="77777777" w:rsidR="00D7181A"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16D4E2E3" w14:textId="77777777" w:rsidR="00D7181A" w:rsidRDefault="00D7181A">
      <w:pPr>
        <w:tabs>
          <w:tab w:val="left" w:pos="1440"/>
        </w:tabs>
        <w:spacing w:after="0" w:line="240" w:lineRule="auto"/>
        <w:ind w:left="1364"/>
        <w:jc w:val="both"/>
        <w:rPr>
          <w:rFonts w:ascii="Times New Roman" w:eastAsia="Times New Roman" w:hAnsi="Times New Roman" w:cs="Times New Roman"/>
          <w:sz w:val="24"/>
          <w:szCs w:val="24"/>
        </w:rPr>
      </w:pPr>
    </w:p>
    <w:p w14:paraId="0010E820" w14:textId="77777777" w:rsidR="00D7181A" w:rsidRDefault="00000000">
      <w:pPr>
        <w:numPr>
          <w:ilvl w:val="0"/>
          <w:numId w:val="4"/>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23A5B5F2" w14:textId="77777777" w:rsidR="00D7181A" w:rsidRDefault="00D7181A">
      <w:pPr>
        <w:tabs>
          <w:tab w:val="left" w:pos="720"/>
        </w:tabs>
        <w:spacing w:after="0" w:line="240" w:lineRule="auto"/>
        <w:ind w:left="644"/>
        <w:jc w:val="both"/>
        <w:rPr>
          <w:rFonts w:ascii="Times New Roman" w:eastAsia="Times New Roman" w:hAnsi="Times New Roman" w:cs="Times New Roman"/>
          <w:b/>
          <w:sz w:val="24"/>
          <w:szCs w:val="24"/>
        </w:rPr>
      </w:pPr>
    </w:p>
    <w:p w14:paraId="2741BFBC" w14:textId="77777777" w:rsidR="00D7181A"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206566F7" w14:textId="77777777" w:rsidR="00D7181A"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Dlouhodobý kurátorský rozvoj projektu Urban </w:t>
      </w:r>
      <w:proofErr w:type="spellStart"/>
      <w:r>
        <w:rPr>
          <w:rFonts w:ascii="Times New Roman" w:eastAsia="Times New Roman" w:hAnsi="Times New Roman" w:cs="Times New Roman"/>
          <w:b/>
          <w:sz w:val="24"/>
          <w:szCs w:val="24"/>
        </w:rPr>
        <w:t>Canvas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w:t>
      </w:r>
    </w:p>
    <w:p w14:paraId="6D2BD922" w14:textId="77777777" w:rsidR="00D7181A"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4635F186" w14:textId="77777777" w:rsidR="00D7181A"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1E7F8B68" w14:textId="77777777" w:rsidR="00D7181A"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1E13D393" w14:textId="77777777" w:rsidR="00D7181A"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79A86A1E" w14:textId="77777777" w:rsidR="00D7181A"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4CFBF82F" w14:textId="77777777" w:rsidR="00D7181A"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796D0381" w14:textId="77777777" w:rsidR="00D7181A"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662C634C" w14:textId="77777777" w:rsidR="00D7181A"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4FEA4921" w14:textId="77777777" w:rsidR="00D7181A"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6A044DC1" w14:textId="77777777" w:rsidR="00D7181A" w:rsidRDefault="00D7181A">
      <w:pPr>
        <w:spacing w:after="0" w:line="240" w:lineRule="auto"/>
        <w:ind w:left="1440"/>
        <w:jc w:val="both"/>
        <w:rPr>
          <w:rFonts w:ascii="Times New Roman" w:eastAsia="Times New Roman" w:hAnsi="Times New Roman" w:cs="Times New Roman"/>
          <w:sz w:val="24"/>
          <w:szCs w:val="24"/>
        </w:rPr>
      </w:pPr>
    </w:p>
    <w:p w14:paraId="4227CBFD" w14:textId="77777777" w:rsidR="00D7181A"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ZPŮSOB, TERMÍN A MÍSTO POSKYTOVÁNÍ SLUŽEB</w:t>
      </w:r>
    </w:p>
    <w:p w14:paraId="0BC991D0" w14:textId="77777777" w:rsidR="00D7181A" w:rsidRDefault="00D7181A">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4EEB976D"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3F1D19A6"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5A6DC21B"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Služby dle této smlouvy budou poskytovatelem objednateli poskytovány na základě dílčích Zadání v období od 6. 5. 2024 do 31. 12. 2024.</w:t>
      </w:r>
    </w:p>
    <w:p w14:paraId="3FBC669E"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39B988F3"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w:t>
      </w:r>
      <w:proofErr w:type="gramStart"/>
      <w:r>
        <w:rPr>
          <w:rFonts w:ascii="Times New Roman" w:eastAsia="Times New Roman" w:hAnsi="Times New Roman" w:cs="Times New Roman"/>
          <w:sz w:val="24"/>
          <w:szCs w:val="24"/>
        </w:rPr>
        <w:t>předloží</w:t>
      </w:r>
      <w:proofErr w:type="gramEnd"/>
      <w:r>
        <w:rPr>
          <w:rFonts w:ascii="Times New Roman" w:eastAsia="Times New Roman" w:hAnsi="Times New Roman" w:cs="Times New Roman"/>
          <w:sz w:val="24"/>
          <w:szCs w:val="24"/>
        </w:rPr>
        <w:t xml:space="preserve"> poskytovatel objednateli ke schválení dílo v textové podobě</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 dále soupis poskytnutých Služeb obsahující specifikaci konkrétní Služby poskytnuté na základě konkrétního Zadání a popis rozsahu plnění (dále také jen „Soupis Služeb“). </w:t>
      </w:r>
    </w:p>
    <w:p w14:paraId="1DC7AC0B"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101FECB4"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Služeb dle této smlouvy jsou již zahrnuty v ceně poskytovaných Služeb.</w:t>
      </w:r>
    </w:p>
    <w:p w14:paraId="33C86C8A" w14:textId="77777777" w:rsidR="00D7181A" w:rsidRDefault="00D7181A">
      <w:pPr>
        <w:spacing w:after="0" w:line="240" w:lineRule="auto"/>
        <w:ind w:left="1364"/>
        <w:jc w:val="both"/>
        <w:rPr>
          <w:rFonts w:ascii="Times New Roman" w:eastAsia="Times New Roman" w:hAnsi="Times New Roman" w:cs="Times New Roman"/>
          <w:b/>
          <w:sz w:val="24"/>
          <w:szCs w:val="24"/>
          <w:highlight w:val="yellow"/>
        </w:rPr>
      </w:pPr>
    </w:p>
    <w:p w14:paraId="2AF8B7FC" w14:textId="77777777" w:rsidR="00D7181A"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22B70DD3" w14:textId="77777777" w:rsidR="00D7181A" w:rsidRDefault="00D7181A">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639A11DF" w14:textId="77777777" w:rsidR="00D7181A" w:rsidRDefault="00000000">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sjednávají, že za poskytované Služby dle této smlouvy se objednatel zavazuje poskytovateli zaplatit odměnu, která bude poskytovatelem účtována takto po řádném a včasném poskytnutí Služeb (po realizaci konkrétního workshopu), a to dle Soupisu Služeb, ve výši, která je obsažena v příloze č. 1 této smlouvy. </w:t>
      </w:r>
    </w:p>
    <w:p w14:paraId="28AC7706"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včetně cestovních nákladů, činí </w:t>
      </w:r>
      <w:proofErr w:type="gramStart"/>
      <w:r w:rsidRPr="007B0953">
        <w:rPr>
          <w:rFonts w:ascii="Times New Roman" w:eastAsia="Times New Roman" w:hAnsi="Times New Roman" w:cs="Times New Roman"/>
          <w:b/>
          <w:bCs/>
          <w:sz w:val="24"/>
          <w:szCs w:val="24"/>
          <w:highlight w:val="white"/>
        </w:rPr>
        <w:t>101.500,-</w:t>
      </w:r>
      <w:proofErr w:type="gramEnd"/>
      <w:r w:rsidRPr="007B0953">
        <w:rPr>
          <w:rFonts w:ascii="Times New Roman" w:eastAsia="Times New Roman" w:hAnsi="Times New Roman" w:cs="Times New Roman"/>
          <w:b/>
          <w:bCs/>
          <w:sz w:val="24"/>
          <w:szCs w:val="24"/>
          <w:highlight w:val="white"/>
        </w:rPr>
        <w:t xml:space="preserve"> Kč </w:t>
      </w:r>
      <w:r w:rsidRPr="007B0953">
        <w:rPr>
          <w:rFonts w:ascii="Times New Roman" w:eastAsia="Times New Roman" w:hAnsi="Times New Roman" w:cs="Times New Roman"/>
          <w:b/>
          <w:bCs/>
          <w:sz w:val="24"/>
          <w:szCs w:val="24"/>
        </w:rPr>
        <w:t>včetně DPH</w:t>
      </w:r>
      <w:r>
        <w:rPr>
          <w:rFonts w:ascii="Times New Roman" w:eastAsia="Times New Roman" w:hAnsi="Times New Roman" w:cs="Times New Roman"/>
          <w:sz w:val="24"/>
          <w:szCs w:val="24"/>
        </w:rPr>
        <w:t xml:space="preserve"> (dále také jen „Celková Odměna“), která je sjednána jako odměna nejvýše přípustná a nepřekročitelná. </w:t>
      </w:r>
    </w:p>
    <w:p w14:paraId="7B5EE0F1"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w:t>
      </w:r>
      <w:r>
        <w:rPr>
          <w:rFonts w:ascii="Times New Roman" w:eastAsia="Times New Roman" w:hAnsi="Times New Roman" w:cs="Times New Roman"/>
          <w:sz w:val="24"/>
          <w:szCs w:val="24"/>
        </w:rPr>
        <w:lastRenderedPageBreak/>
        <w:t>podmínkou pro vystavení faktur je zpracování Soupisu Služeb dle čl. 3. této smlouvy a jeho schválení kontaktní osobou objednatele.</w:t>
      </w:r>
    </w:p>
    <w:p w14:paraId="01E86D7F"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4CBD6300" w14:textId="77777777" w:rsidR="00D7181A"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188BC3E2" w14:textId="77777777" w:rsidR="00D7181A" w:rsidRDefault="00D7181A">
      <w:pPr>
        <w:spacing w:after="0" w:line="240" w:lineRule="auto"/>
        <w:ind w:left="1440"/>
        <w:jc w:val="both"/>
        <w:rPr>
          <w:rFonts w:ascii="Times New Roman" w:eastAsia="Times New Roman" w:hAnsi="Times New Roman" w:cs="Times New Roman"/>
          <w:sz w:val="24"/>
          <w:szCs w:val="24"/>
        </w:rPr>
      </w:pPr>
    </w:p>
    <w:p w14:paraId="44E66727" w14:textId="77777777" w:rsidR="00D7181A"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561029E5" w14:textId="77777777" w:rsidR="00D7181A" w:rsidRDefault="00D7181A">
      <w:pPr>
        <w:spacing w:after="0" w:line="240" w:lineRule="auto"/>
        <w:ind w:left="644"/>
        <w:jc w:val="both"/>
        <w:rPr>
          <w:rFonts w:ascii="Times New Roman" w:eastAsia="Times New Roman" w:hAnsi="Times New Roman" w:cs="Times New Roman"/>
          <w:b/>
          <w:sz w:val="24"/>
          <w:szCs w:val="24"/>
        </w:rPr>
      </w:pPr>
    </w:p>
    <w:p w14:paraId="45241128"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13B2F2A4"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se uzavírá na dobu určitou od 6. 5. 2024 do 31. 12. 2024.</w:t>
      </w:r>
    </w:p>
    <w:p w14:paraId="53133F84"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24787ECD"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3DA53BC4" w14:textId="77777777" w:rsidR="00D7181A"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06F29803" w14:textId="77777777" w:rsidR="00D7181A"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23BE5B59" w14:textId="77777777" w:rsidR="00D7181A" w:rsidRDefault="00000000">
      <w:pPr>
        <w:numPr>
          <w:ilvl w:val="2"/>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58C317E8"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4F79106C"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7277E3B6"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7C67AD35"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306CC044" w14:textId="77777777" w:rsidR="00D7181A"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5718CDD7" w14:textId="77777777" w:rsidR="00D7181A" w:rsidRDefault="00D7181A">
      <w:pPr>
        <w:spacing w:after="0" w:line="240" w:lineRule="auto"/>
        <w:ind w:left="1434"/>
        <w:jc w:val="both"/>
        <w:rPr>
          <w:rFonts w:ascii="Times New Roman" w:eastAsia="Times New Roman" w:hAnsi="Times New Roman" w:cs="Times New Roman"/>
          <w:sz w:val="24"/>
          <w:szCs w:val="24"/>
        </w:rPr>
      </w:pPr>
    </w:p>
    <w:p w14:paraId="6D9D827A" w14:textId="77777777" w:rsidR="00D7181A"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4EA36633" w14:textId="77777777" w:rsidR="00D7181A" w:rsidRDefault="00D7181A">
      <w:pPr>
        <w:spacing w:after="0" w:line="240" w:lineRule="auto"/>
        <w:ind w:left="644"/>
        <w:jc w:val="both"/>
        <w:rPr>
          <w:rFonts w:ascii="Times New Roman" w:eastAsia="Times New Roman" w:hAnsi="Times New Roman" w:cs="Times New Roman"/>
          <w:b/>
          <w:sz w:val="24"/>
          <w:szCs w:val="24"/>
        </w:rPr>
      </w:pPr>
    </w:p>
    <w:p w14:paraId="6D94914F" w14:textId="77777777" w:rsidR="00D7181A"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77977B48" w14:textId="77777777" w:rsidR="00D7181A"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w:t>
      </w:r>
      <w:r>
        <w:rPr>
          <w:rFonts w:ascii="Times New Roman" w:eastAsia="Times New Roman" w:hAnsi="Times New Roman" w:cs="Times New Roman"/>
          <w:sz w:val="24"/>
          <w:szCs w:val="24"/>
        </w:rPr>
        <w:lastRenderedPageBreak/>
        <w:t xml:space="preserve">prohlašuje, že je subjektem plně odborně způsobilým k poskytování Služeb ve smyslu této smlouvy. </w:t>
      </w:r>
    </w:p>
    <w:p w14:paraId="09617577" w14:textId="77777777" w:rsidR="00D7181A"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7AE416E4" w14:textId="77777777" w:rsidR="00D7181A"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1B4F1FAB" w14:textId="77777777" w:rsidR="00D7181A"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457E99E5" w14:textId="77777777" w:rsidR="00D7181A"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24E2B791" w14:textId="77777777" w:rsidR="00D7181A" w:rsidRDefault="00D7181A">
      <w:pPr>
        <w:spacing w:after="0" w:line="240" w:lineRule="auto"/>
        <w:ind w:left="1440"/>
        <w:jc w:val="both"/>
        <w:rPr>
          <w:rFonts w:ascii="Times New Roman" w:eastAsia="Times New Roman" w:hAnsi="Times New Roman" w:cs="Times New Roman"/>
          <w:sz w:val="24"/>
          <w:szCs w:val="24"/>
        </w:rPr>
      </w:pPr>
    </w:p>
    <w:p w14:paraId="28A8F332" w14:textId="77777777" w:rsidR="00D7181A"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74867D82" w14:textId="77777777" w:rsidR="00D7181A" w:rsidRDefault="00D7181A">
      <w:pPr>
        <w:spacing w:after="0" w:line="240" w:lineRule="auto"/>
        <w:ind w:left="644"/>
        <w:jc w:val="both"/>
        <w:rPr>
          <w:rFonts w:ascii="Times New Roman" w:eastAsia="Times New Roman" w:hAnsi="Times New Roman" w:cs="Times New Roman"/>
          <w:b/>
          <w:sz w:val="24"/>
          <w:szCs w:val="24"/>
        </w:rPr>
      </w:pPr>
    </w:p>
    <w:p w14:paraId="6689D4D7"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50B73C9B"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w:t>
      </w:r>
      <w:r>
        <w:rPr>
          <w:rFonts w:ascii="Times New Roman" w:eastAsia="Times New Roman" w:hAnsi="Times New Roman" w:cs="Times New Roman"/>
          <w:sz w:val="24"/>
          <w:szCs w:val="24"/>
        </w:rPr>
        <w:lastRenderedPageBreak/>
        <w:t>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209CF3DB"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4043E177"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072D61F5"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7313B1AB"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5593D9C4"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24161CBB"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7F58F451" w14:textId="77777777" w:rsidR="00D7181A"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12A1C515" w14:textId="77777777" w:rsidR="00D7181A" w:rsidRDefault="00D7181A">
      <w:pPr>
        <w:spacing w:after="0" w:line="240" w:lineRule="auto"/>
        <w:ind w:left="1440"/>
        <w:jc w:val="both"/>
        <w:rPr>
          <w:rFonts w:ascii="Times New Roman" w:eastAsia="Times New Roman" w:hAnsi="Times New Roman" w:cs="Times New Roman"/>
          <w:sz w:val="24"/>
          <w:szCs w:val="24"/>
        </w:rPr>
      </w:pPr>
    </w:p>
    <w:p w14:paraId="631281A1" w14:textId="77777777" w:rsidR="00D7181A"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5803F6DF" w14:textId="77777777" w:rsidR="00D7181A" w:rsidRDefault="00D7181A">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2B22ACBE" w14:textId="77777777" w:rsidR="00D7181A"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vady poskytnutých Služeb. Objednatel má práva z vadného plnění u Služeb dle této smlouvy a je oprávněn vady vytknout ve lhůtě </w:t>
      </w:r>
      <w:r>
        <w:rPr>
          <w:rFonts w:ascii="Times New Roman" w:eastAsia="Times New Roman" w:hAnsi="Times New Roman" w:cs="Times New Roman"/>
          <w:color w:val="000000"/>
          <w:sz w:val="24"/>
          <w:szCs w:val="24"/>
        </w:rPr>
        <w:lastRenderedPageBreak/>
        <w:t>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6C49C5CB" w14:textId="77777777" w:rsidR="00D7181A"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6535F59A" w14:textId="77777777" w:rsidR="00D7181A"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621C14B2" w14:textId="77777777" w:rsidR="00D7181A"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6A52E540" w14:textId="77777777" w:rsidR="00D7181A"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0931BA5F" w14:textId="77777777" w:rsidR="00D7181A"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53C77420" w14:textId="77777777" w:rsidR="00D7181A" w:rsidRDefault="00D7181A">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25BED082" w14:textId="77777777" w:rsidR="00D7181A"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2451DFBF" w14:textId="77777777" w:rsidR="00D7181A" w:rsidRDefault="00D7181A">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74017807" w14:textId="77777777" w:rsidR="00D7181A"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776695FB"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3594BEB0"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26642D32"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6C26A709"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21E2F63D"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1B0D4047"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6667AD85"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3278BD54"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5D041C93"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01C9242C" w14:textId="77777777" w:rsidR="00D7181A"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1C7D6DA0" w14:textId="77777777" w:rsidR="00D7181A"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12E34B1A" w14:textId="77777777" w:rsidR="00D7181A"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34C4E2DD" w14:textId="77777777" w:rsidR="00D7181A"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003FF787" w14:textId="77777777" w:rsidR="00D7181A" w:rsidRDefault="00D7181A">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3107B535" w14:textId="77777777" w:rsidR="00D7181A" w:rsidRDefault="00D7181A">
      <w:pPr>
        <w:tabs>
          <w:tab w:val="left" w:pos="1476"/>
        </w:tabs>
        <w:spacing w:after="0" w:line="240" w:lineRule="auto"/>
        <w:ind w:left="1417"/>
        <w:jc w:val="both"/>
        <w:rPr>
          <w:rFonts w:ascii="Times New Roman" w:eastAsia="Times New Roman" w:hAnsi="Times New Roman" w:cs="Times New Roman"/>
          <w:sz w:val="24"/>
          <w:szCs w:val="24"/>
        </w:rPr>
      </w:pPr>
    </w:p>
    <w:p w14:paraId="0FBF90D1" w14:textId="77777777" w:rsidR="00D7181A"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43236CA1" w14:textId="77777777" w:rsidR="00D7181A" w:rsidRDefault="00D7181A">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410B3A00" w14:textId="77777777" w:rsidR="00D7181A" w:rsidRDefault="00000000">
      <w:pPr>
        <w:numPr>
          <w:ilvl w:val="1"/>
          <w:numId w:val="4"/>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66BCDFD9" w14:textId="77777777" w:rsidR="00D7181A" w:rsidRDefault="00000000">
      <w:pPr>
        <w:numPr>
          <w:ilvl w:val="1"/>
          <w:numId w:val="4"/>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76E47D77" w14:textId="77777777" w:rsidR="00D7181A"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36AE452D" w14:textId="77777777" w:rsidR="00D7181A"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56A0AE6E" w14:textId="77777777" w:rsidR="00D7181A" w:rsidRDefault="00000000">
      <w:pPr>
        <w:numPr>
          <w:ilvl w:val="1"/>
          <w:numId w:val="4"/>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6D509F0E" w14:textId="77777777" w:rsidR="00D7181A" w:rsidRDefault="00000000">
      <w:pPr>
        <w:numPr>
          <w:ilvl w:val="1"/>
          <w:numId w:val="4"/>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48F2C7E8" w14:textId="77777777" w:rsidR="00D7181A" w:rsidRDefault="00D7181A">
      <w:pPr>
        <w:spacing w:after="0" w:line="240" w:lineRule="auto"/>
        <w:jc w:val="both"/>
        <w:rPr>
          <w:rFonts w:ascii="Times New Roman" w:eastAsia="Times New Roman" w:hAnsi="Times New Roman" w:cs="Times New Roman"/>
          <w:b/>
          <w:sz w:val="24"/>
          <w:szCs w:val="24"/>
        </w:rPr>
      </w:pPr>
    </w:p>
    <w:p w14:paraId="24EBF7CF" w14:textId="77777777" w:rsidR="00D7181A"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0B8E8297" w14:textId="77777777" w:rsidR="00D7181A" w:rsidRDefault="00D7181A">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75348BC8" w14:textId="77777777" w:rsidR="00D7181A"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7BE368F2" w14:textId="77777777" w:rsidR="00D7181A"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5E3DFE54" w14:textId="77777777" w:rsidR="00D7181A"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0B52C472" w14:textId="77777777" w:rsidR="00D7181A"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0146FA6C" w14:textId="77777777" w:rsidR="00D7181A"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1B01ACC5" w14:textId="77777777" w:rsidR="00D7181A"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2A4DC980" w14:textId="77777777" w:rsidR="00D7181A"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053800DE" w14:textId="77777777" w:rsidR="00D7181A"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5085F9CF" w14:textId="77777777" w:rsidR="00D7181A"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3ECD6263" w14:textId="77777777" w:rsidR="00D7181A" w:rsidRDefault="00D7181A">
      <w:pPr>
        <w:spacing w:after="0" w:line="240" w:lineRule="auto"/>
        <w:rPr>
          <w:rFonts w:ascii="Times New Roman" w:eastAsia="Times New Roman" w:hAnsi="Times New Roman" w:cs="Times New Roman"/>
          <w:b/>
          <w:sz w:val="24"/>
          <w:szCs w:val="24"/>
        </w:rPr>
      </w:pPr>
    </w:p>
    <w:p w14:paraId="68444C93" w14:textId="77777777" w:rsidR="00D7181A" w:rsidRDefault="00D7181A">
      <w:pPr>
        <w:spacing w:after="0" w:line="240" w:lineRule="auto"/>
        <w:rPr>
          <w:rFonts w:ascii="Times New Roman" w:eastAsia="Times New Roman" w:hAnsi="Times New Roman" w:cs="Times New Roman"/>
          <w:sz w:val="24"/>
          <w:szCs w:val="24"/>
        </w:rPr>
      </w:pPr>
    </w:p>
    <w:p w14:paraId="1F3A90BA" w14:textId="77777777" w:rsidR="00D7181A" w:rsidRDefault="00D7181A">
      <w:pPr>
        <w:spacing w:after="0" w:line="240" w:lineRule="auto"/>
        <w:rPr>
          <w:rFonts w:ascii="Times New Roman" w:eastAsia="Times New Roman" w:hAnsi="Times New Roman" w:cs="Times New Roman"/>
          <w:sz w:val="24"/>
          <w:szCs w:val="24"/>
        </w:rPr>
      </w:pPr>
    </w:p>
    <w:p w14:paraId="24CEE393" w14:textId="77777777" w:rsidR="00D7181A" w:rsidRDefault="00D7181A">
      <w:pPr>
        <w:spacing w:after="0" w:line="240" w:lineRule="auto"/>
        <w:rPr>
          <w:rFonts w:ascii="Times New Roman" w:eastAsia="Times New Roman" w:hAnsi="Times New Roman" w:cs="Times New Roman"/>
          <w:sz w:val="24"/>
          <w:szCs w:val="24"/>
        </w:rPr>
      </w:pPr>
    </w:p>
    <w:p w14:paraId="2FFD3421" w14:textId="77777777" w:rsidR="00D7181A" w:rsidRDefault="00D7181A">
      <w:pPr>
        <w:spacing w:after="0" w:line="240" w:lineRule="auto"/>
        <w:rPr>
          <w:rFonts w:ascii="Times New Roman" w:eastAsia="Times New Roman" w:hAnsi="Times New Roman" w:cs="Times New Roman"/>
          <w:sz w:val="24"/>
          <w:szCs w:val="24"/>
        </w:rPr>
      </w:pPr>
    </w:p>
    <w:p w14:paraId="1FC59288" w14:textId="77777777" w:rsidR="00D7181A" w:rsidRDefault="00D7181A">
      <w:pPr>
        <w:spacing w:after="0" w:line="240" w:lineRule="auto"/>
        <w:rPr>
          <w:rFonts w:ascii="Times New Roman" w:eastAsia="Times New Roman" w:hAnsi="Times New Roman" w:cs="Times New Roman"/>
          <w:sz w:val="24"/>
          <w:szCs w:val="24"/>
        </w:rPr>
      </w:pPr>
    </w:p>
    <w:p w14:paraId="79933C40" w14:textId="77777777" w:rsidR="00D7181A" w:rsidRDefault="00D7181A">
      <w:pPr>
        <w:spacing w:after="0" w:line="240" w:lineRule="auto"/>
        <w:rPr>
          <w:rFonts w:ascii="Times New Roman" w:eastAsia="Times New Roman" w:hAnsi="Times New Roman" w:cs="Times New Roman"/>
          <w:sz w:val="24"/>
          <w:szCs w:val="24"/>
        </w:rPr>
      </w:pPr>
    </w:p>
    <w:p w14:paraId="207B6314" w14:textId="77777777" w:rsidR="00D7181A" w:rsidRDefault="00D7181A">
      <w:pPr>
        <w:spacing w:after="0" w:line="240" w:lineRule="auto"/>
        <w:rPr>
          <w:rFonts w:ascii="Times New Roman" w:eastAsia="Times New Roman" w:hAnsi="Times New Roman" w:cs="Times New Roman"/>
          <w:sz w:val="24"/>
          <w:szCs w:val="24"/>
        </w:rPr>
      </w:pPr>
    </w:p>
    <w:p w14:paraId="3894CB9C" w14:textId="77777777" w:rsidR="00D7181A" w:rsidRDefault="00D7181A">
      <w:pPr>
        <w:spacing w:after="0" w:line="240" w:lineRule="auto"/>
        <w:rPr>
          <w:rFonts w:ascii="Times New Roman" w:eastAsia="Times New Roman" w:hAnsi="Times New Roman" w:cs="Times New Roman"/>
          <w:sz w:val="24"/>
          <w:szCs w:val="24"/>
        </w:rPr>
      </w:pPr>
    </w:p>
    <w:p w14:paraId="3F53F53E" w14:textId="77777777" w:rsidR="00D7181A" w:rsidRDefault="00D7181A">
      <w:pPr>
        <w:spacing w:after="0" w:line="240" w:lineRule="auto"/>
        <w:rPr>
          <w:rFonts w:ascii="Times New Roman" w:eastAsia="Times New Roman" w:hAnsi="Times New Roman" w:cs="Times New Roman"/>
          <w:sz w:val="24"/>
          <w:szCs w:val="24"/>
        </w:rPr>
      </w:pPr>
    </w:p>
    <w:p w14:paraId="12F40FA3" w14:textId="77777777" w:rsidR="00D7181A" w:rsidRDefault="00D7181A">
      <w:pPr>
        <w:spacing w:after="0" w:line="240" w:lineRule="auto"/>
        <w:rPr>
          <w:rFonts w:ascii="Times New Roman" w:eastAsia="Times New Roman" w:hAnsi="Times New Roman" w:cs="Times New Roman"/>
          <w:sz w:val="24"/>
          <w:szCs w:val="24"/>
        </w:rPr>
      </w:pPr>
    </w:p>
    <w:p w14:paraId="380897F6" w14:textId="77777777" w:rsidR="00D7181A" w:rsidRDefault="00D7181A">
      <w:pPr>
        <w:spacing w:after="0" w:line="240" w:lineRule="auto"/>
        <w:rPr>
          <w:rFonts w:ascii="Times New Roman" w:eastAsia="Times New Roman" w:hAnsi="Times New Roman" w:cs="Times New Roman"/>
          <w:sz w:val="24"/>
          <w:szCs w:val="24"/>
        </w:rPr>
      </w:pPr>
    </w:p>
    <w:p w14:paraId="3CBA979A" w14:textId="070C3CDB" w:rsidR="00D7181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Českých Budějovicích, dne </w:t>
      </w:r>
      <w:r w:rsidR="007B0953">
        <w:rPr>
          <w:rFonts w:ascii="Times New Roman" w:eastAsia="Times New Roman" w:hAnsi="Times New Roman" w:cs="Times New Roman"/>
          <w:sz w:val="24"/>
          <w:szCs w:val="24"/>
        </w:rPr>
        <w:t>6. 5. 2024</w:t>
      </w:r>
    </w:p>
    <w:p w14:paraId="5D56C39D" w14:textId="77777777" w:rsidR="00D7181A" w:rsidRDefault="00D7181A">
      <w:pPr>
        <w:spacing w:after="0" w:line="240" w:lineRule="auto"/>
        <w:rPr>
          <w:rFonts w:ascii="Times New Roman" w:eastAsia="Times New Roman" w:hAnsi="Times New Roman" w:cs="Times New Roman"/>
          <w:sz w:val="24"/>
          <w:szCs w:val="24"/>
        </w:rPr>
      </w:pPr>
    </w:p>
    <w:p w14:paraId="649B419D" w14:textId="77777777" w:rsidR="00D7181A" w:rsidRDefault="00D7181A">
      <w:pPr>
        <w:spacing w:after="0" w:line="240" w:lineRule="auto"/>
        <w:rPr>
          <w:rFonts w:ascii="Times New Roman" w:eastAsia="Times New Roman" w:hAnsi="Times New Roman" w:cs="Times New Roman"/>
          <w:sz w:val="24"/>
          <w:szCs w:val="24"/>
        </w:rPr>
      </w:pPr>
    </w:p>
    <w:p w14:paraId="33310D3C" w14:textId="77777777" w:rsidR="00D7181A" w:rsidRDefault="00D7181A">
      <w:pPr>
        <w:spacing w:after="0" w:line="240" w:lineRule="auto"/>
        <w:rPr>
          <w:rFonts w:ascii="Times New Roman" w:eastAsia="Times New Roman" w:hAnsi="Times New Roman" w:cs="Times New Roman"/>
          <w:sz w:val="24"/>
          <w:szCs w:val="24"/>
        </w:rPr>
      </w:pPr>
    </w:p>
    <w:p w14:paraId="7BD59188" w14:textId="77777777" w:rsidR="00D7181A" w:rsidRDefault="00D7181A">
      <w:pPr>
        <w:spacing w:after="0" w:line="240" w:lineRule="auto"/>
        <w:rPr>
          <w:rFonts w:ascii="Times New Roman" w:eastAsia="Times New Roman" w:hAnsi="Times New Roman" w:cs="Times New Roman"/>
          <w:sz w:val="24"/>
          <w:szCs w:val="24"/>
        </w:rPr>
      </w:pPr>
    </w:p>
    <w:p w14:paraId="4B3D0D56" w14:textId="77777777" w:rsidR="00D7181A" w:rsidRDefault="00D7181A">
      <w:pPr>
        <w:spacing w:after="0" w:line="240" w:lineRule="auto"/>
        <w:rPr>
          <w:rFonts w:ascii="Times New Roman" w:eastAsia="Times New Roman" w:hAnsi="Times New Roman" w:cs="Times New Roman"/>
          <w:sz w:val="24"/>
          <w:szCs w:val="24"/>
        </w:rPr>
      </w:pPr>
    </w:p>
    <w:p w14:paraId="00356AB2" w14:textId="77777777" w:rsidR="00D7181A" w:rsidRDefault="00D7181A">
      <w:pPr>
        <w:spacing w:after="0" w:line="240" w:lineRule="auto"/>
        <w:rPr>
          <w:rFonts w:ascii="Times New Roman" w:eastAsia="Times New Roman" w:hAnsi="Times New Roman" w:cs="Times New Roman"/>
          <w:sz w:val="24"/>
          <w:szCs w:val="24"/>
        </w:rPr>
      </w:pPr>
    </w:p>
    <w:p w14:paraId="1C4AE8F6" w14:textId="77777777" w:rsidR="00D7181A" w:rsidRDefault="00000000">
      <w:pPr>
        <w:spacing w:after="0" w:line="240" w:lineRule="auto"/>
        <w:rPr>
          <w:rFonts w:ascii="Times New Roman" w:eastAsia="Times New Roman" w:hAnsi="Times New Roman" w:cs="Times New Roman"/>
          <w:sz w:val="24"/>
          <w:szCs w:val="24"/>
        </w:rPr>
      </w:pPr>
      <w:r w:rsidRPr="007B0953">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0953">
        <w:rPr>
          <w:rFonts w:ascii="Times New Roman" w:eastAsia="Times New Roman" w:hAnsi="Times New Roman" w:cs="Times New Roman"/>
          <w:sz w:val="24"/>
          <w:szCs w:val="24"/>
          <w:highlight w:val="black"/>
        </w:rPr>
        <w:t>………………………………………</w:t>
      </w:r>
    </w:p>
    <w:p w14:paraId="00D7E4FD" w14:textId="77777777" w:rsidR="00D7181A"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75786193" w14:textId="77777777" w:rsidR="00D7181A" w:rsidRDefault="00D7181A">
      <w:pPr>
        <w:spacing w:after="0" w:line="240" w:lineRule="auto"/>
        <w:rPr>
          <w:rFonts w:ascii="Times New Roman" w:eastAsia="Times New Roman" w:hAnsi="Times New Roman" w:cs="Times New Roman"/>
          <w:b/>
          <w:sz w:val="24"/>
          <w:szCs w:val="24"/>
        </w:rPr>
      </w:pPr>
    </w:p>
    <w:p w14:paraId="26442FED" w14:textId="77777777" w:rsidR="00D7181A" w:rsidRDefault="00D7181A">
      <w:pPr>
        <w:spacing w:after="0" w:line="240" w:lineRule="auto"/>
        <w:rPr>
          <w:rFonts w:ascii="Times New Roman" w:eastAsia="Times New Roman" w:hAnsi="Times New Roman" w:cs="Times New Roman"/>
          <w:b/>
          <w:sz w:val="24"/>
          <w:szCs w:val="24"/>
        </w:rPr>
      </w:pPr>
    </w:p>
    <w:p w14:paraId="20EF6F4A" w14:textId="77777777" w:rsidR="00D7181A" w:rsidRDefault="00D7181A">
      <w:pPr>
        <w:spacing w:after="0" w:line="240" w:lineRule="auto"/>
        <w:rPr>
          <w:rFonts w:ascii="Times New Roman" w:eastAsia="Times New Roman" w:hAnsi="Times New Roman" w:cs="Times New Roman"/>
          <w:b/>
          <w:sz w:val="24"/>
          <w:szCs w:val="24"/>
        </w:rPr>
      </w:pPr>
    </w:p>
    <w:p w14:paraId="1C8D3BB5" w14:textId="77777777" w:rsidR="00D7181A" w:rsidRDefault="00D7181A">
      <w:pPr>
        <w:spacing w:after="0" w:line="240" w:lineRule="auto"/>
        <w:rPr>
          <w:rFonts w:ascii="Times New Roman" w:eastAsia="Times New Roman" w:hAnsi="Times New Roman" w:cs="Times New Roman"/>
          <w:b/>
          <w:sz w:val="24"/>
          <w:szCs w:val="24"/>
        </w:rPr>
      </w:pPr>
    </w:p>
    <w:p w14:paraId="71384FB7" w14:textId="77777777" w:rsidR="00D7181A" w:rsidRDefault="00D7181A">
      <w:pPr>
        <w:spacing w:after="0" w:line="240" w:lineRule="auto"/>
        <w:rPr>
          <w:rFonts w:ascii="Times New Roman" w:eastAsia="Times New Roman" w:hAnsi="Times New Roman" w:cs="Times New Roman"/>
          <w:b/>
          <w:sz w:val="24"/>
          <w:szCs w:val="24"/>
        </w:rPr>
      </w:pPr>
    </w:p>
    <w:p w14:paraId="18570BD4" w14:textId="77777777" w:rsidR="00D7181A" w:rsidRDefault="00D7181A">
      <w:pPr>
        <w:spacing w:after="0" w:line="240" w:lineRule="auto"/>
        <w:rPr>
          <w:rFonts w:ascii="Times New Roman" w:eastAsia="Times New Roman" w:hAnsi="Times New Roman" w:cs="Times New Roman"/>
          <w:b/>
          <w:sz w:val="24"/>
          <w:szCs w:val="24"/>
        </w:rPr>
      </w:pPr>
    </w:p>
    <w:p w14:paraId="5E6D90AA" w14:textId="77777777" w:rsidR="00D7181A" w:rsidRDefault="00D7181A">
      <w:pPr>
        <w:spacing w:after="0" w:line="240" w:lineRule="auto"/>
        <w:rPr>
          <w:rFonts w:ascii="Times New Roman" w:eastAsia="Times New Roman" w:hAnsi="Times New Roman" w:cs="Times New Roman"/>
          <w:b/>
          <w:sz w:val="24"/>
          <w:szCs w:val="24"/>
        </w:rPr>
      </w:pPr>
    </w:p>
    <w:p w14:paraId="2C53C2FE" w14:textId="77777777" w:rsidR="00D7181A" w:rsidRDefault="00D7181A">
      <w:pPr>
        <w:spacing w:after="0" w:line="240" w:lineRule="auto"/>
        <w:rPr>
          <w:rFonts w:ascii="Times New Roman" w:eastAsia="Times New Roman" w:hAnsi="Times New Roman" w:cs="Times New Roman"/>
          <w:b/>
          <w:sz w:val="24"/>
          <w:szCs w:val="24"/>
        </w:rPr>
      </w:pPr>
    </w:p>
    <w:p w14:paraId="246C6011" w14:textId="77777777" w:rsidR="00D7181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Příloha 1</w:t>
      </w:r>
    </w:p>
    <w:p w14:paraId="6CAE4530" w14:textId="77777777" w:rsidR="00D7181A" w:rsidRDefault="00D7181A">
      <w:pPr>
        <w:spacing w:after="0" w:line="240" w:lineRule="auto"/>
        <w:rPr>
          <w:rFonts w:ascii="Times New Roman" w:eastAsia="Times New Roman" w:hAnsi="Times New Roman" w:cs="Times New Roman"/>
          <w:sz w:val="24"/>
          <w:szCs w:val="24"/>
        </w:rPr>
      </w:pPr>
    </w:p>
    <w:p w14:paraId="74A13A8B" w14:textId="77777777" w:rsidR="00D7181A" w:rsidRDefault="00000000">
      <w:pPr>
        <w:spacing w:after="0"/>
        <w:rPr>
          <w:rFonts w:ascii="Arial" w:eastAsia="Arial" w:hAnsi="Arial" w:cs="Arial"/>
        </w:rPr>
      </w:pPr>
      <w:r>
        <w:rPr>
          <w:rFonts w:ascii="Arial" w:eastAsia="Arial" w:hAnsi="Arial" w:cs="Arial"/>
          <w:b/>
          <w:u w:val="single"/>
        </w:rPr>
        <w:t>VÝSTUPY + TERMÍNY DODÁNÍ</w:t>
      </w:r>
    </w:p>
    <w:p w14:paraId="684FED4A" w14:textId="77777777" w:rsidR="00D7181A" w:rsidRDefault="00D7181A">
      <w:pPr>
        <w:spacing w:after="0"/>
        <w:rPr>
          <w:rFonts w:ascii="Arial" w:eastAsia="Arial" w:hAnsi="Arial" w:cs="Arial"/>
          <w:b/>
          <w:u w:val="single"/>
        </w:rPr>
      </w:pPr>
    </w:p>
    <w:tbl>
      <w:tblPr>
        <w:tblStyle w:val="a"/>
        <w:tblpPr w:leftFromText="180" w:rightFromText="180" w:topFromText="180" w:bottomFromText="180" w:vertAnchor="text"/>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1905"/>
        <w:gridCol w:w="3000"/>
      </w:tblGrid>
      <w:tr w:rsidR="00D7181A" w14:paraId="31D80483" w14:textId="77777777">
        <w:tc>
          <w:tcPr>
            <w:tcW w:w="4095" w:type="dxa"/>
          </w:tcPr>
          <w:p w14:paraId="5D4F2764" w14:textId="77777777" w:rsidR="00D7181A" w:rsidRDefault="00000000">
            <w:pPr>
              <w:widowControl w:val="0"/>
              <w:spacing w:after="0" w:line="240" w:lineRule="auto"/>
              <w:rPr>
                <w:rFonts w:ascii="Arial" w:eastAsia="Arial" w:hAnsi="Arial" w:cs="Arial"/>
                <w:b/>
                <w:u w:val="single"/>
              </w:rPr>
            </w:pPr>
            <w:r>
              <w:rPr>
                <w:rFonts w:ascii="Arial" w:eastAsia="Arial" w:hAnsi="Arial" w:cs="Arial"/>
                <w:b/>
                <w:u w:val="single"/>
              </w:rPr>
              <w:t>výstupy</w:t>
            </w:r>
          </w:p>
        </w:tc>
        <w:tc>
          <w:tcPr>
            <w:tcW w:w="1905" w:type="dxa"/>
          </w:tcPr>
          <w:p w14:paraId="40A71CAB" w14:textId="77777777" w:rsidR="00D7181A" w:rsidRDefault="00000000">
            <w:pPr>
              <w:widowControl w:val="0"/>
              <w:spacing w:after="0" w:line="240" w:lineRule="auto"/>
              <w:rPr>
                <w:rFonts w:ascii="Arial" w:eastAsia="Arial" w:hAnsi="Arial" w:cs="Arial"/>
                <w:b/>
                <w:u w:val="single"/>
              </w:rPr>
            </w:pPr>
            <w:r>
              <w:rPr>
                <w:rFonts w:ascii="Arial" w:eastAsia="Arial" w:hAnsi="Arial" w:cs="Arial"/>
                <w:b/>
                <w:u w:val="single"/>
              </w:rPr>
              <w:t>termín dodání</w:t>
            </w:r>
          </w:p>
        </w:tc>
        <w:tc>
          <w:tcPr>
            <w:tcW w:w="3000" w:type="dxa"/>
          </w:tcPr>
          <w:p w14:paraId="660390D4" w14:textId="77777777" w:rsidR="00D7181A" w:rsidRDefault="00000000">
            <w:pPr>
              <w:widowControl w:val="0"/>
              <w:spacing w:after="0" w:line="240" w:lineRule="auto"/>
              <w:rPr>
                <w:rFonts w:ascii="Arial" w:eastAsia="Arial" w:hAnsi="Arial" w:cs="Arial"/>
                <w:b/>
                <w:u w:val="single"/>
              </w:rPr>
            </w:pPr>
            <w:r>
              <w:rPr>
                <w:rFonts w:ascii="Arial" w:eastAsia="Arial" w:hAnsi="Arial" w:cs="Arial"/>
                <w:b/>
                <w:u w:val="single"/>
              </w:rPr>
              <w:t>částka</w:t>
            </w:r>
          </w:p>
        </w:tc>
      </w:tr>
      <w:tr w:rsidR="00D7181A" w14:paraId="7F2B8E21" w14:textId="77777777">
        <w:tc>
          <w:tcPr>
            <w:tcW w:w="4095" w:type="dxa"/>
          </w:tcPr>
          <w:p w14:paraId="4731D3DB" w14:textId="77777777" w:rsidR="00D7181A" w:rsidRDefault="00000000">
            <w:pPr>
              <w:widowControl w:val="0"/>
              <w:spacing w:after="0" w:line="240" w:lineRule="auto"/>
              <w:rPr>
                <w:rFonts w:ascii="Arial" w:eastAsia="Arial" w:hAnsi="Arial" w:cs="Arial"/>
                <w:b/>
              </w:rPr>
            </w:pPr>
            <w:r>
              <w:rPr>
                <w:rFonts w:ascii="Arial" w:eastAsia="Arial" w:hAnsi="Arial" w:cs="Arial"/>
                <w:b/>
              </w:rPr>
              <w:t>plán aktivit pro rok 2024</w:t>
            </w:r>
          </w:p>
        </w:tc>
        <w:tc>
          <w:tcPr>
            <w:tcW w:w="1905" w:type="dxa"/>
          </w:tcPr>
          <w:p w14:paraId="5D995039" w14:textId="77777777" w:rsidR="00D7181A" w:rsidRDefault="00000000">
            <w:pPr>
              <w:widowControl w:val="0"/>
              <w:spacing w:after="0" w:line="240" w:lineRule="auto"/>
              <w:rPr>
                <w:rFonts w:ascii="Arial" w:eastAsia="Arial" w:hAnsi="Arial" w:cs="Arial"/>
                <w:b/>
              </w:rPr>
            </w:pPr>
            <w:r>
              <w:rPr>
                <w:rFonts w:ascii="Arial" w:eastAsia="Arial" w:hAnsi="Arial" w:cs="Arial"/>
                <w:b/>
              </w:rPr>
              <w:t>31.5.2024</w:t>
            </w:r>
          </w:p>
        </w:tc>
        <w:tc>
          <w:tcPr>
            <w:tcW w:w="3000" w:type="dxa"/>
          </w:tcPr>
          <w:p w14:paraId="5DA7887A" w14:textId="77777777" w:rsidR="00D7181A" w:rsidRDefault="00000000">
            <w:pPr>
              <w:widowControl w:val="0"/>
              <w:spacing w:after="0" w:line="240" w:lineRule="auto"/>
              <w:rPr>
                <w:rFonts w:ascii="Arial" w:eastAsia="Arial" w:hAnsi="Arial" w:cs="Arial"/>
                <w:b/>
              </w:rPr>
            </w:pPr>
            <w:r>
              <w:rPr>
                <w:rFonts w:ascii="Arial" w:eastAsia="Arial" w:hAnsi="Arial" w:cs="Arial"/>
                <w:b/>
              </w:rPr>
              <w:t>14500</w:t>
            </w:r>
          </w:p>
        </w:tc>
      </w:tr>
      <w:tr w:rsidR="00D7181A" w14:paraId="76A9999D" w14:textId="77777777">
        <w:tc>
          <w:tcPr>
            <w:tcW w:w="4095" w:type="dxa"/>
          </w:tcPr>
          <w:p w14:paraId="44F871B6" w14:textId="77777777" w:rsidR="00D7181A" w:rsidRDefault="00000000">
            <w:pPr>
              <w:widowControl w:val="0"/>
              <w:spacing w:after="0" w:line="240" w:lineRule="auto"/>
              <w:rPr>
                <w:rFonts w:ascii="Arial" w:eastAsia="Arial" w:hAnsi="Arial" w:cs="Arial"/>
                <w:b/>
              </w:rPr>
            </w:pPr>
            <w:r>
              <w:rPr>
                <w:rFonts w:ascii="Arial" w:eastAsia="Arial" w:hAnsi="Arial" w:cs="Arial"/>
                <w:b/>
              </w:rPr>
              <w:t>plán dlouhodobých dopadů projektu</w:t>
            </w:r>
          </w:p>
        </w:tc>
        <w:tc>
          <w:tcPr>
            <w:tcW w:w="1905" w:type="dxa"/>
          </w:tcPr>
          <w:p w14:paraId="0A2F3859" w14:textId="77777777" w:rsidR="00D7181A" w:rsidRDefault="00000000">
            <w:pPr>
              <w:widowControl w:val="0"/>
              <w:spacing w:after="0" w:line="240" w:lineRule="auto"/>
              <w:rPr>
                <w:rFonts w:ascii="Arial" w:eastAsia="Arial" w:hAnsi="Arial" w:cs="Arial"/>
                <w:b/>
              </w:rPr>
            </w:pPr>
            <w:r>
              <w:rPr>
                <w:rFonts w:ascii="Arial" w:eastAsia="Arial" w:hAnsi="Arial" w:cs="Arial"/>
                <w:b/>
              </w:rPr>
              <w:t>30.6.2024</w:t>
            </w:r>
          </w:p>
        </w:tc>
        <w:tc>
          <w:tcPr>
            <w:tcW w:w="3000" w:type="dxa"/>
          </w:tcPr>
          <w:p w14:paraId="50917104" w14:textId="77777777" w:rsidR="00D7181A" w:rsidRDefault="00000000">
            <w:pPr>
              <w:widowControl w:val="0"/>
              <w:spacing w:after="0" w:line="240" w:lineRule="auto"/>
              <w:rPr>
                <w:rFonts w:ascii="Arial" w:eastAsia="Arial" w:hAnsi="Arial" w:cs="Arial"/>
                <w:b/>
              </w:rPr>
            </w:pPr>
            <w:r>
              <w:rPr>
                <w:rFonts w:ascii="Arial" w:eastAsia="Arial" w:hAnsi="Arial" w:cs="Arial"/>
                <w:b/>
              </w:rPr>
              <w:t>11600</w:t>
            </w:r>
          </w:p>
        </w:tc>
      </w:tr>
      <w:tr w:rsidR="00D7181A" w14:paraId="2A9093CD" w14:textId="77777777">
        <w:tc>
          <w:tcPr>
            <w:tcW w:w="4095" w:type="dxa"/>
          </w:tcPr>
          <w:p w14:paraId="63772334" w14:textId="77777777" w:rsidR="00D7181A" w:rsidRDefault="00000000">
            <w:pPr>
              <w:widowControl w:val="0"/>
              <w:spacing w:after="0" w:line="240" w:lineRule="auto"/>
              <w:rPr>
                <w:rFonts w:ascii="Arial" w:eastAsia="Arial" w:hAnsi="Arial" w:cs="Arial"/>
                <w:b/>
              </w:rPr>
            </w:pPr>
            <w:r>
              <w:rPr>
                <w:rFonts w:ascii="Arial" w:eastAsia="Arial" w:hAnsi="Arial" w:cs="Arial"/>
                <w:b/>
              </w:rPr>
              <w:t>strategie zahraničních partnerství projektu</w:t>
            </w:r>
          </w:p>
        </w:tc>
        <w:tc>
          <w:tcPr>
            <w:tcW w:w="1905" w:type="dxa"/>
          </w:tcPr>
          <w:p w14:paraId="6C8E75CD" w14:textId="77777777" w:rsidR="00D7181A" w:rsidRDefault="00000000">
            <w:pPr>
              <w:widowControl w:val="0"/>
              <w:spacing w:after="0" w:line="240" w:lineRule="auto"/>
              <w:rPr>
                <w:rFonts w:ascii="Arial" w:eastAsia="Arial" w:hAnsi="Arial" w:cs="Arial"/>
                <w:b/>
              </w:rPr>
            </w:pPr>
            <w:r>
              <w:rPr>
                <w:rFonts w:ascii="Arial" w:eastAsia="Arial" w:hAnsi="Arial" w:cs="Arial"/>
                <w:b/>
              </w:rPr>
              <w:t>31.8. 2024</w:t>
            </w:r>
          </w:p>
        </w:tc>
        <w:tc>
          <w:tcPr>
            <w:tcW w:w="3000" w:type="dxa"/>
          </w:tcPr>
          <w:p w14:paraId="304A399A" w14:textId="77777777" w:rsidR="00D7181A" w:rsidRDefault="00000000">
            <w:pPr>
              <w:widowControl w:val="0"/>
              <w:spacing w:after="0" w:line="240" w:lineRule="auto"/>
              <w:rPr>
                <w:rFonts w:ascii="Arial" w:eastAsia="Arial" w:hAnsi="Arial" w:cs="Arial"/>
                <w:b/>
              </w:rPr>
            </w:pPr>
            <w:r>
              <w:rPr>
                <w:rFonts w:ascii="Arial" w:eastAsia="Arial" w:hAnsi="Arial" w:cs="Arial"/>
                <w:b/>
              </w:rPr>
              <w:t>23200</w:t>
            </w:r>
          </w:p>
        </w:tc>
      </w:tr>
      <w:tr w:rsidR="00D7181A" w14:paraId="1A87FFCD" w14:textId="77777777">
        <w:tc>
          <w:tcPr>
            <w:tcW w:w="4095" w:type="dxa"/>
          </w:tcPr>
          <w:p w14:paraId="0782E48F" w14:textId="77777777" w:rsidR="00D7181A" w:rsidRDefault="00000000">
            <w:pPr>
              <w:widowControl w:val="0"/>
              <w:spacing w:after="0" w:line="240" w:lineRule="auto"/>
              <w:rPr>
                <w:rFonts w:ascii="Arial" w:eastAsia="Arial" w:hAnsi="Arial" w:cs="Arial"/>
                <w:b/>
              </w:rPr>
            </w:pPr>
            <w:r>
              <w:rPr>
                <w:rFonts w:ascii="Arial" w:eastAsia="Arial" w:hAnsi="Arial" w:cs="Arial"/>
                <w:b/>
              </w:rPr>
              <w:t>strategie zapojení veřejnosti</w:t>
            </w:r>
          </w:p>
          <w:p w14:paraId="4387078F" w14:textId="77777777" w:rsidR="00D7181A" w:rsidRDefault="00D7181A">
            <w:pPr>
              <w:widowControl w:val="0"/>
              <w:spacing w:after="0" w:line="240" w:lineRule="auto"/>
              <w:rPr>
                <w:rFonts w:ascii="Arial" w:eastAsia="Arial" w:hAnsi="Arial" w:cs="Arial"/>
                <w:b/>
              </w:rPr>
            </w:pPr>
          </w:p>
        </w:tc>
        <w:tc>
          <w:tcPr>
            <w:tcW w:w="1905" w:type="dxa"/>
          </w:tcPr>
          <w:p w14:paraId="2E39C8F9" w14:textId="77777777" w:rsidR="00D7181A" w:rsidRDefault="00000000">
            <w:pPr>
              <w:widowControl w:val="0"/>
              <w:spacing w:after="0" w:line="240" w:lineRule="auto"/>
              <w:rPr>
                <w:rFonts w:ascii="Arial" w:eastAsia="Arial" w:hAnsi="Arial" w:cs="Arial"/>
                <w:b/>
              </w:rPr>
            </w:pPr>
            <w:r>
              <w:rPr>
                <w:rFonts w:ascii="Arial" w:eastAsia="Arial" w:hAnsi="Arial" w:cs="Arial"/>
                <w:b/>
              </w:rPr>
              <w:t>30.9.2024</w:t>
            </w:r>
          </w:p>
        </w:tc>
        <w:tc>
          <w:tcPr>
            <w:tcW w:w="3000" w:type="dxa"/>
          </w:tcPr>
          <w:p w14:paraId="79DFD1FE" w14:textId="77777777" w:rsidR="00D7181A" w:rsidRDefault="00000000">
            <w:pPr>
              <w:widowControl w:val="0"/>
              <w:spacing w:after="0" w:line="240" w:lineRule="auto"/>
              <w:rPr>
                <w:rFonts w:ascii="Arial" w:eastAsia="Arial" w:hAnsi="Arial" w:cs="Arial"/>
                <w:b/>
              </w:rPr>
            </w:pPr>
            <w:r>
              <w:rPr>
                <w:rFonts w:ascii="Arial" w:eastAsia="Arial" w:hAnsi="Arial" w:cs="Arial"/>
                <w:b/>
              </w:rPr>
              <w:t>11600</w:t>
            </w:r>
          </w:p>
        </w:tc>
      </w:tr>
      <w:tr w:rsidR="00D7181A" w14:paraId="30AEC9F6" w14:textId="77777777">
        <w:tc>
          <w:tcPr>
            <w:tcW w:w="4095" w:type="dxa"/>
          </w:tcPr>
          <w:p w14:paraId="6E6D1F21" w14:textId="77777777" w:rsidR="00D7181A" w:rsidRDefault="00000000">
            <w:pPr>
              <w:widowControl w:val="0"/>
              <w:spacing w:after="0" w:line="240" w:lineRule="auto"/>
              <w:rPr>
                <w:rFonts w:ascii="Arial" w:eastAsia="Arial" w:hAnsi="Arial" w:cs="Arial"/>
                <w:b/>
              </w:rPr>
            </w:pPr>
            <w:r>
              <w:rPr>
                <w:rFonts w:ascii="Arial" w:eastAsia="Arial" w:hAnsi="Arial" w:cs="Arial"/>
                <w:b/>
              </w:rPr>
              <w:t>dlouhodobý plán projektu + hlavní výstup v roce 2028</w:t>
            </w:r>
          </w:p>
        </w:tc>
        <w:tc>
          <w:tcPr>
            <w:tcW w:w="1905" w:type="dxa"/>
          </w:tcPr>
          <w:p w14:paraId="6B503603" w14:textId="77777777" w:rsidR="00D7181A" w:rsidRDefault="00000000">
            <w:pPr>
              <w:widowControl w:val="0"/>
              <w:spacing w:after="0" w:line="240" w:lineRule="auto"/>
              <w:rPr>
                <w:rFonts w:ascii="Arial" w:eastAsia="Arial" w:hAnsi="Arial" w:cs="Arial"/>
                <w:b/>
              </w:rPr>
            </w:pPr>
            <w:r>
              <w:rPr>
                <w:rFonts w:ascii="Arial" w:eastAsia="Arial" w:hAnsi="Arial" w:cs="Arial"/>
                <w:b/>
              </w:rPr>
              <w:t>31.10.2024</w:t>
            </w:r>
          </w:p>
        </w:tc>
        <w:tc>
          <w:tcPr>
            <w:tcW w:w="3000" w:type="dxa"/>
          </w:tcPr>
          <w:p w14:paraId="7F350932" w14:textId="77777777" w:rsidR="00D7181A" w:rsidRDefault="00000000">
            <w:pPr>
              <w:widowControl w:val="0"/>
              <w:spacing w:after="0" w:line="240" w:lineRule="auto"/>
              <w:rPr>
                <w:rFonts w:ascii="Arial" w:eastAsia="Arial" w:hAnsi="Arial" w:cs="Arial"/>
                <w:b/>
              </w:rPr>
            </w:pPr>
            <w:r>
              <w:rPr>
                <w:rFonts w:ascii="Arial" w:eastAsia="Arial" w:hAnsi="Arial" w:cs="Arial"/>
                <w:b/>
              </w:rPr>
              <w:t>20300</w:t>
            </w:r>
          </w:p>
        </w:tc>
      </w:tr>
      <w:tr w:rsidR="00D7181A" w14:paraId="64F2F91D" w14:textId="77777777">
        <w:tc>
          <w:tcPr>
            <w:tcW w:w="4095" w:type="dxa"/>
          </w:tcPr>
          <w:p w14:paraId="3C86B384" w14:textId="77777777" w:rsidR="00D7181A" w:rsidRDefault="00000000">
            <w:pPr>
              <w:widowControl w:val="0"/>
              <w:spacing w:after="0" w:line="240" w:lineRule="auto"/>
              <w:rPr>
                <w:rFonts w:ascii="Arial" w:eastAsia="Arial" w:hAnsi="Arial" w:cs="Arial"/>
                <w:b/>
              </w:rPr>
            </w:pPr>
            <w:r>
              <w:rPr>
                <w:rFonts w:ascii="Arial" w:eastAsia="Arial" w:hAnsi="Arial" w:cs="Arial"/>
                <w:b/>
              </w:rPr>
              <w:t>plán aktivit pro rok 2025 + rozpočet</w:t>
            </w:r>
          </w:p>
        </w:tc>
        <w:tc>
          <w:tcPr>
            <w:tcW w:w="1905" w:type="dxa"/>
          </w:tcPr>
          <w:p w14:paraId="16A19DEE" w14:textId="77777777" w:rsidR="00D7181A" w:rsidRDefault="00000000">
            <w:pPr>
              <w:widowControl w:val="0"/>
              <w:spacing w:after="0" w:line="240" w:lineRule="auto"/>
              <w:rPr>
                <w:rFonts w:ascii="Arial" w:eastAsia="Arial" w:hAnsi="Arial" w:cs="Arial"/>
                <w:b/>
              </w:rPr>
            </w:pPr>
            <w:r>
              <w:rPr>
                <w:rFonts w:ascii="Arial" w:eastAsia="Arial" w:hAnsi="Arial" w:cs="Arial"/>
                <w:b/>
              </w:rPr>
              <w:t>30.11.2024</w:t>
            </w:r>
          </w:p>
        </w:tc>
        <w:tc>
          <w:tcPr>
            <w:tcW w:w="3000" w:type="dxa"/>
          </w:tcPr>
          <w:p w14:paraId="5134782B" w14:textId="77777777" w:rsidR="00D7181A" w:rsidRDefault="00000000">
            <w:pPr>
              <w:widowControl w:val="0"/>
              <w:spacing w:after="0" w:line="240" w:lineRule="auto"/>
              <w:rPr>
                <w:rFonts w:ascii="Arial" w:eastAsia="Arial" w:hAnsi="Arial" w:cs="Arial"/>
                <w:b/>
              </w:rPr>
            </w:pPr>
            <w:r>
              <w:rPr>
                <w:rFonts w:ascii="Arial" w:eastAsia="Arial" w:hAnsi="Arial" w:cs="Arial"/>
                <w:b/>
              </w:rPr>
              <w:t>20300</w:t>
            </w:r>
          </w:p>
        </w:tc>
      </w:tr>
    </w:tbl>
    <w:p w14:paraId="584BB22A" w14:textId="77777777" w:rsidR="00D7181A" w:rsidRDefault="00D7181A">
      <w:pPr>
        <w:spacing w:after="0"/>
        <w:rPr>
          <w:rFonts w:ascii="Times New Roman" w:eastAsia="Times New Roman" w:hAnsi="Times New Roman" w:cs="Times New Roman"/>
          <w:sz w:val="24"/>
          <w:szCs w:val="24"/>
        </w:rPr>
      </w:pPr>
    </w:p>
    <w:p w14:paraId="6AFECCEC" w14:textId="77777777" w:rsidR="00D7181A" w:rsidRDefault="00000000">
      <w:pPr>
        <w:spacing w:after="0" w:line="240" w:lineRule="auto"/>
        <w:rPr>
          <w:rFonts w:ascii="Times New Roman" w:eastAsia="Times New Roman" w:hAnsi="Times New Roman" w:cs="Times New Roman"/>
          <w:sz w:val="24"/>
          <w:szCs w:val="24"/>
        </w:rPr>
      </w:pPr>
      <w:r>
        <w:br w:type="page"/>
      </w:r>
    </w:p>
    <w:p w14:paraId="4C086781" w14:textId="77777777" w:rsidR="00D7181A" w:rsidRDefault="00D7181A">
      <w:pPr>
        <w:spacing w:after="0"/>
        <w:rPr>
          <w:rFonts w:ascii="Times New Roman" w:eastAsia="Times New Roman" w:hAnsi="Times New Roman" w:cs="Times New Roman"/>
          <w:sz w:val="24"/>
          <w:szCs w:val="24"/>
        </w:rPr>
      </w:pPr>
    </w:p>
    <w:sectPr w:rsidR="00D7181A">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9C87D" w14:textId="77777777" w:rsidR="008A7F7C" w:rsidRDefault="008A7F7C">
      <w:pPr>
        <w:spacing w:after="0" w:line="240" w:lineRule="auto"/>
      </w:pPr>
      <w:r>
        <w:separator/>
      </w:r>
    </w:p>
  </w:endnote>
  <w:endnote w:type="continuationSeparator" w:id="0">
    <w:p w14:paraId="7BFFD43F" w14:textId="77777777" w:rsidR="008A7F7C" w:rsidRDefault="008A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0040" w14:textId="77777777" w:rsidR="00D7181A" w:rsidRDefault="00000000">
    <w:r>
      <w:fldChar w:fldCharType="begin"/>
    </w:r>
    <w:r>
      <w:instrText>PAGE</w:instrText>
    </w:r>
    <w:r>
      <w:fldChar w:fldCharType="separate"/>
    </w:r>
    <w:r w:rsidR="00A73EC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09B0" w14:textId="77777777" w:rsidR="00D7181A" w:rsidRDefault="00000000">
    <w:pPr>
      <w:jc w:val="right"/>
    </w:pPr>
    <w:r>
      <w:fldChar w:fldCharType="begin"/>
    </w:r>
    <w:r>
      <w:instrText>PAGE</w:instrText>
    </w:r>
    <w:r>
      <w:fldChar w:fldCharType="separate"/>
    </w:r>
    <w:r w:rsidR="00A73E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CEA6" w14:textId="77777777" w:rsidR="008A7F7C" w:rsidRDefault="008A7F7C">
      <w:pPr>
        <w:spacing w:after="0" w:line="240" w:lineRule="auto"/>
      </w:pPr>
      <w:r>
        <w:separator/>
      </w:r>
    </w:p>
  </w:footnote>
  <w:footnote w:type="continuationSeparator" w:id="0">
    <w:p w14:paraId="63869D7B" w14:textId="77777777" w:rsidR="008A7F7C" w:rsidRDefault="008A7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3DAB" w14:textId="77777777" w:rsidR="00D7181A" w:rsidRDefault="00D7181A">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A7F0" w14:textId="77777777" w:rsidR="00D7181A" w:rsidRDefault="00D7181A">
    <w:pPr>
      <w:tabs>
        <w:tab w:val="center" w:pos="4703"/>
        <w:tab w:val="right" w:pos="9406"/>
      </w:tabs>
      <w:spacing w:after="0" w:line="240" w:lineRule="auto"/>
      <w:jc w:val="center"/>
      <w:rPr>
        <w:sz w:val="24"/>
        <w:szCs w:val="24"/>
      </w:rPr>
    </w:pPr>
  </w:p>
  <w:p w14:paraId="5B2667E8" w14:textId="77777777" w:rsidR="00D7181A" w:rsidRDefault="00000000">
    <w:pPr>
      <w:tabs>
        <w:tab w:val="center" w:pos="4703"/>
        <w:tab w:val="right" w:pos="9406"/>
      </w:tabs>
      <w:spacing w:after="0" w:line="240" w:lineRule="auto"/>
      <w:jc w:val="center"/>
    </w:pPr>
    <w:r>
      <w:rPr>
        <w:noProof/>
        <w:sz w:val="24"/>
        <w:szCs w:val="24"/>
      </w:rPr>
      <w:drawing>
        <wp:inline distT="0" distB="0" distL="0" distR="0" wp14:anchorId="65EC9701" wp14:editId="4069DFC6">
          <wp:extent cx="4107527" cy="774296"/>
          <wp:effectExtent l="0" t="0" r="0" b="0"/>
          <wp:docPr id="3"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01EC1"/>
    <w:multiLevelType w:val="multilevel"/>
    <w:tmpl w:val="1F7EAB30"/>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FFA0FA1"/>
    <w:multiLevelType w:val="multilevel"/>
    <w:tmpl w:val="9EDAA29C"/>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68E44FA1"/>
    <w:multiLevelType w:val="multilevel"/>
    <w:tmpl w:val="421E0634"/>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3" w15:restartNumberingAfterBreak="0">
    <w:nsid w:val="76E92C16"/>
    <w:multiLevelType w:val="multilevel"/>
    <w:tmpl w:val="F96AE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226247">
    <w:abstractNumId w:val="1"/>
  </w:num>
  <w:num w:numId="2" w16cid:durableId="1462185247">
    <w:abstractNumId w:val="0"/>
  </w:num>
  <w:num w:numId="3" w16cid:durableId="1622806518">
    <w:abstractNumId w:val="3"/>
  </w:num>
  <w:num w:numId="4" w16cid:durableId="74323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1A"/>
    <w:rsid w:val="00622F31"/>
    <w:rsid w:val="007B0953"/>
    <w:rsid w:val="008A7F7C"/>
    <w:rsid w:val="00A73ECF"/>
    <w:rsid w:val="00D7181A"/>
    <w:rsid w:val="00E51B30"/>
    <w:rsid w:val="00FB5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4808"/>
  <w15:docId w15:val="{91D2C413-48E2-4613-BE5D-CE3BB865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xy0bc62ilcDJBceXPAGkfAP5w==">CgMxLjAyCWlkLmdqZGd4czIKaWQuMzBqMHpsbDgAciExWnJ2aF9HUl9lS0NfYlhhczM5U0JzSi1SeHN3UDQ0Q3Y=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3681</Words>
  <Characters>21724</Characters>
  <Application>Microsoft Office Word</Application>
  <DocSecurity>0</DocSecurity>
  <Lines>181</Lines>
  <Paragraphs>50</Paragraphs>
  <ScaleCrop>false</ScaleCrop>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4</cp:revision>
  <dcterms:created xsi:type="dcterms:W3CDTF">2024-06-06T11:40:00Z</dcterms:created>
  <dcterms:modified xsi:type="dcterms:W3CDTF">2024-06-06T11:54:00Z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