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D1025" w14:textId="16CA6CB6" w:rsidR="00B8383C" w:rsidRPr="00755063" w:rsidRDefault="00B8383C" w:rsidP="00755063">
      <w:pPr>
        <w:pStyle w:val="Nadpis1"/>
        <w:shd w:val="clear" w:color="auto" w:fill="C6D9F1"/>
        <w:tabs>
          <w:tab w:val="clear" w:pos="7371"/>
        </w:tabs>
        <w:spacing w:before="120" w:after="240"/>
        <w:rPr>
          <w:rFonts w:ascii="Calibri" w:hAnsi="Calibri" w:cs="Calibri"/>
          <w:caps/>
          <w:color w:val="000000"/>
        </w:rPr>
      </w:pPr>
      <w:r w:rsidRPr="00755063">
        <w:rPr>
          <w:rFonts w:ascii="Calibri" w:hAnsi="Calibri" w:cs="Calibri"/>
          <w:caps/>
          <w:color w:val="000000"/>
        </w:rPr>
        <w:t>OBCHODNÍ A JINÉ SMLUVNÍ PODMÍNKY</w:t>
      </w:r>
    </w:p>
    <w:p w14:paraId="4D2119EE" w14:textId="0131E6F7" w:rsidR="00B8383C" w:rsidRPr="00755063" w:rsidRDefault="00B8383C" w:rsidP="004717A3">
      <w:pPr>
        <w:pBdr>
          <w:bottom w:val="single" w:sz="12" w:space="1" w:color="auto"/>
        </w:pBdr>
        <w:spacing w:line="300" w:lineRule="exact"/>
        <w:jc w:val="center"/>
        <w:rPr>
          <w:rFonts w:ascii="Calibri" w:hAnsi="Calibri" w:cs="Calibri"/>
          <w:sz w:val="28"/>
          <w:szCs w:val="28"/>
        </w:rPr>
      </w:pPr>
      <w:r w:rsidRPr="00755063">
        <w:rPr>
          <w:rFonts w:ascii="Calibri" w:hAnsi="Calibri" w:cs="Calibri"/>
          <w:sz w:val="28"/>
          <w:szCs w:val="28"/>
        </w:rPr>
        <w:t>Pro veřejnou zakázku malého rozsahu „</w:t>
      </w:r>
      <w:bookmarkStart w:id="0" w:name="_Hlk103583780"/>
      <w:r w:rsidR="00666357" w:rsidRPr="00666357">
        <w:rPr>
          <w:rFonts w:ascii="Calibri" w:hAnsi="Calibri" w:cs="Calibri"/>
          <w:b/>
          <w:bCs/>
          <w:sz w:val="28"/>
          <w:szCs w:val="28"/>
        </w:rPr>
        <w:t xml:space="preserve">Oprava schodišť a podlah z PVC MŠ </w:t>
      </w:r>
      <w:r w:rsidR="00A16A34">
        <w:rPr>
          <w:rFonts w:ascii="Calibri" w:hAnsi="Calibri" w:cs="Calibri"/>
          <w:b/>
          <w:bCs/>
          <w:sz w:val="28"/>
          <w:szCs w:val="28"/>
        </w:rPr>
        <w:t xml:space="preserve">Píšťalka, </w:t>
      </w:r>
      <w:r w:rsidR="00666357" w:rsidRPr="00666357">
        <w:rPr>
          <w:rFonts w:ascii="Calibri" w:hAnsi="Calibri" w:cs="Calibri"/>
          <w:b/>
          <w:bCs/>
          <w:sz w:val="28"/>
          <w:szCs w:val="28"/>
        </w:rPr>
        <w:t>Máchova 8, Přerov</w:t>
      </w:r>
      <w:r w:rsidR="00A16A34">
        <w:rPr>
          <w:rFonts w:ascii="Calibri" w:hAnsi="Calibri" w:cs="Calibri"/>
          <w:b/>
          <w:bCs/>
          <w:sz w:val="28"/>
          <w:szCs w:val="28"/>
        </w:rPr>
        <w:t>.</w:t>
      </w:r>
      <w:r w:rsidR="00AF5457" w:rsidRPr="00AF5457">
        <w:rPr>
          <w:rFonts w:ascii="Calibri" w:hAnsi="Calibri" w:cs="Calibri"/>
          <w:b/>
          <w:bCs/>
          <w:sz w:val="28"/>
          <w:szCs w:val="28"/>
        </w:rPr>
        <w:t xml:space="preserve"> </w:t>
      </w:r>
      <w:bookmarkEnd w:id="0"/>
      <w:r w:rsidRPr="00755063">
        <w:rPr>
          <w:rFonts w:ascii="Calibri" w:hAnsi="Calibri" w:cs="Calibri"/>
          <w:sz w:val="28"/>
          <w:szCs w:val="28"/>
        </w:rPr>
        <w:t>“</w:t>
      </w:r>
    </w:p>
    <w:p w14:paraId="09ECAC0A" w14:textId="77777777" w:rsidR="00B8383C" w:rsidRPr="00755063" w:rsidRDefault="00B8383C" w:rsidP="004717A3">
      <w:pPr>
        <w:pStyle w:val="StyllnekPed30b"/>
        <w:numPr>
          <w:ilvl w:val="0"/>
          <w:numId w:val="0"/>
        </w:numPr>
        <w:tabs>
          <w:tab w:val="left" w:pos="708"/>
        </w:tabs>
        <w:spacing w:before="360" w:line="300" w:lineRule="exact"/>
        <w:jc w:val="both"/>
        <w:rPr>
          <w:rFonts w:ascii="Calibri" w:hAnsi="Calibri" w:cs="Calibri"/>
          <w:b w:val="0"/>
          <w:bCs w:val="0"/>
          <w:color w:val="auto"/>
          <w:sz w:val="24"/>
          <w:szCs w:val="24"/>
        </w:rPr>
      </w:pPr>
      <w:r w:rsidRPr="00755063">
        <w:rPr>
          <w:rFonts w:ascii="Calibri" w:hAnsi="Calibri" w:cs="Calibri"/>
          <w:color w:val="auto"/>
        </w:rPr>
        <w:t xml:space="preserve">Preambule:  </w:t>
      </w:r>
    </w:p>
    <w:p w14:paraId="5790A751" w14:textId="77777777" w:rsidR="00B8383C" w:rsidRPr="00E84A7B" w:rsidRDefault="00B8383C" w:rsidP="004717A3">
      <w:pPr>
        <w:spacing w:line="300" w:lineRule="exact"/>
        <w:jc w:val="both"/>
        <w:rPr>
          <w:rFonts w:ascii="Calibri" w:hAnsi="Calibri" w:cs="Calibri"/>
        </w:rPr>
      </w:pPr>
      <w:r w:rsidRPr="00E84A7B">
        <w:rPr>
          <w:rFonts w:ascii="Calibri" w:hAnsi="Calibri" w:cs="Calibri"/>
        </w:rPr>
        <w:t>Tyto obchodní a jiné smluvní podmínky jsou vypracovány ve formě a struktuře závazného vzoru „Smlouvy o </w:t>
      </w:r>
      <w:r>
        <w:rPr>
          <w:rFonts w:ascii="Calibri" w:hAnsi="Calibri" w:cs="Calibri"/>
        </w:rPr>
        <w:t>dílo</w:t>
      </w:r>
      <w:r w:rsidRPr="00E84A7B">
        <w:rPr>
          <w:rFonts w:ascii="Calibri" w:hAnsi="Calibri" w:cs="Calibri"/>
        </w:rPr>
        <w:t>“</w:t>
      </w:r>
      <w:r>
        <w:rPr>
          <w:rFonts w:ascii="Calibri" w:hAnsi="Calibri" w:cs="Calibri"/>
        </w:rPr>
        <w:t xml:space="preserve"> k výše uvedené veřejné zakázce</w:t>
      </w:r>
      <w:r w:rsidRPr="00E84A7B">
        <w:rPr>
          <w:rFonts w:ascii="Calibri" w:hAnsi="Calibri" w:cs="Calibri"/>
        </w:rPr>
        <w:t>.</w:t>
      </w:r>
    </w:p>
    <w:p w14:paraId="636FA44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4CFEB13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Dodavatel je povinen zcela respektovat obchodní a jiné smluvní podmínky zadavatele.</w:t>
      </w:r>
    </w:p>
    <w:p w14:paraId="61E1F2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34100A2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Účastník výběrového řízení akceptaci obchodních a jiných smluvních podmínek prokáže předložením doplněné a podepsané vzorové smlouvy ve své nabídce.</w:t>
      </w:r>
    </w:p>
    <w:p w14:paraId="666373A8"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1058D1E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 xml:space="preserve">Účastník výběrového řízení do vzoru smlouvy doplní výhradně údaje nezbytné pro vznik smlouvy (zejména vlastní identifikační údaje, nabídkovou cenu a popřípadě další požadované údaje). </w:t>
      </w:r>
    </w:p>
    <w:p w14:paraId="3A79EEB3"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72C72A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Vzorová smlouva bude ze strany účastníka výběrového řízení podepsána statutárním orgánem nebo osobou příslušně zmocněnou; originál zmocnění musí být v takovém případě součástí nabídky účastníka.</w:t>
      </w:r>
    </w:p>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2CF688D5" w14:textId="77777777" w:rsidR="00B8383C" w:rsidRDefault="00B8383C" w:rsidP="004717A3">
      <w:pPr>
        <w:spacing w:line="300" w:lineRule="exact"/>
        <w:rPr>
          <w:rFonts w:ascii="Arial" w:hAnsi="Arial" w:cs="Arial"/>
        </w:rPr>
      </w:pPr>
      <w:r>
        <w:rPr>
          <w:rFonts w:ascii="Arial" w:hAnsi="Arial" w:cs="Arial"/>
          <w:b/>
          <w:bCs/>
        </w:rPr>
        <w:br w:type="page"/>
      </w: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lastRenderedPageBreak/>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6D290AFF"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0D6D77">
        <w:rPr>
          <w:rFonts w:ascii="Calibri" w:hAnsi="Calibri" w:cs="Calibri"/>
        </w:rPr>
        <w:t>02/2024</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646DD51B" w:rsidR="00B8383C" w:rsidRPr="003B7299" w:rsidRDefault="004B638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 xml:space="preserve">Objednatel: </w:t>
      </w:r>
      <w:r w:rsidR="00AF5457">
        <w:rPr>
          <w:rFonts w:ascii="Calibri" w:hAnsi="Calibri" w:cs="Calibri"/>
          <w:b/>
          <w:bCs/>
        </w:rPr>
        <w:t>Mat</w:t>
      </w:r>
      <w:r w:rsidR="00BD32E9">
        <w:rPr>
          <w:rFonts w:ascii="Calibri" w:hAnsi="Calibri" w:cs="Calibri"/>
          <w:b/>
          <w:bCs/>
        </w:rPr>
        <w:t xml:space="preserve">eřská škola </w:t>
      </w:r>
      <w:r w:rsidR="006A7155">
        <w:rPr>
          <w:rFonts w:ascii="Calibri" w:hAnsi="Calibri" w:cs="Calibri"/>
          <w:b/>
          <w:bCs/>
        </w:rPr>
        <w:t>Píšťalka</w:t>
      </w:r>
      <w:r w:rsidR="004E78EC">
        <w:rPr>
          <w:rFonts w:ascii="Calibri" w:hAnsi="Calibri" w:cs="Calibri"/>
          <w:b/>
          <w:bCs/>
        </w:rPr>
        <w:t xml:space="preserve">, </w:t>
      </w:r>
      <w:r w:rsidR="00BD32E9">
        <w:rPr>
          <w:rFonts w:ascii="Calibri" w:hAnsi="Calibri" w:cs="Calibri"/>
          <w:b/>
          <w:bCs/>
        </w:rPr>
        <w:t xml:space="preserve">Přerov, </w:t>
      </w:r>
      <w:r w:rsidR="004E78EC">
        <w:rPr>
          <w:rFonts w:ascii="Calibri" w:hAnsi="Calibri" w:cs="Calibri"/>
          <w:b/>
          <w:bCs/>
        </w:rPr>
        <w:t>Máchova 8</w:t>
      </w:r>
      <w:r w:rsidR="00BD32E9">
        <w:rPr>
          <w:rFonts w:ascii="Calibri" w:hAnsi="Calibri" w:cs="Calibri"/>
          <w:b/>
          <w:bCs/>
        </w:rPr>
        <w:t xml:space="preserve"> </w:t>
      </w:r>
    </w:p>
    <w:p w14:paraId="4F6021C5" w14:textId="51698978"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DE7CCB">
        <w:rPr>
          <w:rFonts w:ascii="Calibri" w:hAnsi="Calibri" w:cs="Calibri"/>
        </w:rPr>
        <w:t xml:space="preserve">Máchova </w:t>
      </w:r>
      <w:r w:rsidR="00762944">
        <w:rPr>
          <w:rFonts w:ascii="Calibri" w:hAnsi="Calibri" w:cs="Calibri"/>
        </w:rPr>
        <w:t>2032/</w:t>
      </w:r>
      <w:r w:rsidR="00DE7CCB">
        <w:rPr>
          <w:rFonts w:ascii="Calibri" w:hAnsi="Calibri" w:cs="Calibri"/>
        </w:rPr>
        <w:t>8</w:t>
      </w:r>
      <w:r w:rsidRPr="004C567B">
        <w:rPr>
          <w:rFonts w:ascii="Calibri" w:hAnsi="Calibri" w:cs="Calibri"/>
        </w:rPr>
        <w:t>, Přerov I-Město, 750 02 Přerov 2</w:t>
      </w:r>
    </w:p>
    <w:p w14:paraId="55BA928A" w14:textId="4FEB38E6"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DE7CCB" w:rsidRPr="004C567B">
        <w:rPr>
          <w:rFonts w:ascii="Calibri" w:hAnsi="Calibri" w:cs="Calibri"/>
        </w:rPr>
        <w:t xml:space="preserve">Marie Hálová </w:t>
      </w:r>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ředitelk</w:t>
      </w:r>
      <w:r w:rsidR="0096572B" w:rsidRPr="004C567B">
        <w:rPr>
          <w:rFonts w:ascii="Calibri" w:hAnsi="Calibri" w:cs="Calibri"/>
        </w:rPr>
        <w:t xml:space="preserve">ou </w:t>
      </w:r>
      <w:r w:rsidR="00FF1799" w:rsidRPr="004C567B">
        <w:rPr>
          <w:rFonts w:ascii="Calibri" w:hAnsi="Calibri" w:cs="Calibri"/>
        </w:rPr>
        <w:t xml:space="preserve">MŠ </w:t>
      </w:r>
    </w:p>
    <w:p w14:paraId="2C554042" w14:textId="08702C84"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0D372F" w:rsidRPr="004C567B">
        <w:rPr>
          <w:rFonts w:ascii="Calibri" w:hAnsi="Calibri" w:cs="Calibri"/>
        </w:rPr>
        <w:t>62350145</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0288B1FC" w:rsidR="00897712" w:rsidRPr="00DA3098"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DA3098">
        <w:rPr>
          <w:rFonts w:ascii="Calibri" w:hAnsi="Calibri" w:cs="Calibri"/>
        </w:rPr>
        <w:t xml:space="preserve">Bankovní spojení: </w:t>
      </w:r>
      <w:r w:rsidRPr="00DA3098">
        <w:rPr>
          <w:rFonts w:ascii="Calibri" w:hAnsi="Calibri" w:cs="Calibri"/>
        </w:rPr>
        <w:tab/>
      </w:r>
      <w:r w:rsidR="004E78EC" w:rsidRPr="00DA3098">
        <w:rPr>
          <w:rFonts w:ascii="Calibri" w:hAnsi="Calibri" w:cs="Calibri"/>
        </w:rPr>
        <w:t>Česká spořitelna a.s</w:t>
      </w:r>
      <w:r w:rsidR="00BD209E" w:rsidRPr="00DA3098">
        <w:rPr>
          <w:rFonts w:ascii="Calibri" w:hAnsi="Calibri" w:cs="Calibri"/>
        </w:rPr>
        <w:t>. , pobočka Přerov</w:t>
      </w:r>
    </w:p>
    <w:p w14:paraId="1332C76A" w14:textId="517C29D8"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DA3098">
        <w:rPr>
          <w:rFonts w:ascii="Calibri" w:hAnsi="Calibri" w:cs="Calibri"/>
          <w:color w:val="000000"/>
        </w:rPr>
        <w:t xml:space="preserve">Číslo </w:t>
      </w:r>
      <w:r w:rsidR="00165A91" w:rsidRPr="00DA3098">
        <w:rPr>
          <w:rFonts w:ascii="Calibri" w:hAnsi="Calibri" w:cs="Calibri"/>
          <w:color w:val="000000"/>
        </w:rPr>
        <w:t>účtu</w:t>
      </w:r>
      <w:r w:rsidRPr="00DA3098">
        <w:rPr>
          <w:rFonts w:ascii="Calibri" w:hAnsi="Calibri" w:cs="Calibri"/>
          <w:color w:val="000000"/>
        </w:rPr>
        <w:t xml:space="preserve">: </w:t>
      </w:r>
      <w:r w:rsidR="00C248BF" w:rsidRPr="00DA3098">
        <w:rPr>
          <w:rFonts w:ascii="Calibri" w:hAnsi="Calibri" w:cs="Calibri"/>
          <w:color w:val="000000"/>
        </w:rPr>
        <w:t xml:space="preserve">     </w:t>
      </w:r>
      <w:r w:rsidR="00165A91" w:rsidRPr="00DA3098">
        <w:rPr>
          <w:rFonts w:ascii="Calibri" w:hAnsi="Calibri" w:cs="Calibri"/>
          <w:color w:val="000000"/>
        </w:rPr>
        <w:t xml:space="preserve">                        </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BDB669C" w:rsidR="003B6705" w:rsidRPr="003B6705"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Ing. Zdeněk Dostál</w:t>
      </w:r>
    </w:p>
    <w:p w14:paraId="6BE13266" w14:textId="0504D591"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tel. +420 58126860</w:t>
      </w:r>
      <w:r w:rsidR="00F91211">
        <w:rPr>
          <w:rFonts w:asciiTheme="minorHAnsi" w:hAnsiTheme="minorHAnsi" w:cstheme="minorHAnsi"/>
          <w:color w:val="000000"/>
        </w:rPr>
        <w:t>4</w:t>
      </w:r>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r w:rsidR="00F91211">
        <w:rPr>
          <w:rFonts w:asciiTheme="minorHAnsi" w:hAnsiTheme="minorHAnsi" w:cstheme="minorHAnsi"/>
          <w:color w:val="000000"/>
        </w:rPr>
        <w:t>724004907</w:t>
      </w:r>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hyperlink r:id="rId7" w:history="1">
        <w:r w:rsidR="00014CFB" w:rsidRPr="00234B5F">
          <w:rPr>
            <w:rStyle w:val="Hypertextovodkaz"/>
            <w:rFonts w:asciiTheme="minorHAnsi" w:hAnsiTheme="minorHAnsi" w:cstheme="minorHAnsi"/>
          </w:rPr>
          <w:t>zdenek.dostal@prerov.eu</w:t>
        </w:r>
      </w:hyperlink>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2E52DF64" w:rsidR="00B8383C" w:rsidRPr="003B7299" w:rsidRDefault="0084316F"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PODLAHY POKORNÝ</w:t>
      </w:r>
      <w:r w:rsidR="00B8383C" w:rsidRPr="003B7299">
        <w:rPr>
          <w:rFonts w:ascii="Calibri" w:hAnsi="Calibri" w:cs="Calibri"/>
          <w:b/>
          <w:bCs/>
        </w:rPr>
        <w:tab/>
      </w:r>
      <w:r w:rsidR="00B8383C" w:rsidRPr="003B7299">
        <w:rPr>
          <w:rFonts w:ascii="Calibri" w:hAnsi="Calibri" w:cs="Calibri"/>
          <w:b/>
          <w:bCs/>
        </w:rPr>
        <w:tab/>
        <w:t xml:space="preserve">  </w:t>
      </w:r>
    </w:p>
    <w:p w14:paraId="4CF33B1B" w14:textId="163913DC"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84316F">
        <w:rPr>
          <w:rFonts w:ascii="Calibri" w:hAnsi="Calibri" w:cs="Calibri"/>
        </w:rPr>
        <w:t>Žalkovice 12, pošta Břest 768 23</w:t>
      </w:r>
    </w:p>
    <w:p w14:paraId="2A2F5C38" w14:textId="33EF72C9"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r w:rsidR="0084316F">
        <w:rPr>
          <w:rFonts w:ascii="Calibri" w:hAnsi="Calibri" w:cs="Calibri"/>
        </w:rPr>
        <w:t>Petr Pokorný</w:t>
      </w:r>
    </w:p>
    <w:p w14:paraId="2D7C82DB" w14:textId="05C906C2" w:rsidR="00DA0B0E"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84316F">
        <w:rPr>
          <w:rFonts w:ascii="Calibri" w:hAnsi="Calibri" w:cs="Calibri"/>
        </w:rPr>
        <w:t>Petr Pokorný</w:t>
      </w:r>
    </w:p>
    <w:p w14:paraId="4E1E582B" w14:textId="39E0E7D3"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84316F">
        <w:rPr>
          <w:rFonts w:ascii="Calibri" w:hAnsi="Calibri" w:cs="Calibri"/>
        </w:rPr>
        <w:t>Petr Pokorný</w:t>
      </w:r>
    </w:p>
    <w:p w14:paraId="7D293778" w14:textId="0CC67B0F"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84316F">
        <w:rPr>
          <w:rFonts w:ascii="Calibri" w:hAnsi="Calibri" w:cs="Calibri"/>
        </w:rPr>
        <w:t>Petr Pokorný</w:t>
      </w:r>
    </w:p>
    <w:p w14:paraId="3141EC3B" w14:textId="420C957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84316F">
        <w:rPr>
          <w:rFonts w:ascii="Calibri" w:hAnsi="Calibri" w:cs="Calibri"/>
        </w:rPr>
        <w:t>67526039</w:t>
      </w:r>
    </w:p>
    <w:p w14:paraId="4910742A" w14:textId="5967B8B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84316F">
        <w:rPr>
          <w:rFonts w:ascii="Calibri" w:hAnsi="Calibri" w:cs="Calibri"/>
        </w:rPr>
        <w:t>CZ7503114410</w:t>
      </w:r>
    </w:p>
    <w:p w14:paraId="17455C35" w14:textId="0C132BD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00444FE3">
        <w:rPr>
          <w:rFonts w:ascii="Calibri" w:hAnsi="Calibri" w:cs="Calibri"/>
        </w:rPr>
        <w:t>Česká spořitelna  a.s.</w:t>
      </w:r>
    </w:p>
    <w:p w14:paraId="5AEF14C6" w14:textId="333A0BD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bookmarkStart w:id="1" w:name="_GoBack"/>
      <w:bookmarkEnd w:id="1"/>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6829E53F" w:rsidR="00B8383C" w:rsidRPr="003B7299" w:rsidRDefault="00444FE3"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Petr Pokorný</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lastRenderedPageBreak/>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604BC1A1"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A16A34" w:rsidRPr="00A16A34">
        <w:rPr>
          <w:rFonts w:ascii="Calibri" w:hAnsi="Calibri" w:cs="Calibri"/>
          <w:b/>
          <w:bCs/>
        </w:rPr>
        <w:t>Oprava schodišť a podlah z PVC MŠ Píšťalka, Máchova 8, Přerov. “</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16AB3D8B" w14:textId="11805F8F"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lastRenderedPageBreak/>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7E772A75" w:rsidR="00B8383C" w:rsidRPr="00CC1263"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5F1B95" w:rsidRPr="009B5F34">
        <w:rPr>
          <w:rFonts w:ascii="Calibri" w:hAnsi="Calibri" w:cs="Calibri"/>
          <w:b/>
          <w:bCs/>
          <w:color w:val="FF0000"/>
        </w:rPr>
        <w:t>(</w:t>
      </w:r>
      <w:r w:rsidRPr="009B5F34">
        <w:rPr>
          <w:rFonts w:ascii="Calibri" w:hAnsi="Calibri" w:cs="Calibri"/>
          <w:b/>
          <w:bCs/>
          <w:color w:val="FF0000"/>
        </w:rPr>
        <w:t xml:space="preserve">předpoklad </w:t>
      </w:r>
      <w:r w:rsidR="00567CC0" w:rsidRPr="009B5F34">
        <w:rPr>
          <w:rFonts w:ascii="Calibri" w:hAnsi="Calibri" w:cs="Calibri"/>
          <w:b/>
          <w:bCs/>
          <w:color w:val="FF0000"/>
        </w:rPr>
        <w:t>)</w:t>
      </w:r>
      <w:r w:rsidR="00313745" w:rsidRPr="009B5F34">
        <w:rPr>
          <w:rFonts w:ascii="Calibri" w:hAnsi="Calibri" w:cs="Calibri"/>
          <w:b/>
          <w:bCs/>
          <w:color w:val="FF0000"/>
        </w:rPr>
        <w:t xml:space="preserve"> </w:t>
      </w:r>
      <w:r w:rsidR="006F7143" w:rsidRPr="009B5F34">
        <w:rPr>
          <w:rFonts w:ascii="Calibri" w:hAnsi="Calibri" w:cs="Calibri"/>
          <w:b/>
          <w:bCs/>
          <w:color w:val="FF0000"/>
        </w:rPr>
        <w:t>29.7.</w:t>
      </w:r>
      <w:r w:rsidR="00313745" w:rsidRPr="009B5F34">
        <w:rPr>
          <w:rFonts w:ascii="Calibri" w:hAnsi="Calibri" w:cs="Calibri"/>
          <w:b/>
          <w:bCs/>
          <w:color w:val="FF0000"/>
        </w:rPr>
        <w:t>202</w:t>
      </w:r>
      <w:r w:rsidR="00A16A34" w:rsidRPr="009B5F34">
        <w:rPr>
          <w:rFonts w:ascii="Calibri" w:hAnsi="Calibri" w:cs="Calibri"/>
          <w:b/>
          <w:bCs/>
          <w:color w:val="FF0000"/>
        </w:rPr>
        <w:t>4</w:t>
      </w:r>
      <w:r w:rsidR="00321978">
        <w:rPr>
          <w:rFonts w:ascii="Calibri" w:hAnsi="Calibri" w:cs="Calibri"/>
          <w:b/>
          <w:bCs/>
          <w:color w:val="FF0000"/>
        </w:rPr>
        <w:t xml:space="preserve"> </w:t>
      </w:r>
      <w:r w:rsidR="00321978" w:rsidRPr="00321978">
        <w:rPr>
          <w:rFonts w:ascii="Calibri" w:hAnsi="Calibri" w:cs="Calibri"/>
          <w:b/>
          <w:bCs/>
          <w:color w:val="FF0000"/>
        </w:rPr>
        <w:t>( v době školních prázdnin)</w:t>
      </w:r>
    </w:p>
    <w:p w14:paraId="2BE41771" w14:textId="1A6810A6"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do</w:t>
      </w:r>
      <w:r w:rsidR="00CB4CA8">
        <w:rPr>
          <w:rFonts w:ascii="Calibri" w:hAnsi="Calibri" w:cs="Calibri"/>
          <w:b/>
          <w:bCs/>
        </w:rPr>
        <w:t xml:space="preserve"> </w:t>
      </w:r>
      <w:r w:rsidR="009B5F34">
        <w:rPr>
          <w:rFonts w:ascii="Calibri" w:hAnsi="Calibri" w:cs="Calibri"/>
          <w:b/>
          <w:bCs/>
        </w:rPr>
        <w:t>14</w:t>
      </w:r>
      <w:r w:rsidR="00CB4CA8">
        <w:rPr>
          <w:rFonts w:ascii="Calibri" w:hAnsi="Calibri" w:cs="Calibri"/>
          <w:b/>
          <w:bCs/>
        </w:rPr>
        <w:t xml:space="preserve"> kalendářních </w:t>
      </w:r>
      <w:r w:rsidR="00321978">
        <w:rPr>
          <w:rFonts w:ascii="Calibri" w:hAnsi="Calibri" w:cs="Calibri"/>
          <w:b/>
          <w:bCs/>
        </w:rPr>
        <w:t xml:space="preserve">dnů, nejpozději do </w:t>
      </w:r>
      <w:r w:rsidR="009B5F34">
        <w:rPr>
          <w:rFonts w:ascii="Calibri" w:hAnsi="Calibri" w:cs="Calibri"/>
          <w:b/>
          <w:bCs/>
        </w:rPr>
        <w:t>12</w:t>
      </w:r>
      <w:r w:rsidR="001E0B18">
        <w:rPr>
          <w:rFonts w:ascii="Calibri" w:hAnsi="Calibri" w:cs="Calibri"/>
          <w:b/>
          <w:bCs/>
        </w:rPr>
        <w:t xml:space="preserve">.8.2024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670DFAA2"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2D42BF" w:rsidRPr="0018507A">
        <w:rPr>
          <w:rFonts w:ascii="Calibri" w:hAnsi="Calibri" w:cs="Calibri"/>
          <w:snapToGrid w:val="0"/>
        </w:rPr>
        <w:t xml:space="preserve">na pozemcích </w:t>
      </w:r>
      <w:proofErr w:type="spellStart"/>
      <w:r w:rsidR="002D42BF" w:rsidRPr="0018507A">
        <w:rPr>
          <w:rFonts w:ascii="Calibri" w:hAnsi="Calibri" w:cs="Calibri"/>
          <w:snapToGrid w:val="0"/>
        </w:rPr>
        <w:t>parc</w:t>
      </w:r>
      <w:proofErr w:type="spellEnd"/>
      <w:r w:rsidR="002D42BF" w:rsidRPr="0018507A">
        <w:rPr>
          <w:rFonts w:ascii="Calibri" w:hAnsi="Calibri" w:cs="Calibri"/>
          <w:snapToGrid w:val="0"/>
        </w:rPr>
        <w:t xml:space="preserve">. č. </w:t>
      </w:r>
      <w:r w:rsidR="00B028AE" w:rsidRPr="0018507A">
        <w:rPr>
          <w:rFonts w:ascii="Calibri" w:hAnsi="Calibri" w:cs="Calibri"/>
          <w:snapToGrid w:val="0"/>
        </w:rPr>
        <w:t xml:space="preserve">4766 </w:t>
      </w:r>
      <w:r w:rsidR="002D42BF" w:rsidRPr="0018507A">
        <w:rPr>
          <w:rFonts w:ascii="Calibri" w:hAnsi="Calibri" w:cs="Calibri"/>
          <w:snapToGrid w:val="0"/>
        </w:rPr>
        <w:t>(ostatní plocha)</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733CB85D"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8A591F">
        <w:rPr>
          <w:rFonts w:ascii="Calibri" w:hAnsi="Calibri" w:cs="Calibri"/>
          <w:b/>
          <w:bCs/>
        </w:rPr>
        <w:t>183 675</w:t>
      </w:r>
      <w:r w:rsidR="006B7EAD">
        <w:rPr>
          <w:rFonts w:ascii="Calibri" w:hAnsi="Calibri" w:cs="Calibri"/>
          <w:b/>
          <w:bCs/>
        </w:rPr>
        <w:t>,-</w:t>
      </w:r>
      <w:r w:rsidR="00CF2714" w:rsidRPr="00CF2714">
        <w:rPr>
          <w:rFonts w:ascii="Calibri" w:hAnsi="Calibri" w:cs="Calibri"/>
          <w:b/>
          <w:bCs/>
        </w:rPr>
        <w:t xml:space="preserve"> </w:t>
      </w:r>
      <w:r w:rsidR="008A591F">
        <w:rPr>
          <w:rFonts w:ascii="Calibri" w:hAnsi="Calibri" w:cs="Calibri"/>
          <w:b/>
          <w:bCs/>
        </w:rPr>
        <w:t xml:space="preserve"> </w:t>
      </w:r>
      <w:r w:rsidR="00CF2714" w:rsidRPr="00CF2714">
        <w:rPr>
          <w:rFonts w:ascii="Calibri" w:hAnsi="Calibri" w:cs="Calibri"/>
          <w:b/>
          <w:bCs/>
        </w:rPr>
        <w:t>Kč</w:t>
      </w:r>
    </w:p>
    <w:p w14:paraId="38A2FCC4" w14:textId="29C847E3"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142004">
        <w:rPr>
          <w:rFonts w:ascii="Calibri" w:hAnsi="Calibri" w:cs="Calibri"/>
          <w:b/>
          <w:bCs/>
        </w:rPr>
        <w:t xml:space="preserve">  </w:t>
      </w:r>
      <w:r w:rsidR="008A591F">
        <w:rPr>
          <w:rFonts w:ascii="Calibri" w:hAnsi="Calibri" w:cs="Calibri"/>
          <w:b/>
          <w:bCs/>
        </w:rPr>
        <w:t>38 571,75</w:t>
      </w:r>
      <w:r w:rsidRPr="00CF2714">
        <w:rPr>
          <w:rFonts w:ascii="Calibri" w:hAnsi="Calibri" w:cs="Calibri"/>
          <w:b/>
          <w:bCs/>
        </w:rPr>
        <w:t>Kč</w:t>
      </w:r>
    </w:p>
    <w:p w14:paraId="5FC7C0FF" w14:textId="5F583AEB"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8A591F">
        <w:rPr>
          <w:rFonts w:ascii="Calibri" w:hAnsi="Calibri" w:cs="Calibri"/>
          <w:b/>
          <w:bCs/>
        </w:rPr>
        <w:t xml:space="preserve">   222 246,75 </w:t>
      </w:r>
      <w:r w:rsidRPr="00CF2714">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lastRenderedPageBreak/>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 xml:space="preserve">nebude-li některá část díla v důsledku sjednaných </w:t>
      </w:r>
      <w:proofErr w:type="spellStart"/>
      <w:r w:rsidRPr="003B7299">
        <w:rPr>
          <w:rFonts w:ascii="Calibri" w:hAnsi="Calibri" w:cs="Calibri"/>
        </w:rPr>
        <w:t>méněprací</w:t>
      </w:r>
      <w:proofErr w:type="spellEnd"/>
      <w:r w:rsidRPr="003B7299">
        <w:rPr>
          <w:rFonts w:ascii="Calibri" w:hAnsi="Calibri" w:cs="Calibri"/>
        </w:rPr>
        <w:t xml:space="preserve"> provedena, bude cena za dílo snížena, a to odečtením veškerých nákladů na provedení těch částí díla, které v rámci </w:t>
      </w:r>
      <w:proofErr w:type="spellStart"/>
      <w:r w:rsidRPr="003B7299">
        <w:rPr>
          <w:rFonts w:ascii="Calibri" w:hAnsi="Calibri" w:cs="Calibri"/>
        </w:rPr>
        <w:t>méněprací</w:t>
      </w:r>
      <w:proofErr w:type="spellEnd"/>
      <w:r w:rsidRPr="003B7299">
        <w:rPr>
          <w:rFonts w:ascii="Calibri" w:hAnsi="Calibri" w:cs="Calibri"/>
        </w:rPr>
        <w:t xml:space="preserve"> nebudou provedeny. Náklady na </w:t>
      </w:r>
      <w:proofErr w:type="spellStart"/>
      <w:r w:rsidRPr="003B7299">
        <w:rPr>
          <w:rFonts w:ascii="Calibri" w:hAnsi="Calibri" w:cs="Calibri"/>
        </w:rPr>
        <w:t>méněpráce</w:t>
      </w:r>
      <w:proofErr w:type="spellEnd"/>
      <w:r w:rsidRPr="003B7299">
        <w:rPr>
          <w:rFonts w:ascii="Calibri" w:hAnsi="Calibri" w:cs="Calibri"/>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 xml:space="preserve">Smluvní strany se dohodly, že v případě </w:t>
      </w:r>
      <w:proofErr w:type="spellStart"/>
      <w:r w:rsidRPr="003B7299">
        <w:rPr>
          <w:rFonts w:ascii="Calibri" w:hAnsi="Calibri" w:cs="Calibri"/>
        </w:rPr>
        <w:t>méněprací</w:t>
      </w:r>
      <w:proofErr w:type="spellEnd"/>
      <w:r w:rsidRPr="003B7299">
        <w:rPr>
          <w:rFonts w:ascii="Calibri" w:hAnsi="Calibri" w:cs="Calibri"/>
        </w:rPr>
        <w:t xml:space="preserve"> nemá zhotovitel právo na náhradu škody, nákladů či ušlého zisku, které mu v důsledku </w:t>
      </w:r>
      <w:proofErr w:type="spellStart"/>
      <w:r w:rsidRPr="003B7299">
        <w:rPr>
          <w:rFonts w:ascii="Calibri" w:hAnsi="Calibri" w:cs="Calibri"/>
        </w:rPr>
        <w:t>méněprací</w:t>
      </w:r>
      <w:proofErr w:type="spellEnd"/>
      <w:r w:rsidRPr="003B7299">
        <w:rPr>
          <w:rFonts w:ascii="Calibri" w:hAnsi="Calibri" w:cs="Calibri"/>
        </w:rPr>
        <w:t xml:space="preserve">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 xml:space="preserve">Podkladem pro úhradu ceny za dílo budou faktury, které budou mít náležitosti daňového dokladu dle § 29 zákona o DPH a náležitosti stanovené § 435 odst. 1 občanského zákoníku </w:t>
      </w:r>
      <w:r w:rsidRPr="0034325D">
        <w:rPr>
          <w:rFonts w:ascii="Calibri" w:hAnsi="Calibri" w:cs="Calibri"/>
        </w:rPr>
        <w:lastRenderedPageBreak/>
        <w:t>(dále jen „faktura“).</w:t>
      </w:r>
    </w:p>
    <w:p w14:paraId="0D3A847E" w14:textId="34E73C60"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EC75CD">
        <w:rPr>
          <w:rFonts w:ascii="Calibri" w:hAnsi="Calibri" w:cs="Calibri"/>
        </w:rPr>
        <w:t xml:space="preserve">edena </w:t>
      </w:r>
      <w:r w:rsidR="00702359">
        <w:rPr>
          <w:rFonts w:ascii="Calibri" w:hAnsi="Calibri" w:cs="Calibri"/>
        </w:rPr>
        <w:t xml:space="preserve">po protokolárním převzetí </w:t>
      </w:r>
      <w:r w:rsidRPr="001B21E2">
        <w:rPr>
          <w:rFonts w:ascii="Calibri" w:hAnsi="Calibri" w:cs="Calibri"/>
        </w:rPr>
        <w:t>d</w:t>
      </w:r>
      <w:r w:rsidR="00702359">
        <w:rPr>
          <w:rFonts w:ascii="Calibri" w:hAnsi="Calibri" w:cs="Calibri"/>
        </w:rPr>
        <w:t xml:space="preserve">íla </w:t>
      </w:r>
      <w:r w:rsidRPr="001B21E2">
        <w:rPr>
          <w:rFonts w:ascii="Calibri" w:hAnsi="Calibri" w:cs="Calibri"/>
        </w:rPr>
        <w:t xml:space="preserve">s tím, že splatnost faktur </w:t>
      </w:r>
      <w:r w:rsidR="006C4619">
        <w:rPr>
          <w:rFonts w:ascii="Calibri" w:hAnsi="Calibri" w:cs="Calibri"/>
        </w:rPr>
        <w:t>do</w:t>
      </w:r>
      <w:r w:rsidRPr="001B21E2">
        <w:rPr>
          <w:rFonts w:ascii="Calibri" w:hAnsi="Calibri" w:cs="Calibri"/>
          <w:b/>
          <w:bCs/>
        </w:rPr>
        <w:t xml:space="preserve"> 30 dnů</w:t>
      </w:r>
      <w:r w:rsidRPr="001B21E2">
        <w:rPr>
          <w:rFonts w:ascii="Calibri" w:hAnsi="Calibri" w:cs="Calibri"/>
        </w:rPr>
        <w:t>. Datem uskutečnění zdanitelného plnění je v souladu s ustanovením §21 odst. 4 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55559146"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333BFB" w:rsidRPr="00333BFB">
        <w:rPr>
          <w:rFonts w:ascii="Calibri" w:hAnsi="Calibri" w:cs="Calibri"/>
        </w:rPr>
        <w:t>Oprava schodišť a podlah z PVC MŠ Píšťalka, Máchova 8, Přerov.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4DA97E23" w14:textId="3366604E"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w:t>
      </w:r>
    </w:p>
    <w:p w14:paraId="3D98682F" w14:textId="042E0814"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 xml:space="preserve">Zhotovitel se zavazuje zcela vyklidit a vyčistit staveniště do </w:t>
      </w:r>
      <w:r w:rsidR="00617C4C">
        <w:rPr>
          <w:rFonts w:ascii="Calibri" w:hAnsi="Calibri" w:cs="Calibri"/>
        </w:rPr>
        <w:t>2</w:t>
      </w:r>
      <w:r w:rsidRPr="00D22466">
        <w:rPr>
          <w:rFonts w:ascii="Calibri" w:hAnsi="Calibri" w:cs="Calibri"/>
        </w:rPr>
        <w:t xml:space="preserve">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Zhotovitel odpovídá za bezpečnost a ochranu zdraví všech osob v prostoru staveniště, </w:t>
      </w:r>
      <w:r w:rsidRPr="003B7299">
        <w:rPr>
          <w:rFonts w:ascii="Calibri" w:hAnsi="Calibri" w:cs="Calibri"/>
        </w:rPr>
        <w:lastRenderedPageBreak/>
        <w:t>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35755699" w14:textId="29C1A7D5"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 xml:space="preserve">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lastRenderedPageBreak/>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 xml:space="preserve">Zhotovitel povede mimo vlastního stavebního deníku i deník víceprací a </w:t>
      </w:r>
      <w:proofErr w:type="spellStart"/>
      <w:r w:rsidRPr="003B7299">
        <w:rPr>
          <w:rFonts w:ascii="Calibri" w:hAnsi="Calibri" w:cs="Calibri"/>
        </w:rPr>
        <w:t>méněprací</w:t>
      </w:r>
      <w:proofErr w:type="spellEnd"/>
      <w:r w:rsidRPr="003B7299">
        <w:rPr>
          <w:rFonts w:ascii="Calibri" w:hAnsi="Calibri" w:cs="Calibri"/>
        </w:rPr>
        <w:t xml:space="preserve">. Odsouhlasení návrhu i vlastního provedení víceprací a neprovedení </w:t>
      </w:r>
      <w:proofErr w:type="spellStart"/>
      <w:r w:rsidRPr="003B7299">
        <w:rPr>
          <w:rFonts w:ascii="Calibri" w:hAnsi="Calibri" w:cs="Calibri"/>
        </w:rPr>
        <w:t>méněprací</w:t>
      </w:r>
      <w:proofErr w:type="spellEnd"/>
      <w:r w:rsidRPr="003B7299">
        <w:rPr>
          <w:rFonts w:ascii="Calibri" w:hAnsi="Calibri" w:cs="Calibri"/>
        </w:rPr>
        <w:t xml:space="preserve">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lastRenderedPageBreak/>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10AF4201" w:rsidR="00B8383C" w:rsidRPr="003B7299" w:rsidRDefault="00BF20B6"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provést předepsané zkoušky dle platných právních předpisů a technických norem. </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lastRenderedPageBreak/>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658A49E"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D309F3" w:rsidRPr="00D309F3">
        <w:rPr>
          <w:rFonts w:ascii="Calibri" w:hAnsi="Calibri" w:cs="Calibri"/>
          <w:b/>
          <w:bCs/>
        </w:rPr>
        <w:t>2</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w:t>
      </w:r>
    </w:p>
    <w:p w14:paraId="03526C2D" w14:textId="5E9157AA"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33775489" w14:textId="36B33BA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 xml:space="preserve">ve výši </w:t>
      </w:r>
      <w:r w:rsidR="0043636D">
        <w:rPr>
          <w:rFonts w:ascii="Calibri" w:hAnsi="Calibri" w:cs="Calibri"/>
          <w:b/>
          <w:bCs/>
        </w:rPr>
        <w:t>5</w:t>
      </w:r>
      <w:r w:rsidRPr="003B7299">
        <w:rPr>
          <w:rFonts w:ascii="Calibri" w:hAnsi="Calibri" w:cs="Calibri"/>
          <w:b/>
          <w:bCs/>
        </w:rPr>
        <w:t>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lastRenderedPageBreak/>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lastRenderedPageBreak/>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05DBC9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CD76F4">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CD76F4">
        <w:rPr>
          <w:rFonts w:ascii="Calibri" w:hAnsi="Calibri" w:cs="Calibri"/>
        </w:rPr>
        <w:t xml:space="preserve">jedno </w:t>
      </w:r>
      <w:r w:rsidRPr="003B7299">
        <w:rPr>
          <w:rFonts w:ascii="Calibri" w:hAnsi="Calibri" w:cs="Calibri"/>
        </w:rPr>
        <w:t>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0FDA3B4B"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w:t>
      </w:r>
    </w:p>
    <w:p w14:paraId="472FE74B" w14:textId="58E4E799"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w:t>
      </w:r>
      <w:r w:rsidR="000A7214">
        <w:rPr>
          <w:rFonts w:ascii="Calibri" w:hAnsi="Calibri" w:cs="Calibri"/>
        </w:rPr>
        <w:t> </w:t>
      </w:r>
      <w:r w:rsidR="004B6387">
        <w:rPr>
          <w:rFonts w:ascii="Calibri" w:hAnsi="Calibri" w:cs="Calibri"/>
        </w:rPr>
        <w:t>…………………..</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0FAA910A"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4B6387">
        <w:rPr>
          <w:rFonts w:ascii="Calibri" w:hAnsi="Calibri" w:cs="Calibri"/>
          <w:b/>
          <w:bCs/>
          <w:snapToGrid w:val="0"/>
        </w:rPr>
        <w:t>Oprava ÚT</w:t>
      </w:r>
      <w:r w:rsidR="001201B2">
        <w:rPr>
          <w:rFonts w:ascii="Calibri" w:hAnsi="Calibri" w:cs="Calibri"/>
          <w:b/>
          <w:bCs/>
          <w:snapToGrid w:val="0"/>
        </w:rPr>
        <w:t xml:space="preserve"> </w:t>
      </w:r>
      <w:r w:rsidR="00426F41">
        <w:rPr>
          <w:rFonts w:ascii="Calibri" w:hAnsi="Calibri" w:cs="Calibri"/>
          <w:b/>
          <w:bCs/>
          <w:snapToGrid w:val="0"/>
        </w:rPr>
        <w:t xml:space="preserve">v </w:t>
      </w:r>
      <w:r w:rsidR="00573AD0" w:rsidRPr="00573AD0">
        <w:rPr>
          <w:rFonts w:ascii="Calibri" w:hAnsi="Calibri" w:cs="Calibri"/>
          <w:b/>
          <w:bCs/>
          <w:snapToGrid w:val="0"/>
        </w:rPr>
        <w:t xml:space="preserve">MŠ </w:t>
      </w:r>
      <w:r w:rsidR="00A664ED">
        <w:rPr>
          <w:rFonts w:ascii="Calibri" w:hAnsi="Calibri" w:cs="Calibri"/>
          <w:b/>
          <w:bCs/>
          <w:snapToGrid w:val="0"/>
        </w:rPr>
        <w:t xml:space="preserve">Píšťalka </w:t>
      </w:r>
      <w:r w:rsidR="00573AD0" w:rsidRPr="00573AD0">
        <w:rPr>
          <w:rFonts w:ascii="Calibri" w:hAnsi="Calibri" w:cs="Calibri"/>
          <w:b/>
          <w:bCs/>
          <w:snapToGrid w:val="0"/>
        </w:rPr>
        <w:t>v Přerově</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w:t>
      </w:r>
      <w:r w:rsidRPr="00A03C44">
        <w:rPr>
          <w:rFonts w:ascii="Calibri" w:hAnsi="Calibri" w:cs="Calibri"/>
          <w:snapToGrid w:val="0"/>
        </w:rPr>
        <w:lastRenderedPageBreak/>
        <w:t xml:space="preserve">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w:t>
      </w:r>
      <w:r w:rsidR="00926AEC">
        <w:rPr>
          <w:rFonts w:ascii="Calibri" w:hAnsi="Calibri" w:cs="Calibri"/>
          <w:snapToGrid w:val="0"/>
        </w:rPr>
        <w:t xml:space="preserve">. </w:t>
      </w:r>
      <w:r w:rsidRPr="00A03C44">
        <w:rPr>
          <w:rFonts w:ascii="Calibri" w:hAnsi="Calibri" w:cs="Calibri"/>
          <w:snapToGrid w:val="0"/>
        </w:rPr>
        <w:t xml:space="preserve">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7BA7E441"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4B6387">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t>V</w:t>
      </w:r>
      <w:r w:rsidR="00C903A7">
        <w:rPr>
          <w:rFonts w:ascii="Calibri" w:hAnsi="Calibri" w:cs="Calibri"/>
        </w:rPr>
        <w:t xml:space="preserve"> Přerově </w:t>
      </w:r>
      <w:r w:rsidRPr="003B7299">
        <w:rPr>
          <w:rFonts w:ascii="Calibri" w:hAnsi="Calibri" w:cs="Calibri"/>
        </w:rPr>
        <w:t xml:space="preserve"> dne </w:t>
      </w:r>
      <w:r w:rsidR="004B6387">
        <w:rPr>
          <w:rFonts w:ascii="Calibri" w:hAnsi="Calibri" w:cs="Calibri"/>
        </w:rPr>
        <w:t>…………………..</w:t>
      </w:r>
      <w:r w:rsidRPr="003B7299">
        <w:rPr>
          <w:rFonts w:ascii="Calibri" w:hAnsi="Calibri" w:cs="Calibri"/>
        </w:rPr>
        <w:t xml:space="preserv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724D42CA" w:rsidR="00B8383C" w:rsidRPr="008A591F" w:rsidRDefault="00A664ED" w:rsidP="004717A3">
      <w:pPr>
        <w:spacing w:line="300" w:lineRule="exact"/>
        <w:ind w:left="4963" w:hanging="4963"/>
        <w:rPr>
          <w:rFonts w:ascii="Calibri" w:hAnsi="Calibri" w:cs="Calibri"/>
        </w:rPr>
      </w:pPr>
      <w:r>
        <w:rPr>
          <w:rFonts w:ascii="Calibri" w:hAnsi="Calibri" w:cs="Calibri"/>
        </w:rPr>
        <w:t>Marie Hálová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8A591F">
        <w:rPr>
          <w:rFonts w:ascii="Calibri" w:hAnsi="Calibri" w:cs="Calibri"/>
          <w:i/>
          <w:iCs/>
        </w:rPr>
        <w:t xml:space="preserve">            </w:t>
      </w:r>
      <w:r w:rsidR="008A591F" w:rsidRPr="008A591F">
        <w:rPr>
          <w:rFonts w:ascii="Calibri" w:hAnsi="Calibri" w:cs="Calibri"/>
          <w:iCs/>
        </w:rPr>
        <w:t>Petr Pokorný</w:t>
      </w:r>
    </w:p>
    <w:sectPr w:rsidR="00B8383C" w:rsidRPr="008A591F" w:rsidSect="00DB2B0F">
      <w:footerReference w:type="default" r:id="rId8"/>
      <w:headerReference w:type="firs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351C" w14:textId="77777777" w:rsidR="009574C9" w:rsidRDefault="009574C9">
      <w:r>
        <w:separator/>
      </w:r>
    </w:p>
    <w:p w14:paraId="6264442B" w14:textId="77777777" w:rsidR="009574C9" w:rsidRDefault="009574C9"/>
  </w:endnote>
  <w:endnote w:type="continuationSeparator" w:id="0">
    <w:p w14:paraId="53386C21" w14:textId="77777777" w:rsidR="009574C9" w:rsidRDefault="009574C9">
      <w:r>
        <w:continuationSeparator/>
      </w:r>
    </w:p>
    <w:p w14:paraId="36991CBC" w14:textId="77777777" w:rsidR="009574C9" w:rsidRDefault="0095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F6C6" w14:textId="77777777" w:rsidR="00B8383C" w:rsidRDefault="00B8383C" w:rsidP="00B60C8E">
    <w:pPr>
      <w:pStyle w:val="Zpat"/>
      <w:ind w:right="360"/>
      <w:rPr>
        <w:noProof/>
      </w:rPr>
    </w:pPr>
  </w:p>
  <w:p w14:paraId="38B1E3FF" w14:textId="195D3F73"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9B439D">
      <w:rPr>
        <w:rFonts w:ascii="Arial Narrow" w:hAnsi="Arial Narrow" w:cs="Arial Narrow"/>
        <w:noProof/>
        <w:sz w:val="20"/>
        <w:szCs w:val="20"/>
      </w:rPr>
      <w:t>14</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9B439D" w:rsidRPr="009B439D">
        <w:rPr>
          <w:rFonts w:ascii="Arial Narrow" w:hAnsi="Arial Narrow" w:cs="Arial Narrow"/>
          <w:noProof/>
          <w:sz w:val="20"/>
          <w:szCs w:val="20"/>
        </w:rPr>
        <w:t>14</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5088" w14:textId="77777777" w:rsidR="009574C9" w:rsidRDefault="009574C9">
      <w:r>
        <w:separator/>
      </w:r>
    </w:p>
    <w:p w14:paraId="4E2B25C8" w14:textId="77777777" w:rsidR="009574C9" w:rsidRDefault="009574C9"/>
  </w:footnote>
  <w:footnote w:type="continuationSeparator" w:id="0">
    <w:p w14:paraId="29DA5302" w14:textId="77777777" w:rsidR="009574C9" w:rsidRDefault="009574C9">
      <w:r>
        <w:continuationSeparator/>
      </w:r>
    </w:p>
    <w:p w14:paraId="37AF4673" w14:textId="77777777" w:rsidR="009574C9" w:rsidRDefault="009574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A24C" w14:textId="77777777" w:rsidR="00666357" w:rsidRDefault="00B8383C" w:rsidP="00157316">
    <w:pPr>
      <w:pStyle w:val="Zhlav"/>
      <w:jc w:val="both"/>
      <w:rPr>
        <w:rFonts w:ascii="Calibri" w:hAnsi="Calibri" w:cs="Calibri"/>
        <w:sz w:val="20"/>
        <w:szCs w:val="20"/>
      </w:rPr>
    </w:pPr>
    <w:r w:rsidRPr="00C70A93">
      <w:rPr>
        <w:rFonts w:ascii="Calibri" w:hAnsi="Calibri" w:cs="Calibri"/>
        <w:sz w:val="20"/>
        <w:szCs w:val="20"/>
      </w:rPr>
      <w:t>Příloha č. 2 zadávací dokumentace VZ „</w:t>
    </w:r>
    <w:bookmarkStart w:id="2" w:name="_Hlk166146950"/>
    <w:r w:rsidR="009200DD" w:rsidRPr="009200DD">
      <w:rPr>
        <w:rFonts w:ascii="Calibri" w:hAnsi="Calibri" w:cs="Calibri"/>
        <w:b/>
        <w:bCs/>
        <w:sz w:val="20"/>
        <w:szCs w:val="20"/>
      </w:rPr>
      <w:t>O</w:t>
    </w:r>
    <w:r w:rsidR="009200DD">
      <w:rPr>
        <w:rFonts w:ascii="Calibri" w:hAnsi="Calibri" w:cs="Calibri"/>
        <w:b/>
        <w:bCs/>
        <w:sz w:val="20"/>
        <w:szCs w:val="20"/>
      </w:rPr>
      <w:t xml:space="preserve">prava </w:t>
    </w:r>
    <w:r w:rsidR="009200DD" w:rsidRPr="009200DD">
      <w:rPr>
        <w:rFonts w:ascii="Calibri" w:hAnsi="Calibri" w:cs="Calibri"/>
        <w:b/>
        <w:bCs/>
        <w:sz w:val="20"/>
        <w:szCs w:val="20"/>
      </w:rPr>
      <w:t>schodiš</w:t>
    </w:r>
    <w:r w:rsidR="009200DD">
      <w:rPr>
        <w:rFonts w:ascii="Calibri" w:hAnsi="Calibri" w:cs="Calibri"/>
        <w:b/>
        <w:bCs/>
        <w:sz w:val="20"/>
        <w:szCs w:val="20"/>
      </w:rPr>
      <w:t>ť</w:t>
    </w:r>
    <w:r w:rsidR="009200DD" w:rsidRPr="009200DD">
      <w:rPr>
        <w:rFonts w:ascii="Calibri" w:hAnsi="Calibri" w:cs="Calibri"/>
        <w:b/>
        <w:bCs/>
        <w:sz w:val="20"/>
        <w:szCs w:val="20"/>
      </w:rPr>
      <w:t xml:space="preserve"> a podlah z PVC MŠ Máchova 8, </w:t>
    </w:r>
    <w:r w:rsidR="009200DD">
      <w:rPr>
        <w:rFonts w:ascii="Calibri" w:hAnsi="Calibri" w:cs="Calibri"/>
        <w:b/>
        <w:bCs/>
        <w:sz w:val="20"/>
        <w:szCs w:val="20"/>
      </w:rPr>
      <w:t>P</w:t>
    </w:r>
    <w:r w:rsidR="009200DD" w:rsidRPr="009200DD">
      <w:rPr>
        <w:rFonts w:ascii="Calibri" w:hAnsi="Calibri" w:cs="Calibri"/>
        <w:b/>
        <w:bCs/>
        <w:sz w:val="20"/>
        <w:szCs w:val="20"/>
      </w:rPr>
      <w:t xml:space="preserve">řerov </w:t>
    </w:r>
    <w:bookmarkEnd w:id="2"/>
    <w:r w:rsidRPr="00C70A93">
      <w:rPr>
        <w:rFonts w:ascii="Calibri" w:hAnsi="Calibri" w:cs="Calibri"/>
        <w:sz w:val="20"/>
        <w:szCs w:val="20"/>
      </w:rPr>
      <w:t xml:space="preserve">“ </w:t>
    </w:r>
  </w:p>
  <w:p w14:paraId="6CDC870E" w14:textId="2E15B284" w:rsidR="00B8383C" w:rsidRPr="00C70A93" w:rsidRDefault="00B8383C" w:rsidP="00666357">
    <w:pPr>
      <w:pStyle w:val="Zhlav"/>
      <w:jc w:val="center"/>
      <w:rPr>
        <w:rFonts w:ascii="Calibri" w:hAnsi="Calibri" w:cs="Calibri"/>
        <w:sz w:val="20"/>
        <w:szCs w:val="20"/>
      </w:rPr>
    </w:pPr>
    <w:r w:rsidRPr="00C70A93">
      <w:rPr>
        <w:rFonts w:ascii="Calibri" w:hAnsi="Calibri" w:cs="Calibri"/>
        <w:sz w:val="20"/>
        <w:szCs w:val="20"/>
      </w:rPr>
      <w:t>Obchodní podmínky formou návrhu smlouvy</w:t>
    </w:r>
  </w:p>
  <w:p w14:paraId="63360BA3" w14:textId="77777777" w:rsidR="00B8383C" w:rsidRDefault="00B8383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4CFB"/>
    <w:rsid w:val="0001575D"/>
    <w:rsid w:val="00016A1C"/>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214"/>
    <w:rsid w:val="000A7771"/>
    <w:rsid w:val="000A781C"/>
    <w:rsid w:val="000A7DB1"/>
    <w:rsid w:val="000B0D29"/>
    <w:rsid w:val="000B1114"/>
    <w:rsid w:val="000B558C"/>
    <w:rsid w:val="000B66C0"/>
    <w:rsid w:val="000B6EED"/>
    <w:rsid w:val="000B7091"/>
    <w:rsid w:val="000C16F2"/>
    <w:rsid w:val="000C177B"/>
    <w:rsid w:val="000C221C"/>
    <w:rsid w:val="000C2E52"/>
    <w:rsid w:val="000C3336"/>
    <w:rsid w:val="000C33D7"/>
    <w:rsid w:val="000C3639"/>
    <w:rsid w:val="000C3F7B"/>
    <w:rsid w:val="000C4BF3"/>
    <w:rsid w:val="000C7225"/>
    <w:rsid w:val="000C7257"/>
    <w:rsid w:val="000D011D"/>
    <w:rsid w:val="000D372F"/>
    <w:rsid w:val="000D3CD2"/>
    <w:rsid w:val="000D44D0"/>
    <w:rsid w:val="000D6D77"/>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9C2"/>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0B18"/>
    <w:rsid w:val="001E1846"/>
    <w:rsid w:val="001E3BF0"/>
    <w:rsid w:val="001E50AB"/>
    <w:rsid w:val="001E5175"/>
    <w:rsid w:val="001E552A"/>
    <w:rsid w:val="001E586F"/>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10C6"/>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BA5"/>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1978"/>
    <w:rsid w:val="00324E69"/>
    <w:rsid w:val="00325A91"/>
    <w:rsid w:val="00326911"/>
    <w:rsid w:val="003327F7"/>
    <w:rsid w:val="003335B5"/>
    <w:rsid w:val="0033399E"/>
    <w:rsid w:val="00333BFB"/>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3D1"/>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556D"/>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E0164"/>
    <w:rsid w:val="003E1196"/>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0DBB"/>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4A0F"/>
    <w:rsid w:val="00425031"/>
    <w:rsid w:val="00426B8B"/>
    <w:rsid w:val="00426F41"/>
    <w:rsid w:val="00432A95"/>
    <w:rsid w:val="00432F16"/>
    <w:rsid w:val="004359D8"/>
    <w:rsid w:val="00435C64"/>
    <w:rsid w:val="0043636D"/>
    <w:rsid w:val="0043797D"/>
    <w:rsid w:val="00437A96"/>
    <w:rsid w:val="00437CC4"/>
    <w:rsid w:val="00441A8E"/>
    <w:rsid w:val="00443F64"/>
    <w:rsid w:val="00444FE3"/>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3FEC"/>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387"/>
    <w:rsid w:val="004B665F"/>
    <w:rsid w:val="004B7354"/>
    <w:rsid w:val="004B7D11"/>
    <w:rsid w:val="004C0B33"/>
    <w:rsid w:val="004C26C9"/>
    <w:rsid w:val="004C3016"/>
    <w:rsid w:val="004C350A"/>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03D"/>
    <w:rsid w:val="004E357F"/>
    <w:rsid w:val="004E4D8F"/>
    <w:rsid w:val="004E5D0B"/>
    <w:rsid w:val="004E65C6"/>
    <w:rsid w:val="004E78EC"/>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27EF6"/>
    <w:rsid w:val="00530216"/>
    <w:rsid w:val="005311E5"/>
    <w:rsid w:val="005346A3"/>
    <w:rsid w:val="00535046"/>
    <w:rsid w:val="005361ED"/>
    <w:rsid w:val="00536633"/>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23F"/>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0684"/>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0C7B"/>
    <w:rsid w:val="00602B92"/>
    <w:rsid w:val="00603347"/>
    <w:rsid w:val="0060487B"/>
    <w:rsid w:val="00604FAA"/>
    <w:rsid w:val="00610382"/>
    <w:rsid w:val="006106CC"/>
    <w:rsid w:val="006116AC"/>
    <w:rsid w:val="00611BAF"/>
    <w:rsid w:val="006157F9"/>
    <w:rsid w:val="006173F6"/>
    <w:rsid w:val="00617C4C"/>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09C2"/>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79E"/>
    <w:rsid w:val="00661972"/>
    <w:rsid w:val="00662E41"/>
    <w:rsid w:val="006635FB"/>
    <w:rsid w:val="00664504"/>
    <w:rsid w:val="0066461D"/>
    <w:rsid w:val="0066490A"/>
    <w:rsid w:val="00665475"/>
    <w:rsid w:val="00665AAC"/>
    <w:rsid w:val="00665BD2"/>
    <w:rsid w:val="00666357"/>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0A9"/>
    <w:rsid w:val="006A3F4B"/>
    <w:rsid w:val="006A4170"/>
    <w:rsid w:val="006A4A3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19"/>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6F7143"/>
    <w:rsid w:val="007003B6"/>
    <w:rsid w:val="00702359"/>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62B6"/>
    <w:rsid w:val="00727109"/>
    <w:rsid w:val="00727153"/>
    <w:rsid w:val="00727C1E"/>
    <w:rsid w:val="00730673"/>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04EC"/>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034"/>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16F"/>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438D"/>
    <w:rsid w:val="008A591F"/>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49BE"/>
    <w:rsid w:val="008F513C"/>
    <w:rsid w:val="008F5B9E"/>
    <w:rsid w:val="008F6518"/>
    <w:rsid w:val="00900471"/>
    <w:rsid w:val="00903536"/>
    <w:rsid w:val="009035AF"/>
    <w:rsid w:val="00903CA5"/>
    <w:rsid w:val="00904213"/>
    <w:rsid w:val="00906AF6"/>
    <w:rsid w:val="00907B3F"/>
    <w:rsid w:val="00911465"/>
    <w:rsid w:val="009137A1"/>
    <w:rsid w:val="009137CC"/>
    <w:rsid w:val="009200DD"/>
    <w:rsid w:val="00920356"/>
    <w:rsid w:val="009225E8"/>
    <w:rsid w:val="00922756"/>
    <w:rsid w:val="009230D5"/>
    <w:rsid w:val="00926AE4"/>
    <w:rsid w:val="00926AEC"/>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4C9"/>
    <w:rsid w:val="00957FAC"/>
    <w:rsid w:val="00957FBB"/>
    <w:rsid w:val="00960540"/>
    <w:rsid w:val="00960E52"/>
    <w:rsid w:val="00961B40"/>
    <w:rsid w:val="00962129"/>
    <w:rsid w:val="009648AE"/>
    <w:rsid w:val="009650A9"/>
    <w:rsid w:val="0096572B"/>
    <w:rsid w:val="00965D1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439D"/>
    <w:rsid w:val="009B5F34"/>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34"/>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C08"/>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C5C76"/>
    <w:rsid w:val="00AD0B79"/>
    <w:rsid w:val="00AD0D7B"/>
    <w:rsid w:val="00AD198F"/>
    <w:rsid w:val="00AD4F47"/>
    <w:rsid w:val="00AD644A"/>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20B6"/>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7F5"/>
    <w:rsid w:val="00C439DB"/>
    <w:rsid w:val="00C45B95"/>
    <w:rsid w:val="00C45C25"/>
    <w:rsid w:val="00C45E9F"/>
    <w:rsid w:val="00C46060"/>
    <w:rsid w:val="00C468AE"/>
    <w:rsid w:val="00C46B5F"/>
    <w:rsid w:val="00C479B9"/>
    <w:rsid w:val="00C50C8C"/>
    <w:rsid w:val="00C51237"/>
    <w:rsid w:val="00C51265"/>
    <w:rsid w:val="00C51E33"/>
    <w:rsid w:val="00C53467"/>
    <w:rsid w:val="00C54CCD"/>
    <w:rsid w:val="00C5545E"/>
    <w:rsid w:val="00C567D1"/>
    <w:rsid w:val="00C57B8A"/>
    <w:rsid w:val="00C62372"/>
    <w:rsid w:val="00C6321A"/>
    <w:rsid w:val="00C6354D"/>
    <w:rsid w:val="00C63DA5"/>
    <w:rsid w:val="00C64B6F"/>
    <w:rsid w:val="00C65CE0"/>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928"/>
    <w:rsid w:val="00C97646"/>
    <w:rsid w:val="00CA0BF8"/>
    <w:rsid w:val="00CA0D3E"/>
    <w:rsid w:val="00CA1EDD"/>
    <w:rsid w:val="00CA26E0"/>
    <w:rsid w:val="00CA2E3F"/>
    <w:rsid w:val="00CA4BAF"/>
    <w:rsid w:val="00CA6142"/>
    <w:rsid w:val="00CA7897"/>
    <w:rsid w:val="00CA7B41"/>
    <w:rsid w:val="00CB07F4"/>
    <w:rsid w:val="00CB0C3A"/>
    <w:rsid w:val="00CB34FC"/>
    <w:rsid w:val="00CB45D7"/>
    <w:rsid w:val="00CB4CA8"/>
    <w:rsid w:val="00CB5279"/>
    <w:rsid w:val="00CB62D7"/>
    <w:rsid w:val="00CC1263"/>
    <w:rsid w:val="00CC1EAB"/>
    <w:rsid w:val="00CC25C2"/>
    <w:rsid w:val="00CC5061"/>
    <w:rsid w:val="00CC545F"/>
    <w:rsid w:val="00CC5BFD"/>
    <w:rsid w:val="00CC6863"/>
    <w:rsid w:val="00CC7732"/>
    <w:rsid w:val="00CC7FBF"/>
    <w:rsid w:val="00CD1E1F"/>
    <w:rsid w:val="00CD29C9"/>
    <w:rsid w:val="00CD649A"/>
    <w:rsid w:val="00CD66C5"/>
    <w:rsid w:val="00CD6702"/>
    <w:rsid w:val="00CD6E0A"/>
    <w:rsid w:val="00CD76F4"/>
    <w:rsid w:val="00CE2FCB"/>
    <w:rsid w:val="00CE35ED"/>
    <w:rsid w:val="00CE509F"/>
    <w:rsid w:val="00CE5D64"/>
    <w:rsid w:val="00CE6C4A"/>
    <w:rsid w:val="00CF1AA1"/>
    <w:rsid w:val="00CF1E75"/>
    <w:rsid w:val="00CF2099"/>
    <w:rsid w:val="00CF250B"/>
    <w:rsid w:val="00CF2714"/>
    <w:rsid w:val="00CF4988"/>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9F3"/>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3236"/>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C75CD"/>
    <w:rsid w:val="00ED079E"/>
    <w:rsid w:val="00ED0FF7"/>
    <w:rsid w:val="00ED1B08"/>
    <w:rsid w:val="00ED1CD4"/>
    <w:rsid w:val="00ED2563"/>
    <w:rsid w:val="00ED422E"/>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32C9"/>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enek.dostal@prerov.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4908</Words>
  <Characters>28963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Marie Hálová</cp:lastModifiedBy>
  <cp:revision>4</cp:revision>
  <cp:lastPrinted>2024-06-04T11:12:00Z</cp:lastPrinted>
  <dcterms:created xsi:type="dcterms:W3CDTF">2024-06-05T07:15:00Z</dcterms:created>
  <dcterms:modified xsi:type="dcterms:W3CDTF">2024-06-05T07:25:00Z</dcterms:modified>
</cp:coreProperties>
</file>