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 EKOFONDU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27111A">
        <w:rPr>
          <w:rFonts w:ascii="Calibri" w:eastAsia="Times New Roman" w:hAnsi="Calibri" w:cs="Calibri"/>
          <w:b/>
          <w:sz w:val="28"/>
          <w:szCs w:val="20"/>
          <w:lang w:eastAsia="cs-CZ"/>
        </w:rPr>
        <w:t>DS201700623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 002 62 978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Tiborem </w:t>
      </w:r>
      <w:proofErr w:type="spellStart"/>
      <w:r w:rsidRPr="00B87518">
        <w:rPr>
          <w:rFonts w:ascii="Calibri" w:eastAsia="Times New Roman" w:hAnsi="Calibri" w:cs="Calibri"/>
          <w:lang w:eastAsia="cs-CZ"/>
        </w:rPr>
        <w:t>Batthyánym</w:t>
      </w:r>
      <w:proofErr w:type="spellEnd"/>
      <w:r w:rsidRPr="00B87518">
        <w:rPr>
          <w:rFonts w:ascii="Calibri" w:eastAsia="Times New Roman" w:hAnsi="Calibri" w:cs="Calibri"/>
          <w:lang w:eastAsia="cs-CZ"/>
        </w:rPr>
        <w:t>, primátorem města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0E441F">
        <w:rPr>
          <w:rFonts w:ascii="Calibri" w:eastAsia="Times New Roman" w:hAnsi="Calibri" w:cs="Calibri"/>
          <w:lang w:eastAsia="cs-CZ"/>
        </w:rPr>
        <w:t>Ing. Lucií Sládkovou, vedoucí odboru ekologie a veřejného prostoru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0E441F" w:rsidRPr="000E441F">
        <w:rPr>
          <w:rFonts w:ascii="Calibri" w:eastAsia="Times New Roman" w:hAnsi="Calibri" w:cs="Calibri"/>
          <w:lang w:eastAsia="cs-CZ"/>
        </w:rPr>
        <w:t>4377462/0800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06B8E" w:rsidRDefault="00EE3965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 w:rsidRPr="00EE3965">
        <w:rPr>
          <w:rFonts w:ascii="Calibri" w:eastAsia="Times New Roman" w:hAnsi="Calibri" w:cs="Calibri"/>
          <w:b/>
          <w:lang w:eastAsia="cs-CZ"/>
        </w:rPr>
        <w:t>Základní škola, Liberec, nám. Míru 212/2, p. o.</w:t>
      </w:r>
    </w:p>
    <w:p w:rsidR="00B87518" w:rsidRDefault="00EE3965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</w:t>
      </w:r>
      <w:r w:rsidR="00B87518">
        <w:rPr>
          <w:rFonts w:ascii="Calibri" w:eastAsia="Times New Roman" w:hAnsi="Calibri" w:cs="Calibri"/>
          <w:lang w:eastAsia="cs-CZ"/>
        </w:rPr>
        <w:t xml:space="preserve"> </w:t>
      </w:r>
      <w:r w:rsidRPr="00EE3965">
        <w:rPr>
          <w:rFonts w:ascii="Calibri" w:eastAsia="Times New Roman" w:hAnsi="Calibri" w:cs="Calibri"/>
          <w:lang w:eastAsia="cs-CZ"/>
        </w:rPr>
        <w:t>nám. Míru</w:t>
      </w:r>
      <w:r>
        <w:rPr>
          <w:rFonts w:ascii="Calibri" w:eastAsia="Times New Roman" w:hAnsi="Calibri" w:cs="Calibri"/>
          <w:lang w:eastAsia="cs-CZ"/>
        </w:rPr>
        <w:t xml:space="preserve"> 212/2, 460 14 Liberec 14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="00EE3965" w:rsidRPr="00EE3965">
        <w:rPr>
          <w:rFonts w:ascii="Calibri" w:eastAsia="Times New Roman" w:hAnsi="Calibri" w:cs="Calibri"/>
          <w:lang w:eastAsia="cs-CZ"/>
        </w:rPr>
        <w:t>71294988</w:t>
      </w:r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EE3965">
        <w:rPr>
          <w:rFonts w:ascii="Calibri" w:eastAsia="Times New Roman" w:hAnsi="Calibri" w:cs="Calibri"/>
          <w:lang w:eastAsia="cs-CZ"/>
        </w:rPr>
        <w:t>Mgr. Bc. Pavlínou Kubrovou, ředitelkou školy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EE3965" w:rsidRPr="00EE3965">
        <w:rPr>
          <w:rFonts w:ascii="Calibri" w:eastAsia="Times New Roman" w:hAnsi="Calibri" w:cs="Calibri"/>
          <w:lang w:eastAsia="cs-CZ"/>
        </w:rPr>
        <w:t>6053162</w:t>
      </w:r>
      <w:r w:rsidR="00EE3965">
        <w:rPr>
          <w:rFonts w:ascii="Calibri" w:eastAsia="Times New Roman" w:hAnsi="Calibri" w:cs="Calibri"/>
          <w:lang w:eastAsia="cs-CZ"/>
        </w:rPr>
        <w:t>/0800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 Ekofondu.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042C58">
        <w:rPr>
          <w:rFonts w:ascii="Calibri" w:eastAsia="Times New Roman" w:hAnsi="Calibri" w:cs="Calibri"/>
          <w:lang w:eastAsia="cs-CZ"/>
        </w:rPr>
        <w:t>upitelstva města Liberec č.</w:t>
      </w:r>
      <w:r w:rsidR="006E3DAE">
        <w:rPr>
          <w:rFonts w:ascii="Calibri" w:eastAsia="Times New Roman" w:hAnsi="Calibri" w:cs="Calibri"/>
          <w:lang w:eastAsia="cs-CZ"/>
        </w:rPr>
        <w:t>144/2017</w:t>
      </w:r>
      <w:r w:rsidRPr="00B87518">
        <w:rPr>
          <w:rFonts w:ascii="Calibri" w:eastAsia="Times New Roman" w:hAnsi="Calibri" w:cs="Calibri"/>
          <w:lang w:eastAsia="cs-CZ"/>
        </w:rPr>
        <w:t xml:space="preserve"> ze dne </w:t>
      </w:r>
      <w:r w:rsidR="006E3DAE">
        <w:rPr>
          <w:rFonts w:ascii="Calibri" w:eastAsia="Times New Roman" w:hAnsi="Calibri" w:cs="Calibri"/>
          <w:lang w:eastAsia="cs-CZ"/>
        </w:rPr>
        <w:t xml:space="preserve">26. 5. 2017 </w:t>
      </w:r>
      <w:r w:rsidRPr="00B87518">
        <w:rPr>
          <w:rFonts w:ascii="Calibri" w:eastAsia="Times New Roman" w:hAnsi="Calibri" w:cs="Calibri"/>
          <w:lang w:eastAsia="cs-CZ"/>
        </w:rPr>
        <w:t>poskytnutí účelové dotace z Ekofondu dle Programu</w:t>
      </w:r>
      <w:r w:rsidR="00EE3965">
        <w:rPr>
          <w:rFonts w:ascii="Calibri" w:eastAsia="Times New Roman" w:hAnsi="Calibri" w:cs="Calibri"/>
          <w:lang w:eastAsia="cs-CZ"/>
        </w:rPr>
        <w:t xml:space="preserve"> Ekologie</w:t>
      </w:r>
      <w:r w:rsidRPr="00B87518">
        <w:rPr>
          <w:rFonts w:ascii="Calibri" w:eastAsia="Times New Roman" w:hAnsi="Calibri" w:cs="Calibri"/>
          <w:lang w:eastAsia="cs-CZ"/>
        </w:rPr>
        <w:t xml:space="preserve"> 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B87518" w:rsidRDefault="00B87518" w:rsidP="00EE3965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je poskytnuta příjemci ve výši</w:t>
      </w:r>
      <w:r w:rsidR="00EE3965">
        <w:rPr>
          <w:rFonts w:ascii="Calibri" w:eastAsia="Times New Roman" w:hAnsi="Calibri" w:cs="Calibri"/>
          <w:b/>
          <w:lang w:eastAsia="cs-CZ"/>
        </w:rPr>
        <w:t xml:space="preserve"> 150.000 Kč</w:t>
      </w:r>
      <w:r w:rsidRPr="00B87518">
        <w:rPr>
          <w:rFonts w:ascii="Calibri" w:eastAsia="Times New Roman" w:hAnsi="Calibri" w:cs="Calibri"/>
          <w:lang w:eastAsia="cs-CZ"/>
        </w:rPr>
        <w:t xml:space="preserve"> (slovy: </w:t>
      </w:r>
      <w:r w:rsidR="00EE3965">
        <w:rPr>
          <w:rFonts w:ascii="Calibri" w:eastAsia="Times New Roman" w:hAnsi="Calibri" w:cs="Calibri"/>
          <w:lang w:eastAsia="cs-CZ"/>
        </w:rPr>
        <w:t xml:space="preserve">sto padesát tisíc korun </w:t>
      </w:r>
      <w:r w:rsidR="00C02826">
        <w:rPr>
          <w:rFonts w:ascii="Calibri" w:eastAsia="Times New Roman" w:hAnsi="Calibri" w:cs="Calibri"/>
          <w:lang w:eastAsia="cs-CZ"/>
        </w:rPr>
        <w:t>českých) za účelem realizace projektu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="00EE3965" w:rsidRPr="00EE3965">
        <w:rPr>
          <w:rFonts w:ascii="Calibri" w:eastAsia="Times New Roman" w:hAnsi="Calibri" w:cs="Calibri"/>
          <w:lang w:eastAsia="cs-CZ"/>
        </w:rPr>
        <w:t>Přírodní zahrada pro výuku EVVO</w:t>
      </w:r>
      <w:r w:rsidR="00EE3965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 období </w:t>
      </w:r>
      <w:r w:rsidR="00EE3965">
        <w:rPr>
          <w:rFonts w:ascii="Calibri" w:eastAsia="Times New Roman" w:hAnsi="Calibri" w:cs="Calibri"/>
          <w:lang w:eastAsia="cs-CZ"/>
        </w:rPr>
        <w:t>1. 1. – 31. 12. 2017</w:t>
      </w:r>
      <w:r w:rsidR="00B06B8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dle specifikace uvedené v žádosti o dotaci.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977829" w:rsidRPr="00EE3965" w:rsidRDefault="00E46493" w:rsidP="00EE39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E3965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EE3965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EE3965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EE3965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E3965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EE3965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E3965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C02826">
        <w:rPr>
          <w:rFonts w:ascii="Calibri" w:eastAsia="Times New Roman" w:hAnsi="Calibri" w:cs="Calibri"/>
          <w:lang w:eastAsia="cs-CZ"/>
        </w:rPr>
        <w:t xml:space="preserve">poskytnuta, nejpozději do </w:t>
      </w:r>
      <w:r w:rsidR="00EE3965">
        <w:rPr>
          <w:rFonts w:ascii="Calibri" w:eastAsia="Times New Roman" w:hAnsi="Calibri" w:cs="Calibri"/>
          <w:lang w:eastAsia="cs-CZ"/>
        </w:rPr>
        <w:t>31. 12. 2017</w:t>
      </w:r>
      <w:r w:rsidRPr="00B87518">
        <w:rPr>
          <w:rFonts w:ascii="Calibri" w:eastAsia="Times New Roman" w:hAnsi="Calibri" w:cs="Calibri"/>
          <w:lang w:eastAsia="cs-CZ"/>
        </w:rPr>
        <w:t>,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 Ekofondu.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A8474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A8474F" w:rsidRPr="00A8474F">
        <w:rPr>
          <w:rFonts w:ascii="Calibri" w:eastAsia="Times New Roman" w:hAnsi="Calibri" w:cs="Calibri"/>
          <w:lang w:eastAsia="cs-CZ"/>
        </w:rPr>
        <w:t>4377462/0800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5C1F06">
        <w:rPr>
          <w:rFonts w:ascii="Calibri" w:eastAsia="Times New Roman" w:hAnsi="Calibri" w:cs="Calibri"/>
          <w:lang w:eastAsia="cs-CZ"/>
        </w:rPr>
        <w:t>201700623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5C5F09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1F06" w:rsidRDefault="005C1F06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5C1F06" w:rsidRDefault="005C1F06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E3965" w:rsidRDefault="00EE3965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E3965" w:rsidRPr="00B87518" w:rsidRDefault="00EE3965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>odboru ekologie a veřejného prostoru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vasina.leos@magistrat.liberec.cz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proofErr w:type="spellStart"/>
      <w:r w:rsidRPr="00B87518">
        <w:rPr>
          <w:rFonts w:ascii="Calibri" w:eastAsia="Times New Roman" w:hAnsi="Calibri" w:cs="Calibri"/>
          <w:b/>
          <w:lang w:eastAsia="cs-CZ"/>
        </w:rPr>
        <w:t>Ekofondem</w:t>
      </w:r>
      <w:proofErr w:type="spellEnd"/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 xml:space="preserve">íjemce dotace je povinen nejpozději do </w:t>
      </w:r>
      <w:r w:rsidR="00EE3965">
        <w:rPr>
          <w:rFonts w:ascii="Calibri" w:eastAsia="Times New Roman" w:hAnsi="Calibri" w:cs="Calibri"/>
          <w:lang w:eastAsia="cs-CZ"/>
        </w:rPr>
        <w:t>10. 1. 2018</w:t>
      </w:r>
      <w:r w:rsidR="00B06B8E">
        <w:rPr>
          <w:rFonts w:ascii="Calibri" w:eastAsia="Times New Roman" w:hAnsi="Calibri" w:cs="Calibri"/>
          <w:lang w:eastAsia="cs-CZ"/>
        </w:rPr>
        <w:t xml:space="preserve">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>nebo zaslat poštou na adresu: Statutární město Liberec, Odbor ekologie a veřejného prostoru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CE7CA4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>V případě zjištění nedostatků v předloženém vyúčtování je příjemce dotace povinen tyto nedostatky odstranit ve lhůtě určené poskytovatelem dotace</w:t>
      </w:r>
      <w:r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poskytnuté dotace (minimálně však 1. 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poskytnuté dotace (minimálně však 1.000,-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Tato smlouva je vyhotovena </w:t>
      </w:r>
      <w:r w:rsidR="00C02259">
        <w:rPr>
          <w:rFonts w:ascii="Calibri" w:eastAsia="Times New Roman" w:hAnsi="Calibri" w:cs="Calibri"/>
          <w:lang w:eastAsia="cs-CZ"/>
        </w:rPr>
        <w:t>ve třech stejnopisech, z nichž příjemce obdrží po jednom a poskytovatel po dvou stejnopisech.</w:t>
      </w:r>
      <w:r w:rsidRPr="00B87518">
        <w:rPr>
          <w:rFonts w:ascii="Calibri" w:eastAsia="Times New Roman" w:hAnsi="Calibri" w:cs="Calibri"/>
          <w:lang w:eastAsia="cs-CZ"/>
        </w:rPr>
        <w:t xml:space="preserve">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6E3DAE">
        <w:rPr>
          <w:rFonts w:ascii="Calibri" w:eastAsia="Times New Roman" w:hAnsi="Calibri" w:cs="Calibri"/>
          <w:spacing w:val="-2"/>
          <w:lang w:eastAsia="cs-CZ"/>
        </w:rPr>
        <w:t>144/2017</w:t>
      </w:r>
      <w:r w:rsidR="00B06B8E">
        <w:rPr>
          <w:rFonts w:ascii="Calibri" w:eastAsia="Times New Roman" w:hAnsi="Calibri" w:cs="Calibri"/>
          <w:spacing w:val="-2"/>
          <w:lang w:eastAsia="cs-CZ"/>
        </w:rPr>
        <w:t xml:space="preserve">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dne</w:t>
      </w:r>
      <w:r w:rsidR="006E3DAE">
        <w:rPr>
          <w:rFonts w:ascii="Calibri" w:eastAsia="Times New Roman" w:hAnsi="Calibri" w:cs="Calibri"/>
          <w:spacing w:val="-2"/>
          <w:lang w:eastAsia="cs-CZ"/>
        </w:rPr>
        <w:t xml:space="preserve"> 26. 5. 2017.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EE3965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EE3965">
        <w:rPr>
          <w:rFonts w:ascii="Calibri" w:eastAsia="Times New Roman" w:hAnsi="Calibri" w:cs="Calibri"/>
          <w:b/>
          <w:spacing w:val="-2"/>
          <w:lang w:eastAsia="cs-CZ"/>
        </w:rPr>
        <w:t>VIII.</w:t>
      </w:r>
    </w:p>
    <w:p w:rsidR="00E46493" w:rsidRPr="00EE3965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EE3965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</w:t>
      </w:r>
      <w:r>
        <w:rPr>
          <w:lang w:eastAsia="cs-CZ"/>
        </w:rPr>
        <w:t xml:space="preserve"> 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5C1F06" w:rsidRDefault="005C1F06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5C1F06">
        <w:rPr>
          <w:iCs/>
        </w:rPr>
        <w:t>Smluvní stran</w:t>
      </w:r>
      <w:bookmarkStart w:id="0" w:name="_GoBack"/>
      <w:bookmarkEnd w:id="0"/>
      <w:r w:rsidRPr="005C1F06">
        <w:rPr>
          <w:iCs/>
        </w:rPr>
        <w:t>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</w:t>
      </w:r>
      <w:r>
        <w:rPr>
          <w:lang w:eastAsia="cs-CZ"/>
        </w:rPr>
        <w:t>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>
        <w:rPr>
          <w:lang w:eastAsia="cs-CZ"/>
        </w:rPr>
        <w:t xml:space="preserve"> přijme a potvrdí jeho přijetí.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E46493" w:rsidRDefault="00E46493" w:rsidP="006E3DAE">
      <w:pPr>
        <w:pStyle w:val="Odstavecseseznamem"/>
        <w:numPr>
          <w:ilvl w:val="0"/>
          <w:numId w:val="15"/>
        </w:numPr>
        <w:ind w:left="284" w:hanging="284"/>
        <w:rPr>
          <w:lang w:eastAsia="cs-CZ"/>
        </w:rPr>
      </w:pPr>
      <w:r w:rsidRPr="00E46493">
        <w:rPr>
          <w:lang w:eastAsia="cs-CZ"/>
        </w:rPr>
        <w:t>Smluvní strany shodně prohlašují, že hodnota předmětu smlouvy je:</w:t>
      </w:r>
      <w:r w:rsidR="00862091" w:rsidRPr="00862091">
        <w:t xml:space="preserve"> </w:t>
      </w:r>
      <w:r w:rsidR="00862091">
        <w:rPr>
          <w:lang w:eastAsia="cs-CZ"/>
        </w:rPr>
        <w:t>150.000</w:t>
      </w:r>
      <w:r w:rsidRPr="00E46493">
        <w:rPr>
          <w:lang w:eastAsia="cs-CZ"/>
        </w:rPr>
        <w:t xml:space="preserve"> Kč.</w:t>
      </w: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Ing. Lucie Sládková,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EE3965" w:rsidRPr="00EE3965">
        <w:rPr>
          <w:rFonts w:ascii="Calibri" w:eastAsia="Times New Roman" w:hAnsi="Calibri" w:cs="Calibri"/>
          <w:lang w:eastAsia="cs-CZ"/>
        </w:rPr>
        <w:t>Mgr. Bc. Pav</w:t>
      </w:r>
      <w:r w:rsidR="00EE3965">
        <w:rPr>
          <w:rFonts w:ascii="Calibri" w:eastAsia="Times New Roman" w:hAnsi="Calibri" w:cs="Calibri"/>
          <w:lang w:eastAsia="cs-CZ"/>
        </w:rPr>
        <w:t>lína Kubrová</w:t>
      </w: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vedoucí odboru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EE3965">
        <w:rPr>
          <w:rFonts w:ascii="Calibri" w:eastAsia="Times New Roman" w:hAnsi="Calibri" w:cs="Calibri"/>
          <w:lang w:eastAsia="cs-CZ"/>
        </w:rPr>
        <w:t>ředitelka</w:t>
      </w: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ekologie a veřejného prostoru</w:t>
      </w: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5C5F09">
      <w:r w:rsidRPr="005C5F09">
        <w:t>Za poskytovatele</w:t>
      </w:r>
      <w:r>
        <w:tab/>
      </w:r>
      <w:r>
        <w:tab/>
      </w:r>
      <w:r>
        <w:tab/>
      </w:r>
      <w:r>
        <w:tab/>
      </w:r>
      <w:r>
        <w:tab/>
      </w:r>
      <w:r w:rsidRPr="005C5F09">
        <w:t>Za příjemce</w:t>
      </w:r>
    </w:p>
    <w:sectPr w:rsidR="003059FC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5C1F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1F06">
      <w:rPr>
        <w:rStyle w:val="slostrnky"/>
        <w:noProof/>
      </w:rPr>
      <w:t>6</w:t>
    </w:r>
    <w:r>
      <w:rPr>
        <w:rStyle w:val="slostrnky"/>
      </w:rPr>
      <w:fldChar w:fldCharType="end"/>
    </w:r>
  </w:p>
  <w:p w:rsidR="00983216" w:rsidRDefault="005C1F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B1C07"/>
    <w:rsid w:val="000E441F"/>
    <w:rsid w:val="00124630"/>
    <w:rsid w:val="0027111A"/>
    <w:rsid w:val="002C3C5D"/>
    <w:rsid w:val="003059FC"/>
    <w:rsid w:val="003A0A36"/>
    <w:rsid w:val="003E0E47"/>
    <w:rsid w:val="004959BC"/>
    <w:rsid w:val="004D2FDB"/>
    <w:rsid w:val="005C1F06"/>
    <w:rsid w:val="005C5F09"/>
    <w:rsid w:val="006E3DAE"/>
    <w:rsid w:val="00862091"/>
    <w:rsid w:val="00977829"/>
    <w:rsid w:val="00A364AB"/>
    <w:rsid w:val="00A8474F"/>
    <w:rsid w:val="00B06B8E"/>
    <w:rsid w:val="00B87518"/>
    <w:rsid w:val="00C02259"/>
    <w:rsid w:val="00C02826"/>
    <w:rsid w:val="00CE7CA4"/>
    <w:rsid w:val="00DD7BD8"/>
    <w:rsid w:val="00E46493"/>
    <w:rsid w:val="00EE3965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1840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Drbalová Klára</cp:lastModifiedBy>
  <cp:revision>18</cp:revision>
  <dcterms:created xsi:type="dcterms:W3CDTF">2016-05-19T12:05:00Z</dcterms:created>
  <dcterms:modified xsi:type="dcterms:W3CDTF">2017-06-29T10:19:00Z</dcterms:modified>
</cp:coreProperties>
</file>