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0DB2" w14:textId="31E50E3B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BF6D55">
        <w:rPr>
          <w:rFonts w:asciiTheme="minorHAnsi" w:hAnsiTheme="minorHAnsi" w:cstheme="minorHAnsi"/>
          <w:b/>
          <w:bCs/>
        </w:rPr>
        <w:t>004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8633E7">
        <w:rPr>
          <w:rFonts w:asciiTheme="minorHAnsi" w:hAnsiTheme="minorHAnsi" w:cstheme="minorHAnsi"/>
          <w:b/>
          <w:bCs/>
        </w:rPr>
        <w:t>4</w:t>
      </w:r>
    </w:p>
    <w:p w14:paraId="1DBE81B9" w14:textId="77777777" w:rsidR="004452B8" w:rsidRDefault="004452B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183A1EA" w14:textId="0F146DA1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D02859" w:rsidRPr="00F868DD">
        <w:rPr>
          <w:rFonts w:asciiTheme="minorHAnsi" w:hAnsiTheme="minorHAnsi" w:cstheme="minorHAnsi"/>
          <w:sz w:val="22"/>
          <w:szCs w:val="22"/>
        </w:rPr>
        <w:t>: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</w:p>
    <w:p w14:paraId="2A97201F" w14:textId="77777777" w:rsidR="00673DA6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673DA6">
        <w:rPr>
          <w:rFonts w:ascii="Calibri" w:hAnsi="Calibri" w:cs="Calibri"/>
        </w:rPr>
        <w:t>XXXXXXXXXXXXXXXXXXX</w:t>
      </w:r>
      <w:r w:rsidR="00673DA6"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C4882" w14:textId="77777777" w:rsidR="00673DA6" w:rsidRDefault="00D02859" w:rsidP="00673DA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673DA6">
        <w:rPr>
          <w:rFonts w:ascii="Calibri" w:hAnsi="Calibri" w:cs="Calibri"/>
        </w:rPr>
        <w:t>XXXXXXXXXXXXXXXXXXX</w:t>
      </w:r>
      <w:r w:rsidR="00673DA6" w:rsidRPr="00F868D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D4A4F58" w14:textId="47DE96CE" w:rsidR="00D02859" w:rsidRPr="00F868DD" w:rsidRDefault="00B73B32" w:rsidP="00673DA6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 xml:space="preserve">(dále jen: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F868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5EC59B9F" w:rsidR="00D02859" w:rsidRPr="00BF6D5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55">
        <w:rPr>
          <w:rFonts w:asciiTheme="minorHAnsi" w:hAnsiTheme="minorHAnsi" w:cstheme="minorHAnsi"/>
          <w:bCs/>
          <w:sz w:val="22"/>
          <w:szCs w:val="22"/>
        </w:rPr>
        <w:t>Dodavatel: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="0013441C">
        <w:rPr>
          <w:rFonts w:asciiTheme="minorHAnsi" w:hAnsiTheme="minorHAnsi" w:cstheme="minorHAnsi"/>
          <w:bCs/>
          <w:sz w:val="22"/>
          <w:szCs w:val="22"/>
        </w:rPr>
        <w:tab/>
      </w:r>
      <w:r w:rsidR="0013441C">
        <w:rPr>
          <w:rFonts w:asciiTheme="minorHAnsi" w:hAnsiTheme="minorHAnsi" w:cstheme="minorHAnsi"/>
          <w:bCs/>
          <w:sz w:val="22"/>
          <w:szCs w:val="22"/>
        </w:rPr>
        <w:tab/>
        <w:t>MDMA Digital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</w:p>
    <w:p w14:paraId="25045341" w14:textId="38B53E95" w:rsidR="00D02859" w:rsidRPr="00BF6D55" w:rsidRDefault="00D02859" w:rsidP="00D02859">
      <w:pPr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55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 w:rsidR="00391E4F">
        <w:rPr>
          <w:rFonts w:asciiTheme="minorHAnsi" w:hAnsiTheme="minorHAnsi" w:cstheme="minorHAnsi"/>
          <w:bCs/>
          <w:sz w:val="22"/>
          <w:szCs w:val="22"/>
        </w:rPr>
        <w:t xml:space="preserve"> městského soudu v Praze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</w:p>
    <w:p w14:paraId="31FA9EAF" w14:textId="4CB7B15B" w:rsidR="00D02859" w:rsidRPr="00BF6D5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55">
        <w:rPr>
          <w:rFonts w:asciiTheme="minorHAnsi" w:hAnsiTheme="minorHAnsi" w:cstheme="minorHAnsi"/>
          <w:bCs/>
          <w:sz w:val="22"/>
          <w:szCs w:val="22"/>
        </w:rPr>
        <w:t>Sídlo: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="007D60EE">
        <w:rPr>
          <w:rFonts w:asciiTheme="minorHAnsi" w:hAnsiTheme="minorHAnsi" w:cstheme="minorHAnsi"/>
          <w:bCs/>
          <w:sz w:val="22"/>
          <w:szCs w:val="22"/>
        </w:rPr>
        <w:t>Chudenická 1059/</w:t>
      </w:r>
      <w:r w:rsidR="00C26A69">
        <w:rPr>
          <w:rFonts w:asciiTheme="minorHAnsi" w:hAnsiTheme="minorHAnsi" w:cstheme="minorHAnsi"/>
          <w:bCs/>
          <w:sz w:val="22"/>
          <w:szCs w:val="22"/>
        </w:rPr>
        <w:t>30</w:t>
      </w:r>
      <w:r w:rsidR="005866FD">
        <w:rPr>
          <w:rFonts w:asciiTheme="minorHAnsi" w:hAnsiTheme="minorHAnsi" w:cstheme="minorHAnsi"/>
          <w:bCs/>
          <w:sz w:val="22"/>
          <w:szCs w:val="22"/>
        </w:rPr>
        <w:t xml:space="preserve">, 102 00 </w:t>
      </w:r>
      <w:proofErr w:type="gramStart"/>
      <w:r w:rsidR="005866FD">
        <w:rPr>
          <w:rFonts w:asciiTheme="minorHAnsi" w:hAnsiTheme="minorHAnsi" w:cstheme="minorHAnsi"/>
          <w:bCs/>
          <w:sz w:val="22"/>
          <w:szCs w:val="22"/>
        </w:rPr>
        <w:t>Praha - Hostivař</w:t>
      </w:r>
      <w:proofErr w:type="gramEnd"/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</w:p>
    <w:p w14:paraId="76A670A5" w14:textId="539FEB00" w:rsidR="00D02859" w:rsidRPr="00BF6D5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D55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="00913989">
        <w:rPr>
          <w:rFonts w:asciiTheme="minorHAnsi" w:hAnsiTheme="minorHAnsi" w:cstheme="minorHAnsi"/>
          <w:bCs/>
          <w:sz w:val="22"/>
          <w:szCs w:val="22"/>
        </w:rPr>
        <w:t>17</w:t>
      </w:r>
      <w:r w:rsidR="00B3139D">
        <w:rPr>
          <w:rFonts w:asciiTheme="minorHAnsi" w:hAnsiTheme="minorHAnsi" w:cstheme="minorHAnsi"/>
          <w:bCs/>
          <w:sz w:val="22"/>
          <w:szCs w:val="22"/>
        </w:rPr>
        <w:t>522048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6ACCD09D" w:rsidR="00D02859" w:rsidRPr="00BF6D5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55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="00B3139D">
        <w:rPr>
          <w:rFonts w:asciiTheme="minorHAnsi" w:hAnsiTheme="minorHAnsi" w:cstheme="minorHAnsi"/>
          <w:bCs/>
          <w:sz w:val="22"/>
          <w:szCs w:val="22"/>
        </w:rPr>
        <w:t>CZ</w:t>
      </w:r>
      <w:r w:rsidR="007F534D">
        <w:rPr>
          <w:rFonts w:asciiTheme="minorHAnsi" w:hAnsiTheme="minorHAnsi" w:cstheme="minorHAnsi"/>
          <w:bCs/>
          <w:sz w:val="22"/>
          <w:szCs w:val="22"/>
        </w:rPr>
        <w:t>175</w:t>
      </w:r>
      <w:r w:rsidR="00D67547">
        <w:rPr>
          <w:rFonts w:asciiTheme="minorHAnsi" w:hAnsiTheme="minorHAnsi" w:cstheme="minorHAnsi"/>
          <w:bCs/>
          <w:sz w:val="22"/>
          <w:szCs w:val="22"/>
        </w:rPr>
        <w:t>22048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</w:p>
    <w:p w14:paraId="2814BDF8" w14:textId="6FB0C317" w:rsidR="00D02859" w:rsidRPr="00BF6D5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55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="00563A72">
        <w:rPr>
          <w:rFonts w:asciiTheme="minorHAnsi" w:hAnsiTheme="minorHAnsi" w:cstheme="minorHAnsi"/>
          <w:bCs/>
          <w:sz w:val="22"/>
          <w:szCs w:val="22"/>
        </w:rPr>
        <w:t>Davidem Mikuláš</w:t>
      </w:r>
      <w:r w:rsidR="00C36330">
        <w:rPr>
          <w:rFonts w:asciiTheme="minorHAnsi" w:hAnsiTheme="minorHAnsi" w:cstheme="minorHAnsi"/>
          <w:bCs/>
          <w:sz w:val="22"/>
          <w:szCs w:val="22"/>
        </w:rPr>
        <w:t>kem</w:t>
      </w:r>
      <w:r w:rsidR="00FD2584">
        <w:rPr>
          <w:rFonts w:asciiTheme="minorHAnsi" w:hAnsiTheme="minorHAnsi" w:cstheme="minorHAnsi"/>
          <w:bCs/>
          <w:sz w:val="22"/>
          <w:szCs w:val="22"/>
        </w:rPr>
        <w:t xml:space="preserve"> a Markem </w:t>
      </w:r>
      <w:proofErr w:type="gramStart"/>
      <w:r w:rsidR="00FD2584">
        <w:rPr>
          <w:rFonts w:asciiTheme="minorHAnsi" w:hAnsiTheme="minorHAnsi" w:cstheme="minorHAnsi"/>
          <w:bCs/>
          <w:sz w:val="22"/>
          <w:szCs w:val="22"/>
        </w:rPr>
        <w:t>Bullawou - jednateli</w:t>
      </w:r>
      <w:proofErr w:type="gramEnd"/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</w:p>
    <w:p w14:paraId="3EC8A2D1" w14:textId="15E5BDFE" w:rsidR="00D02859" w:rsidRPr="00BF6D5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55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="00AF5073">
        <w:rPr>
          <w:rFonts w:asciiTheme="minorHAnsi" w:hAnsiTheme="minorHAnsi" w:cstheme="minorHAnsi"/>
          <w:bCs/>
          <w:sz w:val="22"/>
          <w:szCs w:val="22"/>
        </w:rPr>
        <w:t>Komerční banka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</w:p>
    <w:p w14:paraId="321B0FF5" w14:textId="1092A5B0" w:rsidR="00D02859" w:rsidRPr="00BF6D55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D55">
        <w:rPr>
          <w:rFonts w:asciiTheme="minorHAnsi" w:hAnsiTheme="minorHAnsi" w:cstheme="minorHAnsi"/>
          <w:bCs/>
          <w:sz w:val="22"/>
          <w:szCs w:val="22"/>
        </w:rPr>
        <w:t>č.ú. :</w:t>
      </w:r>
      <w:proofErr w:type="gramEnd"/>
      <w:r w:rsidRPr="00BF6D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="00673DA6">
        <w:rPr>
          <w:rFonts w:ascii="Calibri" w:hAnsi="Calibri" w:cs="Calibri"/>
        </w:rPr>
        <w:t>XXXXXXXXXXXXXXXXXXX</w:t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  <w:r w:rsidRPr="00BF6D55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55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6A2A6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Preambule</w:t>
      </w:r>
    </w:p>
    <w:p w14:paraId="16FFED65" w14:textId="4DBFF855" w:rsidR="00D02859" w:rsidRPr="00616FF3" w:rsidRDefault="00D02859" w:rsidP="004452B8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616FF3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616FF3">
        <w:rPr>
          <w:rFonts w:asciiTheme="minorHAnsi" w:hAnsiTheme="minorHAnsi" w:cstheme="minorHAnsi"/>
          <w:sz w:val="22"/>
          <w:szCs w:val="22"/>
        </w:rPr>
        <w:t>díla</w:t>
      </w:r>
      <w:r w:rsidR="00F868DD" w:rsidRPr="00616FF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568047"/>
      <w:r w:rsidR="00777395" w:rsidRPr="003A24D7">
        <w:rPr>
          <w:rFonts w:ascii="Calibri" w:hAnsi="Calibri" w:cs="Calibri"/>
          <w:b/>
          <w:bCs/>
          <w:sz w:val="22"/>
          <w:szCs w:val="22"/>
        </w:rPr>
        <w:tab/>
      </w:r>
      <w:r w:rsidR="00777395" w:rsidRPr="00777395">
        <w:rPr>
          <w:rFonts w:asciiTheme="minorHAnsi" w:hAnsiTheme="minorHAnsi" w:cstheme="minorHAnsi"/>
          <w:sz w:val="22"/>
          <w:szCs w:val="22"/>
        </w:rPr>
        <w:t>"Online marketingová kampaň</w:t>
      </w:r>
      <w:r w:rsidR="001320F7">
        <w:rPr>
          <w:rFonts w:asciiTheme="minorHAnsi" w:hAnsiTheme="minorHAnsi" w:cstheme="minorHAnsi"/>
          <w:sz w:val="22"/>
          <w:szCs w:val="22"/>
        </w:rPr>
        <w:t xml:space="preserve"> </w:t>
      </w:r>
      <w:r w:rsidR="00777395" w:rsidRPr="00777395">
        <w:rPr>
          <w:rFonts w:asciiTheme="minorHAnsi" w:hAnsiTheme="minorHAnsi" w:cstheme="minorHAnsi"/>
          <w:sz w:val="22"/>
          <w:szCs w:val="22"/>
        </w:rPr>
        <w:t>část I. jaro</w:t>
      </w:r>
      <w:r w:rsidR="00F708B9">
        <w:rPr>
          <w:rFonts w:asciiTheme="minorHAnsi" w:hAnsiTheme="minorHAnsi" w:cstheme="minorHAnsi"/>
          <w:sz w:val="22"/>
          <w:szCs w:val="22"/>
        </w:rPr>
        <w:t xml:space="preserve"> </w:t>
      </w:r>
      <w:r w:rsidR="00777395" w:rsidRPr="00777395">
        <w:rPr>
          <w:rFonts w:asciiTheme="minorHAnsi" w:hAnsiTheme="minorHAnsi" w:cstheme="minorHAnsi"/>
          <w:sz w:val="22"/>
          <w:szCs w:val="22"/>
        </w:rPr>
        <w:t>v rámci projektu Východní Morava v</w:t>
      </w:r>
      <w:r w:rsidR="00F708B9">
        <w:rPr>
          <w:rFonts w:asciiTheme="minorHAnsi" w:hAnsiTheme="minorHAnsi" w:cstheme="minorHAnsi"/>
          <w:sz w:val="22"/>
          <w:szCs w:val="22"/>
        </w:rPr>
        <w:t> </w:t>
      </w:r>
      <w:r w:rsidR="00777395" w:rsidRPr="00777395">
        <w:rPr>
          <w:rFonts w:asciiTheme="minorHAnsi" w:hAnsiTheme="minorHAnsi" w:cstheme="minorHAnsi"/>
          <w:sz w:val="22"/>
          <w:szCs w:val="22"/>
        </w:rPr>
        <w:t>pohybu</w:t>
      </w:r>
      <w:r w:rsidR="00F708B9">
        <w:rPr>
          <w:rFonts w:asciiTheme="minorHAnsi" w:hAnsiTheme="minorHAnsi" w:cstheme="minorHAnsi"/>
          <w:sz w:val="22"/>
          <w:szCs w:val="22"/>
        </w:rPr>
        <w:t xml:space="preserve"> – VŘ II.</w:t>
      </w:r>
      <w:r w:rsidR="00777395" w:rsidRPr="00777395">
        <w:rPr>
          <w:rFonts w:asciiTheme="minorHAnsi" w:hAnsiTheme="minorHAnsi" w:cstheme="minorHAnsi"/>
          <w:sz w:val="22"/>
          <w:szCs w:val="22"/>
        </w:rPr>
        <w:t>“</w:t>
      </w:r>
      <w:bookmarkEnd w:id="0"/>
      <w:r w:rsidR="00777395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Pr="00616FF3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616FF3">
        <w:rPr>
          <w:rFonts w:asciiTheme="minorHAnsi" w:hAnsiTheme="minorHAnsi" w:cstheme="minorHAnsi"/>
          <w:sz w:val="22"/>
          <w:szCs w:val="22"/>
        </w:rPr>
        <w:t>dílo</w:t>
      </w:r>
      <w:r w:rsidRPr="00616FF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4452B8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616FF3">
        <w:rPr>
          <w:rFonts w:asciiTheme="minorHAnsi" w:hAnsiTheme="minorHAnsi" w:cstheme="minorHAnsi"/>
        </w:rPr>
        <w:t>Dodavatel prohlašuje, že má veškeré právní, technické</w:t>
      </w:r>
      <w:r w:rsidRPr="00F868DD">
        <w:rPr>
          <w:rFonts w:asciiTheme="minorHAnsi" w:hAnsiTheme="minorHAnsi" w:cstheme="minorHAnsi"/>
        </w:rPr>
        <w:t xml:space="preserve">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1E800042" w:rsidR="00D02859" w:rsidRPr="00497F7B" w:rsidRDefault="00D02859" w:rsidP="004452B8">
      <w:pPr>
        <w:pStyle w:val="odrkyChar"/>
        <w:numPr>
          <w:ilvl w:val="0"/>
          <w:numId w:val="9"/>
        </w:numPr>
        <w:spacing w:before="0" w:after="0"/>
        <w:ind w:left="426" w:hanging="426"/>
        <w:rPr>
          <w:rFonts w:asciiTheme="minorHAnsi" w:hAnsiTheme="minorHAnsi" w:cstheme="minorHAnsi"/>
          <w:b/>
        </w:rPr>
      </w:pPr>
      <w:r w:rsidRPr="00497F7B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38440986" w14:textId="77777777" w:rsidR="004452B8" w:rsidRDefault="004452B8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DBDD01" w14:textId="252E1C98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1916ECB5" w:rsidR="00D3797E" w:rsidRPr="00497F7B" w:rsidRDefault="00D02859" w:rsidP="004452B8">
      <w:pPr>
        <w:jc w:val="both"/>
        <w:rPr>
          <w:b/>
          <w:bCs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FE72B4">
        <w:rPr>
          <w:rFonts w:ascii="Calibri" w:hAnsi="Calibri" w:cs="Calibri"/>
          <w:b/>
          <w:bCs/>
          <w:sz w:val="22"/>
          <w:szCs w:val="22"/>
        </w:rPr>
        <w:t>online marketingov</w:t>
      </w:r>
      <w:r w:rsidR="00C97BB8">
        <w:rPr>
          <w:rFonts w:ascii="Calibri" w:hAnsi="Calibri" w:cs="Calibri"/>
          <w:b/>
          <w:bCs/>
          <w:sz w:val="22"/>
          <w:szCs w:val="22"/>
        </w:rPr>
        <w:t xml:space="preserve">ou </w:t>
      </w:r>
      <w:r w:rsidR="00FE72B4">
        <w:rPr>
          <w:rFonts w:ascii="Calibri" w:hAnsi="Calibri" w:cs="Calibri"/>
          <w:b/>
          <w:bCs/>
          <w:sz w:val="22"/>
          <w:szCs w:val="22"/>
        </w:rPr>
        <w:t>kampaň část I. jaro</w:t>
      </w:r>
      <w:r w:rsidR="00FE72B4" w:rsidRPr="003A24D7">
        <w:rPr>
          <w:rFonts w:ascii="Calibri" w:hAnsi="Calibri" w:cs="Calibri"/>
          <w:b/>
          <w:bCs/>
          <w:sz w:val="22"/>
          <w:szCs w:val="22"/>
        </w:rPr>
        <w:t>“</w:t>
      </w:r>
      <w:r w:rsidR="00D3797E" w:rsidRPr="00497F7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3797E" w:rsidRPr="00497F7B">
        <w:rPr>
          <w:b/>
          <w:bCs/>
        </w:rPr>
        <w:t xml:space="preserve"> </w:t>
      </w:r>
    </w:p>
    <w:p w14:paraId="27FDE274" w14:textId="7F8A8D5A" w:rsidR="0027327A" w:rsidRPr="004359D5" w:rsidRDefault="0027327A" w:rsidP="004452B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Předmětem smlouvy je zaji</w:t>
      </w:r>
      <w:r w:rsidR="00D3797E">
        <w:rPr>
          <w:rFonts w:ascii="Calibri" w:hAnsi="Calibri" w:cs="Calibri"/>
          <w:sz w:val="22"/>
          <w:szCs w:val="22"/>
        </w:rPr>
        <w:t>stit</w:t>
      </w:r>
      <w:r w:rsidRPr="0027327A">
        <w:rPr>
          <w:rFonts w:ascii="Calibri" w:hAnsi="Calibri" w:cs="Calibri"/>
          <w:sz w:val="22"/>
          <w:szCs w:val="22"/>
        </w:rPr>
        <w:t xml:space="preserve"> </w:t>
      </w:r>
      <w:r w:rsidR="004359D5">
        <w:rPr>
          <w:rFonts w:ascii="Calibri" w:hAnsi="Calibri" w:cs="Calibri"/>
          <w:b/>
          <w:bCs/>
          <w:sz w:val="22"/>
          <w:szCs w:val="22"/>
        </w:rPr>
        <w:t xml:space="preserve">činnosti dle přílohy č. 1 této </w:t>
      </w:r>
      <w:proofErr w:type="gramStart"/>
      <w:r w:rsidR="004359D5">
        <w:rPr>
          <w:rFonts w:ascii="Calibri" w:hAnsi="Calibri" w:cs="Calibri"/>
          <w:b/>
          <w:bCs/>
          <w:sz w:val="22"/>
          <w:szCs w:val="22"/>
        </w:rPr>
        <w:t xml:space="preserve">smlouvy - </w:t>
      </w:r>
      <w:r w:rsidRPr="0027327A">
        <w:rPr>
          <w:rFonts w:ascii="Calibri" w:hAnsi="Calibri" w:cs="Calibri"/>
          <w:sz w:val="22"/>
          <w:szCs w:val="22"/>
        </w:rPr>
        <w:t>Specifikace</w:t>
      </w:r>
      <w:proofErr w:type="gramEnd"/>
      <w:r w:rsidRPr="0027327A">
        <w:rPr>
          <w:rFonts w:ascii="Calibri" w:hAnsi="Calibri" w:cs="Calibri"/>
          <w:sz w:val="22"/>
          <w:szCs w:val="22"/>
        </w:rPr>
        <w:t xml:space="preserve"> předmětu smlouvy.</w:t>
      </w:r>
    </w:p>
    <w:p w14:paraId="7A79A79A" w14:textId="60883486" w:rsidR="00D02859" w:rsidRPr="0099720F" w:rsidRDefault="00D02859" w:rsidP="004452B8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</w:t>
      </w:r>
      <w:proofErr w:type="gramStart"/>
      <w:r w:rsidRPr="0099720F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Pr="0099720F">
        <w:rPr>
          <w:rFonts w:asciiTheme="minorHAnsi" w:hAnsiTheme="minorHAnsi" w:cstheme="minorHAnsi"/>
          <w:sz w:val="22"/>
          <w:szCs w:val="22"/>
        </w:rPr>
        <w:t xml:space="preserve">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4452B8">
      <w:pPr>
        <w:pStyle w:val="odrkyChar"/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9BB4739" w14:textId="1501E511" w:rsidR="004452B8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278367EA" w14:textId="77777777" w:rsidR="004452B8" w:rsidRPr="0099720F" w:rsidRDefault="004452B8" w:rsidP="00D02859">
      <w:pPr>
        <w:pStyle w:val="odrkyChar"/>
        <w:ind w:left="360"/>
        <w:rPr>
          <w:rFonts w:asciiTheme="minorHAnsi" w:hAnsiTheme="minorHAnsi" w:cstheme="minorHAnsi"/>
        </w:rPr>
      </w:pP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A8589C" w14:textId="77777777" w:rsidR="004452B8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DEFCBF" w14:textId="77777777" w:rsidR="004452B8" w:rsidRPr="0099720F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19666550" w:rsidR="00D02859" w:rsidRPr="006A2A6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D91222">
        <w:rPr>
          <w:rFonts w:asciiTheme="minorHAnsi" w:hAnsiTheme="minorHAnsi" w:cstheme="minorHAnsi"/>
          <w:sz w:val="22"/>
          <w:szCs w:val="22"/>
        </w:rPr>
        <w:t>J. A. Bati 5520, 760 90 Zlín</w:t>
      </w:r>
    </w:p>
    <w:p w14:paraId="40E10372" w14:textId="77777777" w:rsidR="0027327A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22CEED26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23A014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1C97CD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084473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305127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57A293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0D8085" w14:textId="77777777" w:rsidR="004452B8" w:rsidRDefault="004452B8" w:rsidP="004452B8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864B42" w14:textId="77777777" w:rsidR="004452B8" w:rsidRPr="00F868DD" w:rsidRDefault="004452B8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25BA9540" w14:textId="73C32B57" w:rsidR="006856B2" w:rsidRPr="00F868DD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57BFD347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5192993" w14:textId="77777777" w:rsidR="00497F7B" w:rsidRPr="00F868DD" w:rsidRDefault="00497F7B" w:rsidP="00497F7B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6D4596DE" w:rsidR="00D02859" w:rsidRPr="006D2222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2222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6D2222">
        <w:rPr>
          <w:rFonts w:asciiTheme="minorHAnsi" w:hAnsiTheme="minorHAnsi" w:cstheme="minorHAnsi"/>
          <w:sz w:val="22"/>
          <w:szCs w:val="22"/>
        </w:rPr>
        <w:tab/>
      </w:r>
      <w:r w:rsidRPr="006D222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</w:t>
      </w:r>
      <w:r w:rsidR="006630CC" w:rsidRPr="006D2222">
        <w:rPr>
          <w:rFonts w:asciiTheme="minorHAnsi" w:hAnsiTheme="minorHAnsi" w:cstheme="minorHAnsi"/>
          <w:sz w:val="22"/>
          <w:szCs w:val="22"/>
        </w:rPr>
        <w:tab/>
      </w:r>
      <w:r w:rsidR="00D00608" w:rsidRPr="006D2222">
        <w:rPr>
          <w:rFonts w:asciiTheme="minorHAnsi" w:hAnsiTheme="minorHAnsi" w:cstheme="minorHAnsi"/>
          <w:sz w:val="22"/>
          <w:szCs w:val="22"/>
        </w:rPr>
        <w:t>481</w:t>
      </w:r>
      <w:r w:rsidR="00F472CE" w:rsidRPr="006D2222">
        <w:rPr>
          <w:rFonts w:asciiTheme="minorHAnsi" w:hAnsiTheme="minorHAnsi" w:cstheme="minorHAnsi"/>
          <w:sz w:val="22"/>
          <w:szCs w:val="22"/>
        </w:rPr>
        <w:t xml:space="preserve"> 818,18 </w:t>
      </w:r>
      <w:r w:rsidRPr="006D2222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0F2B6A95" w:rsidR="00D02859" w:rsidRPr="006D2222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2222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6D2222">
        <w:rPr>
          <w:rFonts w:asciiTheme="minorHAnsi" w:hAnsiTheme="minorHAnsi" w:cstheme="minorHAnsi"/>
          <w:sz w:val="22"/>
          <w:szCs w:val="22"/>
        </w:rPr>
        <w:t xml:space="preserve">DPH </w:t>
      </w:r>
      <w:r w:rsidR="0096723C" w:rsidRPr="006D2222">
        <w:rPr>
          <w:rFonts w:asciiTheme="minorHAnsi" w:hAnsiTheme="minorHAnsi" w:cstheme="minorHAnsi"/>
          <w:sz w:val="22"/>
          <w:szCs w:val="22"/>
        </w:rPr>
        <w:t>21</w:t>
      </w:r>
      <w:r w:rsidR="00D02859" w:rsidRPr="006D2222">
        <w:rPr>
          <w:rFonts w:asciiTheme="minorHAnsi" w:hAnsiTheme="minorHAnsi" w:cstheme="minorHAnsi"/>
          <w:sz w:val="22"/>
          <w:szCs w:val="22"/>
        </w:rPr>
        <w:t xml:space="preserve"> %</w:t>
      </w:r>
      <w:r w:rsidR="00D02859" w:rsidRPr="006D2222">
        <w:rPr>
          <w:rFonts w:asciiTheme="minorHAnsi" w:hAnsiTheme="minorHAnsi" w:cstheme="minorHAnsi"/>
          <w:sz w:val="22"/>
          <w:szCs w:val="22"/>
        </w:rPr>
        <w:tab/>
      </w:r>
      <w:r w:rsidR="00D02859" w:rsidRPr="006D2222">
        <w:rPr>
          <w:rFonts w:asciiTheme="minorHAnsi" w:hAnsiTheme="minorHAnsi" w:cstheme="minorHAnsi"/>
          <w:sz w:val="22"/>
          <w:szCs w:val="22"/>
        </w:rPr>
        <w:tab/>
      </w:r>
      <w:r w:rsidR="00D02859" w:rsidRPr="006D2222">
        <w:rPr>
          <w:rFonts w:asciiTheme="minorHAnsi" w:hAnsiTheme="minorHAnsi" w:cstheme="minorHAnsi"/>
          <w:sz w:val="22"/>
          <w:szCs w:val="22"/>
        </w:rPr>
        <w:tab/>
      </w:r>
      <w:r w:rsidR="00D02859" w:rsidRPr="006D2222">
        <w:rPr>
          <w:rFonts w:asciiTheme="minorHAnsi" w:hAnsiTheme="minorHAnsi" w:cstheme="minorHAnsi"/>
          <w:sz w:val="22"/>
          <w:szCs w:val="22"/>
        </w:rPr>
        <w:tab/>
      </w:r>
      <w:r w:rsidR="00D02859" w:rsidRPr="006D2222">
        <w:rPr>
          <w:rFonts w:asciiTheme="minorHAnsi" w:hAnsiTheme="minorHAnsi" w:cstheme="minorHAnsi"/>
          <w:sz w:val="22"/>
          <w:szCs w:val="22"/>
        </w:rPr>
        <w:tab/>
      </w:r>
      <w:r w:rsidR="00D02859" w:rsidRPr="006D2222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6630CC" w:rsidRPr="006D2222">
        <w:rPr>
          <w:rFonts w:asciiTheme="minorHAnsi" w:hAnsiTheme="minorHAnsi" w:cstheme="minorHAnsi"/>
          <w:sz w:val="22"/>
          <w:szCs w:val="22"/>
        </w:rPr>
        <w:tab/>
      </w:r>
      <w:r w:rsidR="00F472CE" w:rsidRPr="006D2222">
        <w:rPr>
          <w:rFonts w:asciiTheme="minorHAnsi" w:hAnsiTheme="minorHAnsi" w:cstheme="minorHAnsi"/>
          <w:sz w:val="22"/>
          <w:szCs w:val="22"/>
        </w:rPr>
        <w:t xml:space="preserve">101 181,82 </w:t>
      </w:r>
      <w:r w:rsidR="00D02859" w:rsidRPr="006D2222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4E509B48" w:rsidR="00D02859" w:rsidRPr="006D2222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D2222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6D2222">
        <w:rPr>
          <w:rFonts w:asciiTheme="minorHAnsi" w:hAnsiTheme="minorHAnsi" w:cstheme="minorHAnsi"/>
          <w:sz w:val="22"/>
          <w:szCs w:val="22"/>
        </w:rPr>
        <w:tab/>
      </w:r>
      <w:r w:rsidRPr="006D222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2222">
        <w:rPr>
          <w:rFonts w:asciiTheme="minorHAnsi" w:hAnsiTheme="minorHAnsi" w:cstheme="minorHAnsi"/>
          <w:sz w:val="22"/>
          <w:szCs w:val="22"/>
        </w:rPr>
        <w:tab/>
      </w:r>
      <w:r w:rsidRPr="006D2222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6630CC" w:rsidRPr="006D2222">
        <w:rPr>
          <w:rFonts w:asciiTheme="minorHAnsi" w:hAnsiTheme="minorHAnsi" w:cstheme="minorHAnsi"/>
          <w:sz w:val="22"/>
          <w:szCs w:val="22"/>
        </w:rPr>
        <w:tab/>
      </w:r>
      <w:r w:rsidR="00F472CE" w:rsidRPr="006D2222">
        <w:rPr>
          <w:rFonts w:asciiTheme="minorHAnsi" w:hAnsiTheme="minorHAnsi" w:cstheme="minorHAnsi"/>
          <w:sz w:val="22"/>
          <w:szCs w:val="22"/>
        </w:rPr>
        <w:t xml:space="preserve">583 000,00 </w:t>
      </w:r>
      <w:r w:rsidRPr="006D2222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12D20DAB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6D2222">
        <w:rPr>
          <w:rFonts w:asciiTheme="minorHAnsi" w:hAnsiTheme="minorHAnsi" w:cstheme="minorHAnsi"/>
        </w:rPr>
        <w:t>(slovy:)</w:t>
      </w:r>
      <w:r w:rsidR="00F472CE" w:rsidRPr="006D2222">
        <w:rPr>
          <w:rFonts w:asciiTheme="minorHAnsi" w:hAnsiTheme="minorHAnsi" w:cstheme="minorHAnsi"/>
        </w:rPr>
        <w:t xml:space="preserve"> pětseto</w:t>
      </w:r>
      <w:r w:rsidR="0096723C" w:rsidRPr="006D2222">
        <w:rPr>
          <w:rFonts w:asciiTheme="minorHAnsi" w:hAnsiTheme="minorHAnsi" w:cstheme="minorHAnsi"/>
        </w:rPr>
        <w:t>sumdesáttřitisíckorunčeských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54D89949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27327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5616382F" w:rsidR="00D02859" w:rsidRPr="006A2A6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na základě doložení reportu </w:t>
      </w:r>
      <w:r w:rsidR="000A7357" w:rsidRPr="006A2A6D">
        <w:rPr>
          <w:rFonts w:asciiTheme="minorHAnsi" w:hAnsiTheme="minorHAnsi" w:cstheme="minorHAnsi"/>
          <w:sz w:val="22"/>
          <w:szCs w:val="22"/>
        </w:rPr>
        <w:t xml:space="preserve">o plnění </w:t>
      </w:r>
      <w:r w:rsidR="00007F5F" w:rsidRPr="006A2A6D">
        <w:rPr>
          <w:rFonts w:asciiTheme="minorHAnsi" w:hAnsiTheme="minorHAnsi" w:cstheme="minorHAnsi"/>
          <w:sz w:val="22"/>
          <w:szCs w:val="22"/>
        </w:rPr>
        <w:t>včetně fotodokumentace a předávacího protokolu</w:t>
      </w:r>
      <w:r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6A2A6D">
        <w:rPr>
          <w:rFonts w:asciiTheme="minorHAnsi" w:hAnsiTheme="minorHAnsi" w:cstheme="minorHAnsi"/>
          <w:sz w:val="22"/>
          <w:szCs w:val="22"/>
        </w:rPr>
        <w:t>po</w:t>
      </w:r>
      <w:r w:rsidRPr="006A2A6D">
        <w:rPr>
          <w:rFonts w:asciiTheme="minorHAnsi" w:hAnsiTheme="minorHAnsi" w:cstheme="minorHAnsi"/>
          <w:sz w:val="22"/>
          <w:szCs w:val="22"/>
        </w:rPr>
        <w:t xml:space="preserve"> ukončení díla. </w:t>
      </w:r>
    </w:p>
    <w:p w14:paraId="6F4E2169" w14:textId="48438D39" w:rsidR="00D02859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Pr="006A2A6D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41F9F4F5" w:rsidR="00D02859" w:rsidRPr="006A2A6D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6A2A6D">
        <w:rPr>
          <w:rFonts w:asciiTheme="minorHAnsi" w:hAnsiTheme="minorHAnsi" w:cstheme="minorHAnsi"/>
          <w:sz w:val="22"/>
          <w:szCs w:val="22"/>
        </w:rPr>
        <w:t>y</w:t>
      </w:r>
      <w:r w:rsidRPr="006A2A6D">
        <w:rPr>
          <w:rFonts w:asciiTheme="minorHAnsi" w:hAnsiTheme="minorHAnsi" w:cstheme="minorHAnsi"/>
          <w:sz w:val="22"/>
          <w:szCs w:val="22"/>
        </w:rPr>
        <w:t>, kter</w:t>
      </w:r>
      <w:r w:rsidR="00007F5F" w:rsidRPr="006A2A6D">
        <w:rPr>
          <w:rFonts w:asciiTheme="minorHAnsi" w:hAnsiTheme="minorHAnsi" w:cstheme="minorHAnsi"/>
          <w:sz w:val="22"/>
          <w:szCs w:val="22"/>
        </w:rPr>
        <w:t>á</w:t>
      </w:r>
      <w:r w:rsidRPr="006A2A6D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6A2A6D">
        <w:rPr>
          <w:rFonts w:asciiTheme="minorHAnsi" w:hAnsiTheme="minorHAnsi" w:cstheme="minorHAnsi"/>
          <w:sz w:val="22"/>
          <w:szCs w:val="22"/>
        </w:rPr>
        <w:t>e</w:t>
      </w:r>
      <w:r w:rsidRPr="006A2A6D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textem: 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„Tento doklad je hrazen z</w:t>
      </w:r>
      <w:r w:rsidR="00155B0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2F526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526E">
        <w:rPr>
          <w:rFonts w:asciiTheme="minorHAnsi" w:hAnsiTheme="minorHAnsi" w:cstheme="minorHAnsi"/>
          <w:b/>
          <w:bCs/>
          <w:sz w:val="22"/>
          <w:szCs w:val="22"/>
        </w:rPr>
        <w:t>Východní Morava v pohybu, který je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 xml:space="preserve"> realizován za přispění prostředků státního rozpočtu České republiky z programu Ministerstva pro místní rozvoj. Hrazeno z dotace ZK.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“.</w:t>
      </w:r>
    </w:p>
    <w:p w14:paraId="65AF508C" w14:textId="5D980A7A" w:rsidR="00D02859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856F33">
        <w:rPr>
          <w:rFonts w:asciiTheme="minorHAnsi" w:hAnsiTheme="minorHAnsi" w:cstheme="minorHAnsi"/>
          <w:b/>
          <w:bCs/>
          <w:sz w:val="22"/>
          <w:szCs w:val="22"/>
        </w:rPr>
        <w:t>30ti denní</w:t>
      </w:r>
      <w:proofErr w:type="gramEnd"/>
      <w:r w:rsidRPr="00856F33">
        <w:rPr>
          <w:rFonts w:asciiTheme="minorHAnsi" w:hAnsiTheme="minorHAnsi" w:cstheme="minorHAnsi"/>
          <w:b/>
          <w:bCs/>
          <w:sz w:val="22"/>
          <w:szCs w:val="22"/>
        </w:rPr>
        <w:t xml:space="preserve"> lhůta splatnosti</w:t>
      </w:r>
      <w:r w:rsidRPr="00F868DD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zda-li</w:t>
      </w:r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6A2A6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6A2A6D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6F4E545E" w:rsidR="00D02859" w:rsidRPr="006A2A6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6A2A6D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6A2A6D">
        <w:rPr>
          <w:rFonts w:asciiTheme="minorHAnsi" w:hAnsiTheme="minorHAnsi" w:cstheme="minorHAnsi"/>
        </w:rPr>
        <w:t>díla</w:t>
      </w:r>
      <w:r w:rsidRPr="006A2A6D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6A2A6D">
        <w:rPr>
          <w:rFonts w:asciiTheme="minorHAnsi" w:hAnsiTheme="minorHAnsi" w:cstheme="minorHAnsi"/>
        </w:rPr>
        <w:t> </w:t>
      </w:r>
      <w:r w:rsidRPr="006A2A6D">
        <w:rPr>
          <w:rFonts w:asciiTheme="minorHAnsi" w:hAnsiTheme="minorHAnsi" w:cstheme="minorHAnsi"/>
        </w:rPr>
        <w:t>účtu</w:t>
      </w:r>
      <w:r w:rsidR="0030121C" w:rsidRPr="006A2A6D">
        <w:rPr>
          <w:rFonts w:asciiTheme="minorHAnsi" w:hAnsiTheme="minorHAnsi" w:cstheme="minorHAnsi"/>
        </w:rPr>
        <w:t xml:space="preserve"> zadavatele</w:t>
      </w:r>
      <w:r w:rsidRPr="006A2A6D">
        <w:rPr>
          <w:rFonts w:asciiTheme="minorHAnsi" w:hAnsiTheme="minorHAnsi" w:cstheme="minorHAnsi"/>
        </w:rPr>
        <w:t>, nejméně však do konce roku 20</w:t>
      </w:r>
      <w:r w:rsidR="00165AB8" w:rsidRPr="006A2A6D">
        <w:rPr>
          <w:rFonts w:asciiTheme="minorHAnsi" w:hAnsiTheme="minorHAnsi" w:cstheme="minorHAnsi"/>
        </w:rPr>
        <w:t>3</w:t>
      </w:r>
      <w:r w:rsidR="0030121C" w:rsidRPr="006A2A6D">
        <w:rPr>
          <w:rFonts w:asciiTheme="minorHAnsi" w:hAnsiTheme="minorHAnsi" w:cstheme="minorHAnsi"/>
        </w:rPr>
        <w:t>3</w:t>
      </w:r>
      <w:r w:rsidRPr="006A2A6D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 xml:space="preserve">, z nichž jeden </w:t>
      </w:r>
      <w:proofErr w:type="gramStart"/>
      <w:r w:rsidRPr="00F868DD">
        <w:rPr>
          <w:rFonts w:asciiTheme="minorHAnsi" w:hAnsiTheme="minorHAnsi" w:cstheme="minorHAnsi"/>
          <w:color w:val="000000"/>
        </w:rPr>
        <w:t>obdrží</w:t>
      </w:r>
      <w:proofErr w:type="gramEnd"/>
      <w:r w:rsidRPr="00F868DD">
        <w:rPr>
          <w:rFonts w:asciiTheme="minorHAnsi" w:hAnsiTheme="minorHAnsi" w:cstheme="minorHAnsi"/>
          <w:color w:val="000000"/>
        </w:rPr>
        <w:t xml:space="preserve"> dodavatel a jeden objednatel.</w:t>
      </w:r>
    </w:p>
    <w:p w14:paraId="48F9ECB8" w14:textId="40786A2F" w:rsidR="00D02859" w:rsidRPr="00E20C17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868DD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786C3C9F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A679E1">
        <w:rPr>
          <w:rFonts w:asciiTheme="minorHAnsi" w:hAnsiTheme="minorHAnsi" w:cstheme="minorHAnsi"/>
        </w:rPr>
        <w:t xml:space="preserve">David Mikulášek, </w:t>
      </w:r>
      <w:r w:rsidR="005C036C">
        <w:rPr>
          <w:rFonts w:asciiTheme="minorHAnsi" w:hAnsiTheme="minorHAnsi" w:cstheme="minorHAnsi"/>
        </w:rPr>
        <w:t>Marek Bullawa</w:t>
      </w:r>
    </w:p>
    <w:p w14:paraId="359E3ADC" w14:textId="13763814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  <w:r w:rsidR="005C036C">
        <w:rPr>
          <w:rFonts w:asciiTheme="minorHAnsi" w:hAnsiTheme="minorHAnsi" w:cstheme="minorHAnsi"/>
        </w:rPr>
        <w:tab/>
      </w:r>
      <w:r w:rsidR="005C036C">
        <w:rPr>
          <w:rFonts w:asciiTheme="minorHAnsi" w:hAnsiTheme="minorHAnsi" w:cstheme="minorHAnsi"/>
        </w:rPr>
        <w:tab/>
      </w:r>
      <w:r w:rsidR="005C036C">
        <w:rPr>
          <w:rFonts w:asciiTheme="minorHAnsi" w:hAnsiTheme="minorHAnsi" w:cstheme="minorHAnsi"/>
        </w:rPr>
        <w:tab/>
      </w:r>
      <w:r w:rsidR="005C036C">
        <w:rPr>
          <w:rFonts w:asciiTheme="minorHAnsi" w:hAnsiTheme="minorHAnsi" w:cstheme="minorHAnsi"/>
        </w:rPr>
        <w:tab/>
      </w:r>
      <w:r w:rsidR="005C036C">
        <w:rPr>
          <w:rFonts w:asciiTheme="minorHAnsi" w:hAnsiTheme="minorHAnsi" w:cstheme="minorHAnsi"/>
        </w:rPr>
        <w:tab/>
      </w:r>
      <w:r w:rsidR="005C036C">
        <w:rPr>
          <w:rFonts w:asciiTheme="minorHAnsi" w:hAnsiTheme="minorHAnsi" w:cstheme="minorHAnsi"/>
        </w:rPr>
        <w:tab/>
      </w:r>
      <w:r w:rsidR="005C036C">
        <w:rPr>
          <w:rFonts w:asciiTheme="minorHAnsi" w:hAnsiTheme="minorHAnsi" w:cstheme="minorHAnsi"/>
        </w:rPr>
        <w:tab/>
      </w:r>
      <w:r w:rsidR="001B3B27">
        <w:rPr>
          <w:rFonts w:asciiTheme="minorHAnsi" w:hAnsiTheme="minorHAnsi" w:cstheme="minorHAnsi"/>
        </w:rPr>
        <w:t>jednatelé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8A20AA7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2B669D2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C49C165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43326EA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1A7CD15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0C4D212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F151DF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7BEBC5D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38637DD" w14:textId="77777777" w:rsidR="00570B1F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02F5434" w14:textId="77777777" w:rsidR="00570B1F" w:rsidRPr="00F868DD" w:rsidRDefault="00570B1F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B509D54" w14:textId="3C5D946E" w:rsidR="0027327A" w:rsidRPr="00746B42" w:rsidRDefault="0027327A" w:rsidP="00746B4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</w:rPr>
        <w:t xml:space="preserve">příloha č. 1 smlouvy – </w:t>
      </w:r>
      <w:r w:rsidR="00E34F21">
        <w:rPr>
          <w:rFonts w:asciiTheme="minorHAnsi" w:hAnsiTheme="minorHAnsi" w:cstheme="minorHAnsi"/>
        </w:rPr>
        <w:t>Specifikace předmětu smlouvy</w:t>
      </w:r>
    </w:p>
    <w:p w14:paraId="2EB05DB5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30D6EA1E" w14:textId="77777777" w:rsidR="00D53282" w:rsidRDefault="00D53282" w:rsidP="00D53282">
      <w:pPr>
        <w:pStyle w:val="Zkladntext"/>
        <w:spacing w:before="182"/>
      </w:pPr>
      <w:r>
        <w:t>Online marketingová kampaň část I. jaro v rámci projektu Východní Morava v pohybu, VŘ II.</w:t>
      </w:r>
    </w:p>
    <w:p w14:paraId="3FE05079" w14:textId="77777777" w:rsidR="00D53282" w:rsidRDefault="00D53282" w:rsidP="00D53282">
      <w:pPr>
        <w:pStyle w:val="Zkladntext"/>
        <w:spacing w:before="182"/>
      </w:pPr>
      <w:r>
        <w:t>Zadání</w:t>
      </w:r>
    </w:p>
    <w:p w14:paraId="1B7C080D" w14:textId="77777777" w:rsidR="00D53282" w:rsidRDefault="00D53282" w:rsidP="00D53282">
      <w:pPr>
        <w:pStyle w:val="Zkladntext"/>
        <w:spacing w:before="182"/>
      </w:pPr>
      <w:r>
        <w:t>Téma kampaně</w:t>
      </w:r>
    </w:p>
    <w:p w14:paraId="004DA940" w14:textId="77777777" w:rsidR="00D53282" w:rsidRDefault="00D53282" w:rsidP="00D53282">
      <w:pPr>
        <w:pStyle w:val="Zkladntext"/>
        <w:spacing w:before="182"/>
      </w:pPr>
      <w:r>
        <w:t>Východní Morava jako turistický region – turistická nabídka regionu navázaná na všechny její oblasti – Valašsko, Slovácko, Kroměřížsko, Zlínsko-Luhačovicko. Zaměření na „region v pohybu“ (cykloturistika, Baťův kanál, aktivní pěší turistika).</w:t>
      </w:r>
    </w:p>
    <w:p w14:paraId="3E62BD83" w14:textId="77777777" w:rsidR="00D53282" w:rsidRDefault="00D53282" w:rsidP="00D53282">
      <w:pPr>
        <w:pStyle w:val="Zkladntext"/>
        <w:spacing w:before="182"/>
      </w:pPr>
      <w:r>
        <w:t>Komunikace nového turistického produktu „Baťův region“.</w:t>
      </w:r>
    </w:p>
    <w:p w14:paraId="6D0D2C72" w14:textId="77777777" w:rsidR="00D53282" w:rsidRDefault="00D53282" w:rsidP="00D53282">
      <w:pPr>
        <w:pStyle w:val="Zkladntext"/>
        <w:spacing w:before="182"/>
      </w:pPr>
      <w:r>
        <w:t>Termín kampaně</w:t>
      </w:r>
    </w:p>
    <w:p w14:paraId="2D6F022F" w14:textId="77777777" w:rsidR="00D53282" w:rsidRDefault="00D53282" w:rsidP="00D53282">
      <w:pPr>
        <w:pStyle w:val="Zkladntext"/>
        <w:spacing w:before="182"/>
      </w:pPr>
      <w:r>
        <w:t xml:space="preserve">Termín realizace díla: květen </w:t>
      </w:r>
      <w:proofErr w:type="gramStart"/>
      <w:r>
        <w:t>2024 – červenec</w:t>
      </w:r>
      <w:proofErr w:type="gramEnd"/>
      <w:r>
        <w:t xml:space="preserve"> 2024 </w:t>
      </w:r>
    </w:p>
    <w:p w14:paraId="16B386CA" w14:textId="77777777" w:rsidR="00D53282" w:rsidRDefault="00D53282" w:rsidP="00D53282">
      <w:pPr>
        <w:pStyle w:val="Zkladntext"/>
        <w:spacing w:before="182"/>
      </w:pPr>
      <w:r>
        <w:t xml:space="preserve">Termín realizace kampaně: červen </w:t>
      </w:r>
      <w:proofErr w:type="gramStart"/>
      <w:r>
        <w:t>2024 – červenec</w:t>
      </w:r>
      <w:proofErr w:type="gramEnd"/>
      <w:r>
        <w:t xml:space="preserve"> 2024</w:t>
      </w:r>
    </w:p>
    <w:p w14:paraId="0046B254" w14:textId="77777777" w:rsidR="00D53282" w:rsidRDefault="00D53282" w:rsidP="00D53282">
      <w:pPr>
        <w:pStyle w:val="Zkladntext"/>
        <w:spacing w:before="182"/>
      </w:pPr>
      <w:r>
        <w:br/>
        <w:t>Cíle kampaně</w:t>
      </w:r>
    </w:p>
    <w:p w14:paraId="3333E3CF" w14:textId="77777777" w:rsidR="00D53282" w:rsidRDefault="00D53282" w:rsidP="00D53282">
      <w:pPr>
        <w:pStyle w:val="Zkladntext"/>
        <w:spacing w:before="182"/>
      </w:pPr>
      <w:r>
        <w:t>Přímým cílem je:</w:t>
      </w:r>
    </w:p>
    <w:p w14:paraId="68B744E1" w14:textId="77777777" w:rsidR="00D53282" w:rsidRDefault="00D53282" w:rsidP="00D53282">
      <w:pPr>
        <w:pStyle w:val="Zkladntext"/>
        <w:spacing w:before="182"/>
      </w:pPr>
      <w:r>
        <w:t>Zajistit maximální efektivitu kampaně jak z hlediska kvality pokrytí cílové skupiny, tak využití finančních prostředků Zadavatele,</w:t>
      </w:r>
    </w:p>
    <w:p w14:paraId="59DA5B4E" w14:textId="77777777" w:rsidR="00D53282" w:rsidRDefault="00D53282" w:rsidP="00D53282">
      <w:pPr>
        <w:pStyle w:val="Zkladntext"/>
        <w:spacing w:before="182"/>
      </w:pPr>
      <w:r>
        <w:t>Zajistit Zadavateli konkurenční výhody,</w:t>
      </w:r>
    </w:p>
    <w:p w14:paraId="28EDAAEF" w14:textId="77777777" w:rsidR="00D53282" w:rsidRDefault="00D53282" w:rsidP="00D53282">
      <w:pPr>
        <w:pStyle w:val="Zkladntext"/>
        <w:spacing w:before="182"/>
      </w:pPr>
      <w:r>
        <w:t>Zajistit, že Zadavatel dostane špičkovou službu v oblasti strategického a detailního plánování a nákupu médií</w:t>
      </w:r>
    </w:p>
    <w:p w14:paraId="40C3665F" w14:textId="77777777" w:rsidR="00D53282" w:rsidRDefault="00D53282" w:rsidP="00D53282">
      <w:pPr>
        <w:pStyle w:val="Zkladntext"/>
        <w:spacing w:before="182"/>
      </w:pPr>
      <w:r>
        <w:t>Zajistit stálou odpovědnost za udržení co nejvyšší komunikační efektivity (hodnocení výkonu)</w:t>
      </w:r>
    </w:p>
    <w:p w14:paraId="233B124C" w14:textId="77777777" w:rsidR="00D53282" w:rsidRDefault="00D53282" w:rsidP="00D53282">
      <w:pPr>
        <w:pStyle w:val="Zkladntext"/>
        <w:spacing w:before="182"/>
      </w:pPr>
      <w:r>
        <w:t>Zprostředkovaným cílem je:</w:t>
      </w:r>
    </w:p>
    <w:p w14:paraId="2C39A189" w14:textId="77777777" w:rsidR="00D53282" w:rsidRDefault="00D53282" w:rsidP="00D53282">
      <w:pPr>
        <w:pStyle w:val="Zkladntext"/>
        <w:spacing w:before="182"/>
      </w:pPr>
      <w:r>
        <w:t>Prezentace regionu Východní Morava coby atraktivní destinace cestovního ruchu vhodné pro rodiny s dětmi, osoby se zaměřením na aktivní trávení volného času i na aktivní seniory, a to za účelem zvýšení návštěvnosti tohoto regionu zejména ze strany domácích – tedy českých turistů.</w:t>
      </w:r>
    </w:p>
    <w:p w14:paraId="39F6D9E4" w14:textId="77777777" w:rsidR="00D53282" w:rsidRDefault="00D53282" w:rsidP="00D53282">
      <w:pPr>
        <w:pStyle w:val="Zkladntext"/>
        <w:spacing w:before="182"/>
      </w:pPr>
      <w:r>
        <w:t>V návaznosti na druhé téma kampaně – „Baťův region“ je cílem komunikace regionu Východní Morava jako místa, kde je stále živý baťův odkaz. Zaměření na Zlín jako srdce Baťova regionu – Továrny v zahradách, baťovské domky i jedinečná funkcionalistická architektura, dále unikátní Baťův kanál a další místa v regionu, která můžete objevit.</w:t>
      </w:r>
    </w:p>
    <w:p w14:paraId="4E11C07E" w14:textId="77777777" w:rsidR="00D53282" w:rsidRDefault="00D53282" w:rsidP="00D53282">
      <w:pPr>
        <w:pStyle w:val="Zkladntext"/>
        <w:spacing w:before="182"/>
      </w:pPr>
      <w:r>
        <w:t>Zadání</w:t>
      </w:r>
    </w:p>
    <w:p w14:paraId="1A127240" w14:textId="77777777" w:rsidR="00D53282" w:rsidRDefault="00D53282" w:rsidP="00D53282">
      <w:pPr>
        <w:pStyle w:val="Zkladntext"/>
        <w:spacing w:before="182"/>
      </w:pPr>
      <w:r>
        <w:t>Strategie online kampaně</w:t>
      </w:r>
    </w:p>
    <w:p w14:paraId="50B5B7DF" w14:textId="77777777" w:rsidR="00D53282" w:rsidRDefault="00D53282" w:rsidP="00D53282">
      <w:pPr>
        <w:pStyle w:val="Zkladntext"/>
        <w:spacing w:before="182"/>
      </w:pPr>
      <w:r>
        <w:t>Náš přístup ke strategii</w:t>
      </w:r>
    </w:p>
    <w:p w14:paraId="1B070633" w14:textId="77777777" w:rsidR="00D53282" w:rsidRDefault="00D53282" w:rsidP="00D53282">
      <w:pPr>
        <w:pStyle w:val="Zkladntext"/>
        <w:spacing w:before="182"/>
      </w:pPr>
      <w:r>
        <w:t>Zvýšení návštěvnosti webu dosáhneme optimálním rozložením investic do jednotlivých reklamních kanálů.</w:t>
      </w:r>
    </w:p>
    <w:p w14:paraId="77859702" w14:textId="77777777" w:rsidR="00D53282" w:rsidRDefault="00D53282" w:rsidP="00D53282">
      <w:pPr>
        <w:pStyle w:val="Zkladntext"/>
        <w:spacing w:before="182"/>
      </w:pPr>
      <w:r>
        <w:t>Nezaměřujeme se pouze na kvantitu a splnění KPI, ale i na relevanci a kvalitu přivedené návštěvnosti.</w:t>
      </w:r>
    </w:p>
    <w:p w14:paraId="5AFF28AD" w14:textId="77777777" w:rsidR="00D53282" w:rsidRDefault="00D53282" w:rsidP="00D53282">
      <w:pPr>
        <w:pStyle w:val="Zkladntext"/>
        <w:spacing w:before="182"/>
      </w:pPr>
      <w:r>
        <w:t xml:space="preserve">Toho docílíme především volbou kvalitního cílení: zaměřujeme se na rodiny s dětmi, aktivní seniory. </w:t>
      </w:r>
    </w:p>
    <w:p w14:paraId="09C865EB" w14:textId="77777777" w:rsidR="00D53282" w:rsidRDefault="00D53282" w:rsidP="00D53282">
      <w:pPr>
        <w:pStyle w:val="Zkladntext"/>
        <w:spacing w:before="182"/>
      </w:pPr>
      <w:r>
        <w:t>Dále pomocí vyhledávacích kampaní pak budeme získávat návštěvníky, kteří již aktivně plánují dovolenou aktivního rázu.</w:t>
      </w:r>
    </w:p>
    <w:p w14:paraId="67FA9F84" w14:textId="77777777" w:rsidR="00D53282" w:rsidRDefault="00D53282" w:rsidP="00D53282">
      <w:pPr>
        <w:pStyle w:val="Zkladntext"/>
        <w:spacing w:before="182"/>
      </w:pPr>
      <w:r>
        <w:t xml:space="preserve">Geograficky navrhujeme cílit na kraje a regiony, které sousedí se Zlínským krajem, a to jak v </w:t>
      </w:r>
      <w:proofErr w:type="gramStart"/>
      <w:r>
        <w:t>ČR</w:t>
      </w:r>
      <w:proofErr w:type="gramEnd"/>
      <w:r>
        <w:t xml:space="preserve"> tak na Slovensku. Dále také na Zlínský kraj samotný. Zde vnímáme největší potenciál získávat uživatele, kteří následně skutečně Východní Moravu navštíví.</w:t>
      </w:r>
    </w:p>
    <w:p w14:paraId="14C67F2B" w14:textId="77777777" w:rsidR="00D53282" w:rsidRDefault="00D53282" w:rsidP="00D53282">
      <w:pPr>
        <w:pStyle w:val="Zkladntext"/>
        <w:spacing w:before="182"/>
      </w:pPr>
      <w:r>
        <w:t>PPC kampaně strukturujeme tak, abychom doručovali vždy co nejrelevantnější obsah koncovému uživateli.</w:t>
      </w:r>
    </w:p>
    <w:p w14:paraId="1E0963E6" w14:textId="77777777" w:rsidR="00D53282" w:rsidRDefault="00D53282" w:rsidP="00D53282">
      <w:pPr>
        <w:pStyle w:val="Zkladntext"/>
        <w:spacing w:before="182"/>
      </w:pPr>
      <w:r>
        <w:t>V průběhu budeme kampaně reportovat a optimalizovat na základě výsledků a chování návštěvníků na webu pro dosažení co nejlepších výsledků.</w:t>
      </w:r>
    </w:p>
    <w:p w14:paraId="694A28C6" w14:textId="77777777" w:rsidR="00D53282" w:rsidRDefault="00D53282" w:rsidP="00D53282">
      <w:pPr>
        <w:pStyle w:val="Zkladntext"/>
        <w:spacing w:before="182"/>
      </w:pPr>
    </w:p>
    <w:p w14:paraId="5D0B12F0" w14:textId="77777777" w:rsidR="00D53282" w:rsidRDefault="00D53282" w:rsidP="00D53282">
      <w:pPr>
        <w:pStyle w:val="Zkladntext"/>
        <w:spacing w:before="182"/>
      </w:pPr>
      <w:r>
        <w:t>Analytika</w:t>
      </w:r>
    </w:p>
    <w:p w14:paraId="0CE26751" w14:textId="77777777" w:rsidR="00D53282" w:rsidRDefault="00D53282" w:rsidP="00D53282">
      <w:pPr>
        <w:pStyle w:val="Zkladntext"/>
        <w:spacing w:before="182"/>
      </w:pPr>
      <w:r>
        <w:t>Spuštění kampaně bude předcházet kontrola a úprava měření na webu.</w:t>
      </w:r>
    </w:p>
    <w:p w14:paraId="64A25801" w14:textId="77777777" w:rsidR="00D53282" w:rsidRDefault="00D53282" w:rsidP="00D53282">
      <w:pPr>
        <w:pStyle w:val="Zkladntext"/>
        <w:spacing w:before="182"/>
      </w:pPr>
      <w:r>
        <w:t>Vzhledem k častým změnám legislativy došlo v posledních dvou letech k řadě obměn specifikací marketingových a konverzních kódů.</w:t>
      </w:r>
    </w:p>
    <w:p w14:paraId="43170670" w14:textId="77777777" w:rsidR="00D53282" w:rsidRDefault="00D53282" w:rsidP="00D53282">
      <w:pPr>
        <w:pStyle w:val="Zkladntext"/>
        <w:spacing w:before="182"/>
      </w:pPr>
      <w:r>
        <w:t>Upravíme mechanismus schvalování cookies na webu a konverzní kódy tak, aby vyhovovaly národní a evropské legislativě, podmínkám Googlu a zároveň abychom získali co největší množství analytických a marketingových dat.</w:t>
      </w:r>
    </w:p>
    <w:p w14:paraId="655EDBFD" w14:textId="77777777" w:rsidR="00D53282" w:rsidRDefault="00D53282" w:rsidP="00D53282">
      <w:pPr>
        <w:pStyle w:val="Zkladntext"/>
        <w:spacing w:before="182"/>
      </w:pPr>
      <w:r>
        <w:t>To nám umožní optimalizaci kampaní k dosažení dobrých výsledku a také následně jejich prezentaci po skončení projektu.</w:t>
      </w:r>
    </w:p>
    <w:p w14:paraId="032A68EF" w14:textId="77777777" w:rsidR="00D53282" w:rsidRDefault="00D53282" w:rsidP="00D53282">
      <w:pPr>
        <w:pStyle w:val="Zkladntext"/>
        <w:spacing w:before="182"/>
      </w:pPr>
    </w:p>
    <w:p w14:paraId="0D083B25" w14:textId="77777777" w:rsidR="00D53282" w:rsidRDefault="00D53282" w:rsidP="00D53282">
      <w:pPr>
        <w:pStyle w:val="Zkladntext"/>
        <w:spacing w:before="182"/>
      </w:pPr>
      <w:r>
        <w:t>PR články</w:t>
      </w:r>
    </w:p>
    <w:p w14:paraId="0FD1B544" w14:textId="77777777" w:rsidR="00D53282" w:rsidRDefault="00D53282" w:rsidP="00D53282">
      <w:pPr>
        <w:pStyle w:val="Zkladntext"/>
        <w:spacing w:before="182"/>
      </w:pPr>
      <w:r>
        <w:t>Zrealizujeme návrh textace, který si následně s vámi schválíme.</w:t>
      </w:r>
    </w:p>
    <w:p w14:paraId="7B23AC5C" w14:textId="77777777" w:rsidR="00D53282" w:rsidRDefault="00D53282" w:rsidP="00D53282">
      <w:pPr>
        <w:pStyle w:val="Zkladntext"/>
        <w:spacing w:before="182"/>
      </w:pPr>
      <w:r>
        <w:t>V případě potřeby učiníme úpravy na základě zpětné vazby od vás.</w:t>
      </w:r>
    </w:p>
    <w:p w14:paraId="22983EFF" w14:textId="77777777" w:rsidR="00D53282" w:rsidRDefault="00D53282" w:rsidP="00D53282">
      <w:pPr>
        <w:pStyle w:val="Zkladntext"/>
        <w:spacing w:before="182"/>
      </w:pPr>
      <w:r>
        <w:t xml:space="preserve">Provedeme </w:t>
      </w:r>
      <w:proofErr w:type="gramStart"/>
      <w:r>
        <w:t>překlad  do</w:t>
      </w:r>
      <w:proofErr w:type="gramEnd"/>
      <w:r>
        <w:t xml:space="preserve"> slovenštiny.</w:t>
      </w:r>
    </w:p>
    <w:p w14:paraId="45B5785B" w14:textId="77777777" w:rsidR="00D53282" w:rsidRDefault="00D53282" w:rsidP="00D53282">
      <w:pPr>
        <w:pStyle w:val="Zkladntext"/>
        <w:spacing w:before="182"/>
      </w:pPr>
      <w:proofErr w:type="gramStart"/>
      <w:r>
        <w:t>Zajistíme  publikaci</w:t>
      </w:r>
      <w:proofErr w:type="gramEnd"/>
      <w:r>
        <w:t xml:space="preserve"> ve volnočasových sekcích na velkých zpravodajských webech.</w:t>
      </w:r>
    </w:p>
    <w:p w14:paraId="5DD70BFB" w14:textId="77777777" w:rsidR="00D53282" w:rsidRDefault="00D53282" w:rsidP="00D53282">
      <w:pPr>
        <w:pStyle w:val="Zkladntext"/>
        <w:spacing w:before="182"/>
      </w:pPr>
      <w:r>
        <w:t xml:space="preserve">PR články budou rovnoměrně rozděleny dle témat v kampani a zároveň v harmonogramu kampaně. </w:t>
      </w:r>
    </w:p>
    <w:p w14:paraId="1DF37C9E" w14:textId="77777777" w:rsidR="00D53282" w:rsidRDefault="00D53282" w:rsidP="00D53282">
      <w:pPr>
        <w:pStyle w:val="Zkladntext"/>
        <w:spacing w:before="182"/>
      </w:pPr>
    </w:p>
    <w:p w14:paraId="21008A79" w14:textId="77777777" w:rsidR="00D53282" w:rsidRDefault="00D53282" w:rsidP="00D53282">
      <w:pPr>
        <w:pStyle w:val="Zkladntext"/>
        <w:spacing w:before="182"/>
      </w:pPr>
      <w:r>
        <w:t>PR články</w:t>
      </w:r>
    </w:p>
    <w:p w14:paraId="2CCD0BF7" w14:textId="77777777" w:rsidR="00D53282" w:rsidRDefault="00D53282" w:rsidP="00D53282">
      <w:pPr>
        <w:pStyle w:val="Zkladntext"/>
        <w:spacing w:before="182"/>
      </w:pPr>
      <w:r>
        <w:t>Vzhledem k požadavku na minimální počet zobrazení vybíráme takové portály, které v současnosti garanci těchto KPI nabízí:</w:t>
      </w:r>
    </w:p>
    <w:p w14:paraId="5150CB8F" w14:textId="77777777" w:rsidR="00D53282" w:rsidRDefault="00D53282" w:rsidP="00D53282">
      <w:pPr>
        <w:pStyle w:val="Zkladntext"/>
        <w:spacing w:before="182"/>
      </w:pPr>
      <w:r>
        <w:t>Seznam.cz (Super.cz + nativní inzerát): 2 články</w:t>
      </w:r>
    </w:p>
    <w:p w14:paraId="239E1C12" w14:textId="77777777" w:rsidR="00D53282" w:rsidRDefault="00D53282" w:rsidP="00D53282">
      <w:pPr>
        <w:pStyle w:val="Zkladntext"/>
        <w:spacing w:before="182"/>
      </w:pPr>
      <w:r>
        <w:t>Zoznam.sk (Topky.sk - organicky): 2 články</w:t>
      </w:r>
    </w:p>
    <w:p w14:paraId="03A7A055" w14:textId="77777777" w:rsidR="00D53282" w:rsidRDefault="00D53282" w:rsidP="00D53282">
      <w:pPr>
        <w:pStyle w:val="Zkladntext"/>
        <w:spacing w:before="182"/>
      </w:pPr>
      <w:r>
        <w:t>Na Super.cz budou publikovány 2 články a k tomu 2x balíček 500 000 impresí na článek. Cílení je zaměřeno na zájem o cestování. Průměrná frekvence nepřesahuje 4 zobrazení reklamního formátu na uživatele.</w:t>
      </w:r>
    </w:p>
    <w:p w14:paraId="50BE7C6C" w14:textId="77777777" w:rsidR="00D53282" w:rsidRDefault="00D53282" w:rsidP="00D53282">
      <w:pPr>
        <w:pStyle w:val="Zkladntext"/>
        <w:spacing w:before="182"/>
      </w:pPr>
      <w:r>
        <w:t>Na portálu Topky.sk budou publikovány 2 články s organickým zásahem.</w:t>
      </w:r>
    </w:p>
    <w:p w14:paraId="36B82722" w14:textId="77777777" w:rsidR="00D53282" w:rsidRDefault="00D53282" w:rsidP="00D53282">
      <w:pPr>
        <w:pStyle w:val="Zkladntext"/>
        <w:spacing w:before="182"/>
      </w:pPr>
      <w:r>
        <w:t>*V případě, že zadavatel bude preferovat jiné portály, lze z naší strany vyjít vstříc a nabídnout alternativu v podobě jiných umístěních v podobné cenové hladině.</w:t>
      </w:r>
    </w:p>
    <w:p w14:paraId="51C20C68" w14:textId="77777777" w:rsidR="00D53282" w:rsidRDefault="00D53282" w:rsidP="00D53282">
      <w:pPr>
        <w:pStyle w:val="Zkladntext"/>
        <w:spacing w:before="182"/>
      </w:pPr>
    </w:p>
    <w:p w14:paraId="1C62CF72" w14:textId="77777777" w:rsidR="00D53282" w:rsidRDefault="00D53282" w:rsidP="00D53282">
      <w:pPr>
        <w:pStyle w:val="Zkladntext"/>
        <w:spacing w:before="182"/>
      </w:pPr>
      <w:r>
        <w:t>Příspěvky na sociálních sítích</w:t>
      </w:r>
    </w:p>
    <w:p w14:paraId="15BCFDD7" w14:textId="77777777" w:rsidR="00D53282" w:rsidRDefault="00D53282" w:rsidP="00D53282">
      <w:pPr>
        <w:pStyle w:val="Zkladntext"/>
        <w:spacing w:before="182"/>
      </w:pPr>
      <w:r>
        <w:t>V rámci návrhu zajistíme text a grafiku příspěvků na sociálních sítích dle požadavků.</w:t>
      </w:r>
    </w:p>
    <w:p w14:paraId="0E62E824" w14:textId="72393029" w:rsidR="00D53282" w:rsidRDefault="00D53282" w:rsidP="00D53282">
      <w:pPr>
        <w:pStyle w:val="Zkladntext"/>
        <w:spacing w:before="182"/>
      </w:pPr>
      <w:r>
        <w:t>Následně posíláme náhledy ke schválení. Pokud bude potřeba, provedeme úpravy na základě zpětné vazby.</w:t>
      </w:r>
    </w:p>
    <w:p w14:paraId="0370680D" w14:textId="77777777" w:rsidR="00D53282" w:rsidRDefault="00D53282" w:rsidP="00D53282">
      <w:pPr>
        <w:pStyle w:val="Zkladntext"/>
        <w:spacing w:before="182"/>
      </w:pPr>
      <w:r>
        <w:t>Obsahové rozložení bude plně odpovídat zadávací dokumentaci projektu.</w:t>
      </w:r>
    </w:p>
    <w:p w14:paraId="0A546C54" w14:textId="77777777" w:rsidR="00D53282" w:rsidRDefault="00D53282" w:rsidP="00D53282">
      <w:pPr>
        <w:pStyle w:val="Zkladntext"/>
        <w:spacing w:before="182"/>
      </w:pPr>
      <w:r>
        <w:t>Ke každému příspěvku vytváříme automaticky i stories.</w:t>
      </w:r>
    </w:p>
    <w:p w14:paraId="63CC8F6E" w14:textId="77777777" w:rsidR="00D53282" w:rsidRDefault="00D53282" w:rsidP="00D53282">
      <w:pPr>
        <w:pStyle w:val="Zkladntext"/>
        <w:spacing w:before="182"/>
      </w:pPr>
      <w:r>
        <w:t>Navrhujeme udělat celkem 16 postů. S rozdělením 8 (2 pro každou oblast) + 8 zaměřených na Baťův region.</w:t>
      </w:r>
    </w:p>
    <w:p w14:paraId="39A762A7" w14:textId="77777777" w:rsidR="00D53282" w:rsidRDefault="00D53282" w:rsidP="00D53282">
      <w:pPr>
        <w:pStyle w:val="Zkladntext"/>
        <w:spacing w:before="182"/>
      </w:pPr>
      <w:r>
        <w:t>Při dvouměsíční kampani počítáme tedy s publikací 2 postů týdně, což je za nás optimální frekvence.</w:t>
      </w:r>
    </w:p>
    <w:p w14:paraId="65806586" w14:textId="77777777" w:rsidR="00D53282" w:rsidRDefault="00D53282" w:rsidP="00D53282">
      <w:pPr>
        <w:pStyle w:val="Zkladntext"/>
        <w:spacing w:before="182"/>
      </w:pPr>
      <w:r w:rsidRPr="0018480A">
        <w:rPr>
          <w:noProof/>
        </w:rPr>
        <w:drawing>
          <wp:inline distT="0" distB="0" distL="0" distR="0" wp14:anchorId="21BA1848" wp14:editId="3355700D">
            <wp:extent cx="5850328" cy="1684020"/>
            <wp:effectExtent l="0" t="0" r="0" b="0"/>
            <wp:docPr id="1480169084" name="Obrázek 1" descr="Obsah obrázku text, snímek obrazovky, řada/p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69084" name="Obrázek 1" descr="Obsah obrázku text, snímek obrazovky, řada/pruh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55" cy="168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C31D" w14:textId="77777777" w:rsidR="00D53282" w:rsidRDefault="00D53282" w:rsidP="00D53282">
      <w:pPr>
        <w:pStyle w:val="Zkladntext"/>
        <w:spacing w:before="182"/>
      </w:pPr>
      <w:r>
        <w:t>PPC kampaně na Google Ads a Sklik</w:t>
      </w:r>
    </w:p>
    <w:p w14:paraId="3620E58F" w14:textId="77777777" w:rsidR="00D53282" w:rsidRDefault="00D53282" w:rsidP="00D53282">
      <w:pPr>
        <w:pStyle w:val="Zkladntext"/>
        <w:spacing w:before="182"/>
      </w:pPr>
      <w:r>
        <w:t>Vyhledávací kampaň:</w:t>
      </w:r>
    </w:p>
    <w:p w14:paraId="2713775E" w14:textId="77777777" w:rsidR="00D53282" w:rsidRDefault="00D53282" w:rsidP="00D53282">
      <w:pPr>
        <w:pStyle w:val="Zkladntext"/>
        <w:spacing w:before="182"/>
      </w:pPr>
      <w:r>
        <w:t>Na základě dodaných analýz klíčových slov, budou vystavěny vyhledávací kampaně. Ty budou strukturovaný tak, aby bylo možné oddělit jednotlivá témata i regiony, a to jak v rámci reportingu výsledků, tak i reklamním sdělením.</w:t>
      </w:r>
    </w:p>
    <w:p w14:paraId="30D71183" w14:textId="77777777" w:rsidR="00D53282" w:rsidRDefault="00D53282" w:rsidP="00D53282">
      <w:pPr>
        <w:pStyle w:val="Zkladntext"/>
        <w:spacing w:before="182"/>
      </w:pPr>
      <w:r>
        <w:t>Obsahová kampaň:</w:t>
      </w:r>
    </w:p>
    <w:p w14:paraId="45C7A98E" w14:textId="77777777" w:rsidR="00D53282" w:rsidRDefault="00D53282" w:rsidP="00D53282">
      <w:pPr>
        <w:pStyle w:val="Zkladntext"/>
        <w:spacing w:before="182"/>
      </w:pPr>
      <w:r>
        <w:t xml:space="preserve">Bude vytvořeno celkem 5 sad bannerů, jeden pro každý z regionů a jeden pro produkt “Baťův region”. Samozřejmě projdou schvalovacím procesem klienta, případně úpravami, </w:t>
      </w:r>
      <w:proofErr w:type="gramStart"/>
      <w:r>
        <w:t>bude li</w:t>
      </w:r>
      <w:proofErr w:type="gramEnd"/>
      <w:r>
        <w:t xml:space="preserve"> to potřeba. </w:t>
      </w:r>
    </w:p>
    <w:p w14:paraId="17C073B2" w14:textId="77777777" w:rsidR="00D53282" w:rsidRDefault="00D53282" w:rsidP="00D53282">
      <w:pPr>
        <w:pStyle w:val="Zkladntext"/>
        <w:spacing w:before="182"/>
      </w:pPr>
      <w:r>
        <w:t>Bannerovou kampaň cílíme geograficky na vybrané oblastí zmíněné v úvodu a behaviorálně na rodiny s dětmi a lidi se zájmem o cestovaní a aktivní turistiku.</w:t>
      </w:r>
    </w:p>
    <w:p w14:paraId="6B361246" w14:textId="77777777" w:rsidR="00D53282" w:rsidRDefault="00D53282" w:rsidP="00D53282">
      <w:pPr>
        <w:pStyle w:val="Zkladntext"/>
        <w:spacing w:before="182"/>
      </w:pPr>
      <w:r>
        <w:t>Mediální mix a náklady</w:t>
      </w:r>
    </w:p>
    <w:p w14:paraId="1467F893" w14:textId="77777777" w:rsidR="00D53282" w:rsidRDefault="00D53282" w:rsidP="00D53282">
      <w:pPr>
        <w:pStyle w:val="Zkladntext"/>
        <w:spacing w:before="182"/>
      </w:pPr>
      <w:r w:rsidRPr="0018480A">
        <w:rPr>
          <w:noProof/>
        </w:rPr>
        <w:drawing>
          <wp:inline distT="0" distB="0" distL="0" distR="0" wp14:anchorId="38635EC1" wp14:editId="24666008">
            <wp:extent cx="5821680" cy="2181624"/>
            <wp:effectExtent l="0" t="0" r="7620" b="9525"/>
            <wp:docPr id="41326276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6276" name="Obrázek 1" descr="Obsah obrázku text, snímek obrazovky, číslo, Písm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5680" cy="219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7DDAA" w14:textId="77777777" w:rsidR="00D53282" w:rsidRDefault="00D53282" w:rsidP="00D53282">
      <w:pPr>
        <w:pStyle w:val="Zkladntext"/>
        <w:spacing w:before="182"/>
      </w:pPr>
      <w:r>
        <w:t>Produkční náklady</w:t>
      </w:r>
    </w:p>
    <w:p w14:paraId="6FBFC0C9" w14:textId="77777777" w:rsidR="00D53282" w:rsidRDefault="00D53282" w:rsidP="00D53282">
      <w:pPr>
        <w:pStyle w:val="Zkladntext"/>
        <w:spacing w:before="182"/>
      </w:pPr>
      <w:r w:rsidRPr="0018480A">
        <w:rPr>
          <w:noProof/>
        </w:rPr>
        <w:drawing>
          <wp:inline distT="0" distB="0" distL="0" distR="0" wp14:anchorId="6F9C919B" wp14:editId="18770EEC">
            <wp:extent cx="5823677" cy="2689860"/>
            <wp:effectExtent l="0" t="0" r="5715" b="0"/>
            <wp:docPr id="1044256508" name="Obrázek 1" descr="Obsah obrázku text, snímek obrazovky, software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56508" name="Obrázek 1" descr="Obsah obrázku text, snímek obrazovky, software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2238" cy="269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3379F" w14:textId="77777777" w:rsidR="00AE69B3" w:rsidRDefault="00AE69B3" w:rsidP="00D53282">
      <w:pPr>
        <w:pStyle w:val="Zkladntext"/>
        <w:spacing w:before="182"/>
      </w:pPr>
    </w:p>
    <w:p w14:paraId="6E9BB1AF" w14:textId="77777777" w:rsidR="00AE69B3" w:rsidRDefault="00AE69B3" w:rsidP="00D53282">
      <w:pPr>
        <w:pStyle w:val="Zkladntext"/>
        <w:spacing w:before="182"/>
      </w:pPr>
    </w:p>
    <w:p w14:paraId="2A53CCF1" w14:textId="6E19CB5D" w:rsidR="00D53282" w:rsidRDefault="00D53282" w:rsidP="00D53282">
      <w:pPr>
        <w:pStyle w:val="Zkladntext"/>
        <w:spacing w:before="182"/>
      </w:pPr>
      <w:r>
        <w:t>Rozpočet kampaně</w:t>
      </w:r>
    </w:p>
    <w:p w14:paraId="6BE9FF02" w14:textId="77777777" w:rsidR="00D53282" w:rsidRDefault="00D53282" w:rsidP="00D53282">
      <w:pPr>
        <w:pStyle w:val="Zkladntext"/>
        <w:spacing w:before="182"/>
      </w:pPr>
      <w:r w:rsidRPr="0018480A">
        <w:rPr>
          <w:noProof/>
        </w:rPr>
        <w:drawing>
          <wp:inline distT="0" distB="0" distL="0" distR="0" wp14:anchorId="3D22FDE5" wp14:editId="6873ECFB">
            <wp:extent cx="5811520" cy="792480"/>
            <wp:effectExtent l="0" t="0" r="0" b="7620"/>
            <wp:docPr id="76655969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5969" name="Obrázek 1" descr="Obsah obrázku text, snímek obrazovky, Písmo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1581" cy="79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9CF05" w14:textId="77777777" w:rsidR="00397097" w:rsidRDefault="00397097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66262AC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084317B6" w14:textId="47EE0A9D" w:rsidR="00D91222" w:rsidRPr="00746B42" w:rsidRDefault="00D91222" w:rsidP="00D9122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</w:rPr>
        <w:t xml:space="preserve">příloha č. </w:t>
      </w:r>
      <w:r>
        <w:rPr>
          <w:rFonts w:asciiTheme="minorHAnsi" w:hAnsiTheme="minorHAnsi" w:cstheme="minorHAnsi"/>
        </w:rPr>
        <w:t>2</w:t>
      </w:r>
      <w:r w:rsidRPr="00F868DD">
        <w:rPr>
          <w:rFonts w:asciiTheme="minorHAnsi" w:hAnsiTheme="minorHAnsi" w:cstheme="minorHAnsi"/>
        </w:rPr>
        <w:t xml:space="preserve"> smlouvy – </w:t>
      </w:r>
      <w:r>
        <w:rPr>
          <w:rFonts w:asciiTheme="minorHAnsi" w:hAnsiTheme="minorHAnsi" w:cstheme="minorHAnsi"/>
        </w:rPr>
        <w:t>Cena díla</w:t>
      </w:r>
    </w:p>
    <w:p w14:paraId="02B6D6BB" w14:textId="77777777" w:rsidR="00D91222" w:rsidRPr="00F868DD" w:rsidRDefault="00D9122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F14D0" w:rsidRPr="00CF14D0" w14:paraId="437476CA" w14:textId="77777777" w:rsidTr="003E3308">
        <w:tc>
          <w:tcPr>
            <w:tcW w:w="4534" w:type="dxa"/>
          </w:tcPr>
          <w:p w14:paraId="44B677F4" w14:textId="77777777" w:rsidR="00CF14D0" w:rsidRPr="00CF14D0" w:rsidRDefault="00CF14D0" w:rsidP="00F17A8F">
            <w:pPr>
              <w:pStyle w:val="Nadpis"/>
              <w:spacing w:after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14D0">
              <w:rPr>
                <w:rFonts w:ascii="Calibri" w:hAnsi="Calibri" w:cs="Calibri"/>
                <w:bCs/>
                <w:sz w:val="22"/>
                <w:szCs w:val="22"/>
              </w:rPr>
              <w:t>Aktivita</w:t>
            </w:r>
          </w:p>
        </w:tc>
        <w:tc>
          <w:tcPr>
            <w:tcW w:w="4528" w:type="dxa"/>
          </w:tcPr>
          <w:p w14:paraId="2724A256" w14:textId="77777777" w:rsidR="00CF14D0" w:rsidRPr="00CF14D0" w:rsidRDefault="00CF14D0" w:rsidP="00F17A8F">
            <w:pPr>
              <w:pStyle w:val="Nadpis"/>
              <w:spacing w:after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14D0">
              <w:rPr>
                <w:rFonts w:ascii="Calibri" w:hAnsi="Calibri" w:cs="Calibri"/>
                <w:bCs/>
                <w:sz w:val="22"/>
                <w:szCs w:val="22"/>
              </w:rPr>
              <w:t>Dílčí částka vč. DPH</w:t>
            </w:r>
          </w:p>
        </w:tc>
      </w:tr>
      <w:tr w:rsidR="006D2222" w:rsidRPr="006D2222" w14:paraId="32508F9E" w14:textId="77777777" w:rsidTr="006D2222">
        <w:tc>
          <w:tcPr>
            <w:tcW w:w="4534" w:type="dxa"/>
          </w:tcPr>
          <w:p w14:paraId="65FDEA0A" w14:textId="19738725" w:rsidR="006D2222" w:rsidRPr="00CF14D0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800E6">
              <w:rPr>
                <w:rFonts w:ascii="Calibri" w:hAnsi="Calibri" w:cs="Calibri"/>
                <w:b w:val="0"/>
                <w:sz w:val="22"/>
                <w:szCs w:val="22"/>
              </w:rPr>
              <w:t>Zajištění PR článků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– média část</w:t>
            </w:r>
          </w:p>
        </w:tc>
        <w:tc>
          <w:tcPr>
            <w:tcW w:w="4528" w:type="dxa"/>
            <w:shd w:val="clear" w:color="auto" w:fill="auto"/>
          </w:tcPr>
          <w:p w14:paraId="5908667C" w14:textId="1B45697A" w:rsidR="006D2222" w:rsidRPr="006D2222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D2222">
              <w:rPr>
                <w:rFonts w:ascii="Calibri" w:hAnsi="Calibri" w:cs="Calibri"/>
                <w:b w:val="0"/>
                <w:sz w:val="22"/>
                <w:szCs w:val="22"/>
              </w:rPr>
              <w:t>278 000 Kč</w:t>
            </w:r>
          </w:p>
        </w:tc>
      </w:tr>
      <w:tr w:rsidR="006D2222" w:rsidRPr="006D2222" w14:paraId="7EF056B9" w14:textId="77777777" w:rsidTr="006D2222">
        <w:tc>
          <w:tcPr>
            <w:tcW w:w="4534" w:type="dxa"/>
          </w:tcPr>
          <w:p w14:paraId="57A281CE" w14:textId="25DD489D" w:rsidR="006D2222" w:rsidRPr="00CF14D0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800E6">
              <w:rPr>
                <w:rFonts w:ascii="Calibri" w:hAnsi="Calibri" w:cs="Calibri"/>
                <w:b w:val="0"/>
                <w:sz w:val="22"/>
                <w:szCs w:val="22"/>
              </w:rPr>
              <w:t>Správa kampaně na sociálních sítích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– média část</w:t>
            </w:r>
          </w:p>
        </w:tc>
        <w:tc>
          <w:tcPr>
            <w:tcW w:w="4528" w:type="dxa"/>
            <w:shd w:val="clear" w:color="auto" w:fill="auto"/>
          </w:tcPr>
          <w:p w14:paraId="105A9AC6" w14:textId="50EC3C12" w:rsidR="006D2222" w:rsidRPr="006D2222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D2222">
              <w:rPr>
                <w:rFonts w:ascii="Calibri" w:hAnsi="Calibri" w:cs="Calibri"/>
                <w:b w:val="0"/>
                <w:sz w:val="22"/>
                <w:szCs w:val="22"/>
              </w:rPr>
              <w:t>10 000 Kč</w:t>
            </w:r>
          </w:p>
        </w:tc>
      </w:tr>
      <w:tr w:rsidR="006D2222" w:rsidRPr="006D2222" w14:paraId="735D30E5" w14:textId="77777777" w:rsidTr="006D2222">
        <w:tc>
          <w:tcPr>
            <w:tcW w:w="4534" w:type="dxa"/>
          </w:tcPr>
          <w:p w14:paraId="653BEB45" w14:textId="2B887B58" w:rsidR="006D2222" w:rsidRPr="00CF14D0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800E6">
              <w:rPr>
                <w:rFonts w:ascii="Calibri" w:hAnsi="Calibri" w:cs="Calibri"/>
                <w:b w:val="0"/>
                <w:sz w:val="22"/>
                <w:szCs w:val="22"/>
              </w:rPr>
              <w:t>PPC kampaň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– média část</w:t>
            </w:r>
          </w:p>
        </w:tc>
        <w:tc>
          <w:tcPr>
            <w:tcW w:w="4528" w:type="dxa"/>
            <w:shd w:val="clear" w:color="auto" w:fill="auto"/>
          </w:tcPr>
          <w:p w14:paraId="46BD9DD8" w14:textId="11C954B6" w:rsidR="006D2222" w:rsidRPr="006D2222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D2222">
              <w:rPr>
                <w:rFonts w:ascii="Calibri" w:hAnsi="Calibri" w:cs="Calibri"/>
                <w:b w:val="0"/>
                <w:sz w:val="22"/>
                <w:szCs w:val="22"/>
              </w:rPr>
              <w:t>155 000 Kč</w:t>
            </w:r>
          </w:p>
        </w:tc>
      </w:tr>
      <w:tr w:rsidR="006D2222" w:rsidRPr="006D2222" w14:paraId="019F1F3E" w14:textId="77777777" w:rsidTr="006D2222">
        <w:tc>
          <w:tcPr>
            <w:tcW w:w="4534" w:type="dxa"/>
          </w:tcPr>
          <w:p w14:paraId="379113EA" w14:textId="2DF0B284" w:rsidR="006D2222" w:rsidRPr="00CF14D0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Produkční část za všechny aktivity</w:t>
            </w:r>
          </w:p>
        </w:tc>
        <w:tc>
          <w:tcPr>
            <w:tcW w:w="4528" w:type="dxa"/>
            <w:shd w:val="clear" w:color="auto" w:fill="auto"/>
          </w:tcPr>
          <w:p w14:paraId="53B5D452" w14:textId="73C3793F" w:rsidR="006D2222" w:rsidRPr="006D2222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D2222">
              <w:rPr>
                <w:rFonts w:ascii="Calibri" w:hAnsi="Calibri" w:cs="Calibri"/>
                <w:b w:val="0"/>
                <w:sz w:val="22"/>
                <w:szCs w:val="22"/>
              </w:rPr>
              <w:t>140 000 Kč</w:t>
            </w:r>
          </w:p>
        </w:tc>
      </w:tr>
      <w:tr w:rsidR="006D2222" w:rsidRPr="006D2222" w14:paraId="52EA0E81" w14:textId="77777777" w:rsidTr="006D2222">
        <w:tc>
          <w:tcPr>
            <w:tcW w:w="4534" w:type="dxa"/>
          </w:tcPr>
          <w:p w14:paraId="50CB9546" w14:textId="77777777" w:rsidR="006D2222" w:rsidRPr="006D2222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D2222">
              <w:rPr>
                <w:rFonts w:ascii="Calibri" w:hAnsi="Calibri" w:cs="Calibri"/>
                <w:b w:val="0"/>
                <w:sz w:val="22"/>
                <w:szCs w:val="22"/>
              </w:rPr>
              <w:t>Celkem</w:t>
            </w:r>
          </w:p>
        </w:tc>
        <w:tc>
          <w:tcPr>
            <w:tcW w:w="4528" w:type="dxa"/>
            <w:shd w:val="clear" w:color="auto" w:fill="auto"/>
          </w:tcPr>
          <w:p w14:paraId="2D2A82D6" w14:textId="2D0F4965" w:rsidR="006D2222" w:rsidRPr="006D2222" w:rsidRDefault="006D2222" w:rsidP="006D2222">
            <w:pPr>
              <w:pStyle w:val="Nadpis"/>
              <w:spacing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D2222">
              <w:rPr>
                <w:rFonts w:ascii="Calibri" w:hAnsi="Calibri" w:cs="Calibri"/>
                <w:b w:val="0"/>
                <w:sz w:val="22"/>
                <w:szCs w:val="22"/>
              </w:rPr>
              <w:t>583 000 Kč</w:t>
            </w:r>
          </w:p>
        </w:tc>
      </w:tr>
    </w:tbl>
    <w:p w14:paraId="79E5D948" w14:textId="77777777" w:rsidR="00746B42" w:rsidRPr="006D2222" w:rsidRDefault="00746B42" w:rsidP="0027327A">
      <w:pPr>
        <w:pStyle w:val="odrkyChar"/>
        <w:spacing w:before="0" w:after="0"/>
        <w:rPr>
          <w:rFonts w:ascii="Calibri" w:hAnsi="Calibri" w:cs="Calibri"/>
        </w:rPr>
      </w:pPr>
    </w:p>
    <w:p w14:paraId="46E62F80" w14:textId="77777777" w:rsidR="00746B42" w:rsidRDefault="00746B4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746B42" w:rsidSect="00A264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95553" w14:textId="77777777" w:rsidR="00AA1AE0" w:rsidRDefault="00AA1AE0">
      <w:r>
        <w:separator/>
      </w:r>
    </w:p>
  </w:endnote>
  <w:endnote w:type="continuationSeparator" w:id="0">
    <w:p w14:paraId="1A608C80" w14:textId="77777777" w:rsidR="00AA1AE0" w:rsidRDefault="00AA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BAF6" w14:textId="3A5130B8" w:rsidR="00506D27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B32">
      <w:rPr>
        <w:noProof/>
      </w:rPr>
      <w:t>6</w:t>
    </w:r>
    <w:r>
      <w:fldChar w:fldCharType="end"/>
    </w:r>
  </w:p>
  <w:p w14:paraId="27813B7F" w14:textId="77777777" w:rsidR="00506D27" w:rsidRDefault="00506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CDB1" w14:textId="77777777" w:rsidR="00AA1AE0" w:rsidRDefault="00AA1AE0">
      <w:r>
        <w:separator/>
      </w:r>
    </w:p>
  </w:footnote>
  <w:footnote w:type="continuationSeparator" w:id="0">
    <w:p w14:paraId="52D76A03" w14:textId="77777777" w:rsidR="00AA1AE0" w:rsidRDefault="00AA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6BDE" w14:textId="783E7F50" w:rsidR="0062578E" w:rsidRDefault="0062578E" w:rsidP="0062578E">
    <w:pPr>
      <w:pStyle w:val="Zhlav"/>
    </w:pPr>
    <w:bookmarkStart w:id="1" w:name="_Hlk103023145"/>
    <w:r>
      <w:rPr>
        <w:noProof/>
      </w:rPr>
      <w:drawing>
        <wp:inline distT="0" distB="0" distL="0" distR="0" wp14:anchorId="7ECB09AB" wp14:editId="4176739F">
          <wp:extent cx="1158240" cy="693420"/>
          <wp:effectExtent l="0" t="0" r="3810" b="0"/>
          <wp:docPr id="361650512" name="Obrázek 3" descr="Obsah obrázku text, Grafi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50512" name="Obrázek 3" descr="Obsah obrázku text, Grafika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4E3ED0CB" wp14:editId="209B65EC">
          <wp:extent cx="1554480" cy="617220"/>
          <wp:effectExtent l="0" t="0" r="7620" b="0"/>
          <wp:docPr id="487203983" name="Obrázek 2" descr="Aktuality (archiv) - Strana 50 z 60 - Regionální stálá konference  Pardub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ktuality (archiv) - Strana 50 z 60 - Regionální stálá konference  Pardub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Pr="0051177D">
      <w:rPr>
        <w:noProof/>
      </w:rPr>
      <w:drawing>
        <wp:inline distT="0" distB="0" distL="0" distR="0" wp14:anchorId="5ADCD655" wp14:editId="6D022AC8">
          <wp:extent cx="1714500" cy="693420"/>
          <wp:effectExtent l="0" t="0" r="0" b="0"/>
          <wp:docPr id="88886193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861934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50BEEA4" w14:textId="77777777" w:rsidR="00497F7B" w:rsidRPr="00497F7B" w:rsidRDefault="00497F7B" w:rsidP="00497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7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5262">
    <w:abstractNumId w:val="9"/>
  </w:num>
  <w:num w:numId="3" w16cid:durableId="1744066979">
    <w:abstractNumId w:val="18"/>
  </w:num>
  <w:num w:numId="4" w16cid:durableId="2010254164">
    <w:abstractNumId w:val="6"/>
  </w:num>
  <w:num w:numId="5" w16cid:durableId="2087651286">
    <w:abstractNumId w:val="10"/>
  </w:num>
  <w:num w:numId="6" w16cid:durableId="936210686">
    <w:abstractNumId w:val="11"/>
  </w:num>
  <w:num w:numId="7" w16cid:durableId="2059738132">
    <w:abstractNumId w:val="17"/>
  </w:num>
  <w:num w:numId="8" w16cid:durableId="1728071167">
    <w:abstractNumId w:val="8"/>
  </w:num>
  <w:num w:numId="9" w16cid:durableId="1045789389">
    <w:abstractNumId w:val="5"/>
  </w:num>
  <w:num w:numId="10" w16cid:durableId="1428961051">
    <w:abstractNumId w:val="19"/>
  </w:num>
  <w:num w:numId="11" w16cid:durableId="98397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776528">
    <w:abstractNumId w:val="2"/>
  </w:num>
  <w:num w:numId="13" w16cid:durableId="1500073113">
    <w:abstractNumId w:val="7"/>
  </w:num>
  <w:num w:numId="14" w16cid:durableId="1738747530">
    <w:abstractNumId w:val="0"/>
  </w:num>
  <w:num w:numId="15" w16cid:durableId="1199584009">
    <w:abstractNumId w:val="2"/>
  </w:num>
  <w:num w:numId="16" w16cid:durableId="666130168">
    <w:abstractNumId w:val="15"/>
  </w:num>
  <w:num w:numId="17" w16cid:durableId="1388458239">
    <w:abstractNumId w:val="13"/>
  </w:num>
  <w:num w:numId="18" w16cid:durableId="648171507">
    <w:abstractNumId w:val="12"/>
  </w:num>
  <w:num w:numId="19" w16cid:durableId="9796951">
    <w:abstractNumId w:val="3"/>
  </w:num>
  <w:num w:numId="20" w16cid:durableId="172576374">
    <w:abstractNumId w:val="14"/>
  </w:num>
  <w:num w:numId="21" w16cid:durableId="687676745">
    <w:abstractNumId w:val="4"/>
  </w:num>
  <w:num w:numId="22" w16cid:durableId="350452014">
    <w:abstractNumId w:val="16"/>
  </w:num>
  <w:num w:numId="23" w16cid:durableId="144861952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07978"/>
    <w:rsid w:val="00007F5F"/>
    <w:rsid w:val="00024B47"/>
    <w:rsid w:val="00060986"/>
    <w:rsid w:val="00063872"/>
    <w:rsid w:val="00084E86"/>
    <w:rsid w:val="0008610C"/>
    <w:rsid w:val="000A7357"/>
    <w:rsid w:val="000E7453"/>
    <w:rsid w:val="00102AED"/>
    <w:rsid w:val="0011321E"/>
    <w:rsid w:val="001320F7"/>
    <w:rsid w:val="0013441C"/>
    <w:rsid w:val="0014127F"/>
    <w:rsid w:val="00155B0F"/>
    <w:rsid w:val="00165AB8"/>
    <w:rsid w:val="00182A08"/>
    <w:rsid w:val="001926B0"/>
    <w:rsid w:val="001A0A6D"/>
    <w:rsid w:val="001B3B27"/>
    <w:rsid w:val="001B5E6C"/>
    <w:rsid w:val="001C7FAA"/>
    <w:rsid w:val="001E3976"/>
    <w:rsid w:val="00234D97"/>
    <w:rsid w:val="0027327A"/>
    <w:rsid w:val="0027683D"/>
    <w:rsid w:val="00297014"/>
    <w:rsid w:val="002D3881"/>
    <w:rsid w:val="002D5361"/>
    <w:rsid w:val="002E5C8A"/>
    <w:rsid w:val="002F1361"/>
    <w:rsid w:val="002F526E"/>
    <w:rsid w:val="0030121C"/>
    <w:rsid w:val="003152A4"/>
    <w:rsid w:val="00346240"/>
    <w:rsid w:val="00356DCE"/>
    <w:rsid w:val="00391E4F"/>
    <w:rsid w:val="003938A1"/>
    <w:rsid w:val="00397097"/>
    <w:rsid w:val="00397EA5"/>
    <w:rsid w:val="003B600C"/>
    <w:rsid w:val="003E0F2A"/>
    <w:rsid w:val="003E0FC4"/>
    <w:rsid w:val="003E3308"/>
    <w:rsid w:val="003F0ECA"/>
    <w:rsid w:val="00415E74"/>
    <w:rsid w:val="004178FB"/>
    <w:rsid w:val="0042730B"/>
    <w:rsid w:val="004359D5"/>
    <w:rsid w:val="00444BA1"/>
    <w:rsid w:val="004452B8"/>
    <w:rsid w:val="00477F7E"/>
    <w:rsid w:val="00497F7B"/>
    <w:rsid w:val="004B5C9F"/>
    <w:rsid w:val="004C1120"/>
    <w:rsid w:val="004D3C6E"/>
    <w:rsid w:val="004E3F7E"/>
    <w:rsid w:val="004F1DDA"/>
    <w:rsid w:val="00500C4B"/>
    <w:rsid w:val="00506D27"/>
    <w:rsid w:val="00517FC3"/>
    <w:rsid w:val="005439FE"/>
    <w:rsid w:val="00553E12"/>
    <w:rsid w:val="00563A72"/>
    <w:rsid w:val="0056413B"/>
    <w:rsid w:val="00570B1F"/>
    <w:rsid w:val="005866FD"/>
    <w:rsid w:val="005C036C"/>
    <w:rsid w:val="005C4F62"/>
    <w:rsid w:val="005D273B"/>
    <w:rsid w:val="005E79E4"/>
    <w:rsid w:val="005F2B60"/>
    <w:rsid w:val="00616FF3"/>
    <w:rsid w:val="0062578E"/>
    <w:rsid w:val="00632AC9"/>
    <w:rsid w:val="006335FE"/>
    <w:rsid w:val="00645272"/>
    <w:rsid w:val="006563E8"/>
    <w:rsid w:val="006603B8"/>
    <w:rsid w:val="006630CC"/>
    <w:rsid w:val="00673DA6"/>
    <w:rsid w:val="006856B2"/>
    <w:rsid w:val="006957EA"/>
    <w:rsid w:val="006A2A6D"/>
    <w:rsid w:val="006A7209"/>
    <w:rsid w:val="006D2222"/>
    <w:rsid w:val="006D3B10"/>
    <w:rsid w:val="006E7882"/>
    <w:rsid w:val="0073088A"/>
    <w:rsid w:val="00746B42"/>
    <w:rsid w:val="00777395"/>
    <w:rsid w:val="00783CB6"/>
    <w:rsid w:val="007C73E2"/>
    <w:rsid w:val="007D60EE"/>
    <w:rsid w:val="007F534D"/>
    <w:rsid w:val="00821A11"/>
    <w:rsid w:val="00856F33"/>
    <w:rsid w:val="008633E7"/>
    <w:rsid w:val="00872F3A"/>
    <w:rsid w:val="008770F9"/>
    <w:rsid w:val="00885705"/>
    <w:rsid w:val="008F2C94"/>
    <w:rsid w:val="008F69DA"/>
    <w:rsid w:val="008F74F3"/>
    <w:rsid w:val="00913989"/>
    <w:rsid w:val="00935215"/>
    <w:rsid w:val="00945686"/>
    <w:rsid w:val="00957FEF"/>
    <w:rsid w:val="0096723C"/>
    <w:rsid w:val="0097101C"/>
    <w:rsid w:val="00977ADC"/>
    <w:rsid w:val="00982224"/>
    <w:rsid w:val="0098578D"/>
    <w:rsid w:val="0099720F"/>
    <w:rsid w:val="009B3C53"/>
    <w:rsid w:val="009C3BD6"/>
    <w:rsid w:val="009D5BB8"/>
    <w:rsid w:val="00A26424"/>
    <w:rsid w:val="00A43085"/>
    <w:rsid w:val="00A449C8"/>
    <w:rsid w:val="00A44C0F"/>
    <w:rsid w:val="00A643D3"/>
    <w:rsid w:val="00A679E1"/>
    <w:rsid w:val="00A75CDB"/>
    <w:rsid w:val="00AA1AE0"/>
    <w:rsid w:val="00AE69B3"/>
    <w:rsid w:val="00AF5073"/>
    <w:rsid w:val="00B22915"/>
    <w:rsid w:val="00B3139D"/>
    <w:rsid w:val="00B34C1B"/>
    <w:rsid w:val="00B35461"/>
    <w:rsid w:val="00B40250"/>
    <w:rsid w:val="00B41F61"/>
    <w:rsid w:val="00B43DF2"/>
    <w:rsid w:val="00B5278E"/>
    <w:rsid w:val="00B60926"/>
    <w:rsid w:val="00B73B32"/>
    <w:rsid w:val="00B80DB5"/>
    <w:rsid w:val="00BB423B"/>
    <w:rsid w:val="00BB4CE5"/>
    <w:rsid w:val="00BD7E6F"/>
    <w:rsid w:val="00BF60F8"/>
    <w:rsid w:val="00BF6D55"/>
    <w:rsid w:val="00C03B72"/>
    <w:rsid w:val="00C16117"/>
    <w:rsid w:val="00C26A69"/>
    <w:rsid w:val="00C36330"/>
    <w:rsid w:val="00C7695A"/>
    <w:rsid w:val="00C821DB"/>
    <w:rsid w:val="00C909C0"/>
    <w:rsid w:val="00C97BB8"/>
    <w:rsid w:val="00CC3F47"/>
    <w:rsid w:val="00CE05BE"/>
    <w:rsid w:val="00CE472A"/>
    <w:rsid w:val="00CF14D0"/>
    <w:rsid w:val="00D00608"/>
    <w:rsid w:val="00D02859"/>
    <w:rsid w:val="00D367A9"/>
    <w:rsid w:val="00D3797E"/>
    <w:rsid w:val="00D53282"/>
    <w:rsid w:val="00D67547"/>
    <w:rsid w:val="00D871BF"/>
    <w:rsid w:val="00D91222"/>
    <w:rsid w:val="00DA6812"/>
    <w:rsid w:val="00DD017D"/>
    <w:rsid w:val="00DD3C76"/>
    <w:rsid w:val="00DE4029"/>
    <w:rsid w:val="00E00679"/>
    <w:rsid w:val="00E045E5"/>
    <w:rsid w:val="00E13B72"/>
    <w:rsid w:val="00E20C17"/>
    <w:rsid w:val="00E24195"/>
    <w:rsid w:val="00E34F21"/>
    <w:rsid w:val="00E6275B"/>
    <w:rsid w:val="00E67006"/>
    <w:rsid w:val="00EA00EC"/>
    <w:rsid w:val="00F00FF1"/>
    <w:rsid w:val="00F01879"/>
    <w:rsid w:val="00F134C8"/>
    <w:rsid w:val="00F253A2"/>
    <w:rsid w:val="00F4178A"/>
    <w:rsid w:val="00F472CE"/>
    <w:rsid w:val="00F622E8"/>
    <w:rsid w:val="00F708B9"/>
    <w:rsid w:val="00F868DD"/>
    <w:rsid w:val="00F94A4C"/>
    <w:rsid w:val="00FC3164"/>
    <w:rsid w:val="00FC31C2"/>
    <w:rsid w:val="00FC6744"/>
    <w:rsid w:val="00FD19FA"/>
    <w:rsid w:val="00FD2584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CF14D0"/>
    <w:pPr>
      <w:spacing w:after="120"/>
      <w:jc w:val="center"/>
    </w:pPr>
    <w:rPr>
      <w:b/>
      <w:szCs w:val="20"/>
    </w:rPr>
  </w:style>
  <w:style w:type="paragraph" w:customStyle="1" w:styleId="Nadpis1ZD">
    <w:name w:val="Nadpis 1 ZD"/>
    <w:basedOn w:val="Normln"/>
    <w:rsid w:val="00CF14D0"/>
    <w:pPr>
      <w:numPr>
        <w:numId w:val="23"/>
      </w:numPr>
      <w:jc w:val="both"/>
    </w:pPr>
    <w:rPr>
      <w:rFonts w:ascii="Arial" w:hAnsi="Arial" w:cs="Arial"/>
      <w:b/>
      <w:sz w:val="28"/>
      <w:szCs w:val="28"/>
    </w:rPr>
  </w:style>
  <w:style w:type="table" w:styleId="Mkatabulky">
    <w:name w:val="Table Grid"/>
    <w:basedOn w:val="Normlntabulka"/>
    <w:rsid w:val="00CF14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D532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328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2465</Words>
  <Characters>14545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8</cp:revision>
  <cp:lastPrinted>2024-03-26T09:05:00Z</cp:lastPrinted>
  <dcterms:created xsi:type="dcterms:W3CDTF">2024-05-28T09:10:00Z</dcterms:created>
  <dcterms:modified xsi:type="dcterms:W3CDTF">2024-06-05T09:00:00Z</dcterms:modified>
</cp:coreProperties>
</file>