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65E1" w14:textId="77777777" w:rsidR="00ED77BD" w:rsidRDefault="00A04754">
      <w:pPr>
        <w:pStyle w:val="Nadpis20"/>
        <w:keepNext/>
        <w:keepLines/>
        <w:shd w:val="clear" w:color="auto" w:fill="auto"/>
        <w:spacing w:after="606" w:line="840" w:lineRule="exact"/>
      </w:pPr>
      <w:bookmarkStart w:id="0" w:name="bookmark0"/>
      <w:r>
        <w:rPr>
          <w:rStyle w:val="Nadpis21"/>
          <w:i/>
          <w:iCs/>
        </w:rPr>
        <w:t>2&lt;D2</w:t>
      </w:r>
      <w:r>
        <w:rPr>
          <w:rStyle w:val="Nadpis2Calibri42ptNekurzvadkovn0pt"/>
        </w:rPr>
        <w:t xml:space="preserve"> y</w:t>
      </w:r>
      <w:bookmarkEnd w:id="0"/>
    </w:p>
    <w:p w14:paraId="4EFC3CF5" w14:textId="77777777" w:rsidR="00ED77BD" w:rsidRDefault="00A04754">
      <w:pPr>
        <w:pStyle w:val="Nadpis40"/>
        <w:keepNext/>
        <w:keepLines/>
        <w:shd w:val="clear" w:color="auto" w:fill="auto"/>
        <w:spacing w:before="0" w:after="212" w:line="220" w:lineRule="exact"/>
        <w:ind w:left="1600"/>
      </w:pPr>
      <w:bookmarkStart w:id="1" w:name="bookmark1"/>
      <w:r>
        <w:t xml:space="preserve">SMLOUVA O </w:t>
      </w:r>
      <w:proofErr w:type="gramStart"/>
      <w:r>
        <w:t>SPOLUPRÁCI - MĚŘENÍ</w:t>
      </w:r>
      <w:proofErr w:type="gramEnd"/>
      <w:r>
        <w:t xml:space="preserve"> KONCENTRACE PYLU</w:t>
      </w:r>
      <w:bookmarkEnd w:id="1"/>
    </w:p>
    <w:p w14:paraId="3DBB6323" w14:textId="77777777" w:rsidR="00ED77BD" w:rsidRDefault="00A04754">
      <w:pPr>
        <w:pStyle w:val="Zkladntext20"/>
        <w:shd w:val="clear" w:color="auto" w:fill="auto"/>
        <w:tabs>
          <w:tab w:val="left" w:leader="underscore" w:pos="7952"/>
          <w:tab w:val="left" w:leader="underscore" w:pos="8540"/>
          <w:tab w:val="left" w:leader="underscore" w:pos="8706"/>
        </w:tabs>
        <w:spacing w:before="0"/>
        <w:ind w:left="2040" w:right="1200" w:hanging="1480"/>
      </w:pPr>
      <w:r>
        <w:t xml:space="preserve">uzavřená podle ustanovení § 1746 odst. 2 a násl. zákona č. 89/2012 Sb., občanského zákoníku, níže uvedeného dne, měsíce a roku mezi těmito smluvními </w:t>
      </w:r>
      <w:proofErr w:type="gramStart"/>
      <w:r>
        <w:t>stranami; ,..</w:t>
      </w:r>
      <w:proofErr w:type="gramEnd"/>
      <w:r>
        <w:tab/>
      </w:r>
      <w:r>
        <w:tab/>
      </w:r>
      <w:r>
        <w:tab/>
      </w:r>
    </w:p>
    <w:p w14:paraId="58D71147" w14:textId="77777777" w:rsidR="00ED77BD" w:rsidRDefault="00A04754">
      <w:pPr>
        <w:pStyle w:val="Zkladntext30"/>
        <w:shd w:val="clear" w:color="auto" w:fill="auto"/>
        <w:spacing w:line="190" w:lineRule="exact"/>
        <w:ind w:left="7300"/>
      </w:pPr>
      <w:r>
        <w:rPr>
          <w:rStyle w:val="Zkladntext3Arial7ptNetunNekurzvadkovn0pt"/>
        </w:rPr>
        <w:t xml:space="preserve">, </w:t>
      </w:r>
      <w:r>
        <w:t>*&amp; &lt;$*&amp;*'</w:t>
      </w:r>
    </w:p>
    <w:p w14:paraId="4DBEA948" w14:textId="1279BFB1" w:rsidR="00ED77BD" w:rsidRDefault="00A04754">
      <w:pPr>
        <w:pStyle w:val="Zkladntext40"/>
        <w:shd w:val="clear" w:color="auto" w:fill="auto"/>
      </w:pPr>
      <w:r>
        <w:t>Na straně jedné:</w:t>
      </w:r>
    </w:p>
    <w:p w14:paraId="26711CDA" w14:textId="77777777" w:rsidR="00ED77BD" w:rsidRDefault="00A04754">
      <w:pPr>
        <w:pStyle w:val="Zkladntext50"/>
        <w:shd w:val="clear" w:color="auto" w:fill="auto"/>
      </w:pPr>
      <w:r>
        <w:t>Nemocnice Třinec, příspěvková organizace</w:t>
      </w:r>
    </w:p>
    <w:p w14:paraId="5C6CAE09" w14:textId="77777777" w:rsidR="00ED77BD" w:rsidRDefault="00A04754">
      <w:pPr>
        <w:pStyle w:val="Zkladntext20"/>
        <w:shd w:val="clear" w:color="auto" w:fill="auto"/>
        <w:spacing w:before="0" w:line="254" w:lineRule="exact"/>
        <w:ind w:right="2700" w:firstLine="0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IČ: 005 34 242, DIČ: CZ00534242</w:t>
      </w:r>
    </w:p>
    <w:p w14:paraId="505D7D1D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 xml:space="preserve">zapsána v obchodním rejstříku vedeném u Krajského soudu v Ostravě, oddíl </w:t>
      </w:r>
      <w:proofErr w:type="spellStart"/>
      <w:r>
        <w:t>Pr</w:t>
      </w:r>
      <w:proofErr w:type="spellEnd"/>
      <w:r>
        <w:t xml:space="preserve">, vlož bankovní spojení: Komerční banka, a.s. číslo účtu: 29034781/0100 zastoupení: Ing. Jiří Veverka, ředitel (dále jen </w:t>
      </w:r>
      <w:r>
        <w:rPr>
          <w:rStyle w:val="Zkladntext2Tun"/>
        </w:rPr>
        <w:t xml:space="preserve">„Nemocnice") </w:t>
      </w:r>
      <w:r>
        <w:rPr>
          <w:rStyle w:val="Zkladntext510ptNetunKurzva"/>
        </w:rPr>
        <w:t xml:space="preserve">a na straně druhé: </w:t>
      </w:r>
      <w:r>
        <w:rPr>
          <w:rStyle w:val="Zkladntext5"/>
        </w:rPr>
        <w:t>statutární město Třinec</w:t>
      </w:r>
    </w:p>
    <w:p w14:paraId="2D95A651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 xml:space="preserve">se sídlem Jablunkovská 160, 739 61 </w:t>
      </w:r>
      <w:proofErr w:type="gramStart"/>
      <w:r>
        <w:t>Třinec - Staré</w:t>
      </w:r>
      <w:proofErr w:type="gramEnd"/>
      <w:r>
        <w:t xml:space="preserve"> Město</w:t>
      </w:r>
    </w:p>
    <w:p w14:paraId="611A30AA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>IČ: 002 97 313, DIČ: CZ00297313</w:t>
      </w:r>
    </w:p>
    <w:p w14:paraId="44C9CF49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>bankovní spojení: Komerční banka, a.s.</w:t>
      </w:r>
    </w:p>
    <w:p w14:paraId="0D220215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>číslo účtu: 1621781/0100</w:t>
      </w:r>
    </w:p>
    <w:p w14:paraId="6CB69BF2" w14:textId="77777777" w:rsidR="00ED77BD" w:rsidRDefault="00A04754">
      <w:pPr>
        <w:pStyle w:val="Zkladntext20"/>
        <w:shd w:val="clear" w:color="auto" w:fill="auto"/>
        <w:spacing w:before="0" w:line="254" w:lineRule="exact"/>
        <w:ind w:firstLine="0"/>
      </w:pPr>
      <w:r>
        <w:t xml:space="preserve">zastoupení: RNDr. Věra </w:t>
      </w:r>
      <w:proofErr w:type="spellStart"/>
      <w:r>
        <w:t>Palkovská</w:t>
      </w:r>
      <w:proofErr w:type="spellEnd"/>
      <w:r>
        <w:t>, primátorka</w:t>
      </w:r>
    </w:p>
    <w:p w14:paraId="34897539" w14:textId="77777777" w:rsidR="00ED77BD" w:rsidRDefault="00A04754">
      <w:pPr>
        <w:pStyle w:val="Zkladntext20"/>
        <w:shd w:val="clear" w:color="auto" w:fill="auto"/>
        <w:spacing w:before="0" w:after="480" w:line="254" w:lineRule="exact"/>
        <w:ind w:firstLine="0"/>
      </w:pPr>
      <w:r>
        <w:t>(dále jen „Město")</w:t>
      </w:r>
    </w:p>
    <w:p w14:paraId="1862CB2D" w14:textId="77777777" w:rsidR="00ED77BD" w:rsidRDefault="00A04754">
      <w:pPr>
        <w:pStyle w:val="Nadpis30"/>
        <w:keepNext/>
        <w:keepLines/>
        <w:shd w:val="clear" w:color="auto" w:fill="auto"/>
        <w:spacing w:before="0"/>
        <w:ind w:left="4600"/>
      </w:pPr>
      <w:bookmarkStart w:id="2" w:name="bookmark2"/>
      <w:r>
        <w:t>I.</w:t>
      </w:r>
      <w:bookmarkEnd w:id="2"/>
    </w:p>
    <w:p w14:paraId="21192B0E" w14:textId="77777777" w:rsidR="00ED77BD" w:rsidRDefault="00A04754">
      <w:pPr>
        <w:pStyle w:val="Zkladntext50"/>
        <w:shd w:val="clear" w:color="auto" w:fill="auto"/>
        <w:ind w:left="3860"/>
      </w:pPr>
      <w:r>
        <w:t>Úvodní ustanovení</w:t>
      </w:r>
    </w:p>
    <w:p w14:paraId="5D958A48" w14:textId="77777777" w:rsidR="00ED77BD" w:rsidRDefault="00A04754">
      <w:pPr>
        <w:pStyle w:val="Zkladntext20"/>
        <w:shd w:val="clear" w:color="auto" w:fill="auto"/>
        <w:spacing w:before="0" w:after="300" w:line="254" w:lineRule="exact"/>
        <w:ind w:right="1020" w:firstLine="0"/>
        <w:jc w:val="both"/>
      </w:pPr>
      <w:r>
        <w:t>Předmětem této smlouvy je vzájemná spolupráce smluvních stran při měření druhu a množství pylu (dále jen „koncentrace pylu") v ovzduší Nemocnicí a předávání takto získaných informaci Městu za účelem informování veřejnosti, a to za podmínek touto smlouvou dále stanovených.</w:t>
      </w:r>
    </w:p>
    <w:p w14:paraId="4CE6CFF6" w14:textId="77777777" w:rsidR="00ED77BD" w:rsidRDefault="00A04754">
      <w:pPr>
        <w:pStyle w:val="Zkladntext20"/>
        <w:shd w:val="clear" w:color="auto" w:fill="auto"/>
        <w:spacing w:before="0" w:line="254" w:lineRule="exact"/>
        <w:ind w:left="4600" w:firstLine="0"/>
      </w:pPr>
      <w:r>
        <w:t>II.</w:t>
      </w:r>
    </w:p>
    <w:p w14:paraId="4DC4E81C" w14:textId="77777777" w:rsidR="00ED77BD" w:rsidRDefault="00A04754">
      <w:pPr>
        <w:pStyle w:val="Zkladntext50"/>
        <w:shd w:val="clear" w:color="auto" w:fill="auto"/>
        <w:ind w:left="3860"/>
      </w:pPr>
      <w:r>
        <w:t>Předmět smlouvy</w:t>
      </w:r>
    </w:p>
    <w:p w14:paraId="1609488D" w14:textId="77777777" w:rsidR="00ED77BD" w:rsidRDefault="00A04754">
      <w:pPr>
        <w:pStyle w:val="Zkladntext20"/>
        <w:numPr>
          <w:ilvl w:val="0"/>
          <w:numId w:val="1"/>
        </w:numPr>
        <w:shd w:val="clear" w:color="auto" w:fill="auto"/>
        <w:tabs>
          <w:tab w:val="left" w:pos="646"/>
        </w:tabs>
        <w:spacing w:before="0" w:line="254" w:lineRule="exact"/>
        <w:ind w:left="660" w:right="1020" w:hanging="340"/>
        <w:jc w:val="both"/>
      </w:pPr>
      <w:r>
        <w:t>Nemocnice je uživatelem přístroje na měření koncentrace pylu (dále jen „pylová hláska"), umístěného v areálu Nemocnice.</w:t>
      </w:r>
    </w:p>
    <w:p w14:paraId="7D30FC8C" w14:textId="77777777" w:rsidR="00ED77BD" w:rsidRDefault="00A04754">
      <w:pPr>
        <w:pStyle w:val="Zkladntext20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54" w:lineRule="exact"/>
        <w:ind w:left="660" w:right="1020" w:hanging="340"/>
        <w:jc w:val="both"/>
      </w:pPr>
      <w:r>
        <w:t xml:space="preserve">Město pak má zájem po dobu pylové sezóny (tj. v období od 1.2. do 31.10. každého kalendářního roku) na provádění měření koncentrace pylu Nemocnicí a předávání takto získaných údajů </w:t>
      </w:r>
      <w:r>
        <w:lastRenderedPageBreak/>
        <w:t xml:space="preserve">o stavu ovzduší (koncentraci pylu) za účelem </w:t>
      </w:r>
      <w:r>
        <w:t>Informování obyvatel Města, resp. veřejnosti.</w:t>
      </w:r>
    </w:p>
    <w:p w14:paraId="5B5570F5" w14:textId="069B6E15" w:rsidR="00ED77BD" w:rsidRDefault="00A04754">
      <w:pPr>
        <w:pStyle w:val="Zkladntext20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180" w:line="254" w:lineRule="exact"/>
        <w:ind w:left="660" w:right="1020" w:hanging="340"/>
        <w:jc w:val="both"/>
      </w:pPr>
      <w:r>
        <w:t xml:space="preserve">Nemocnice se tak zavazuje, že po dobu pylové sezóny bude pravidelně předávat Městu informace z odečtu pylové hlásky za každý uplynulý kalendářní týden pylového období, a to elektronicky Městu mailem na adresy: </w:t>
      </w:r>
      <w:proofErr w:type="spellStart"/>
      <w:r>
        <w:rPr>
          <w:rStyle w:val="Zkladntext21"/>
        </w:rPr>
        <w:t>xxxxxxxxxxxxx</w:t>
      </w:r>
      <w:proofErr w:type="spellEnd"/>
      <w:r>
        <w:rPr>
          <w:rStyle w:val="Zkladntext21"/>
        </w:rPr>
        <w:t>.</w:t>
      </w:r>
      <w:r>
        <w:t xml:space="preserve"> a </w:t>
      </w:r>
      <w:proofErr w:type="spellStart"/>
      <w:proofErr w:type="gramStart"/>
      <w:r>
        <w:rPr>
          <w:rStyle w:val="Zkladntext21"/>
        </w:rPr>
        <w:t>xxxxxxxxxxxxxxxxxx</w:t>
      </w:r>
      <w:proofErr w:type="spellEnd"/>
      <w:r>
        <w:t xml:space="preserve"> )</w:t>
      </w:r>
      <w:proofErr w:type="gramEnd"/>
      <w:r>
        <w:t>.</w:t>
      </w:r>
    </w:p>
    <w:p w14:paraId="77DB48A2" w14:textId="77777777" w:rsidR="00ED77BD" w:rsidRDefault="00A04754">
      <w:pPr>
        <w:pStyle w:val="Zkladntext20"/>
        <w:shd w:val="clear" w:color="auto" w:fill="auto"/>
        <w:spacing w:before="0" w:line="254" w:lineRule="exact"/>
        <w:ind w:left="4480" w:firstLine="0"/>
      </w:pPr>
      <w:r>
        <w:t>III.</w:t>
      </w:r>
    </w:p>
    <w:p w14:paraId="327E62B1" w14:textId="77777777" w:rsidR="00ED77BD" w:rsidRDefault="00A04754">
      <w:pPr>
        <w:pStyle w:val="Zkladntext50"/>
        <w:shd w:val="clear" w:color="auto" w:fill="auto"/>
        <w:ind w:left="2820"/>
      </w:pPr>
      <w:r>
        <w:t>Další práva a povinnosti smluvních stran</w:t>
      </w:r>
    </w:p>
    <w:p w14:paraId="359CF33F" w14:textId="77777777" w:rsidR="00ED77BD" w:rsidRDefault="00A04754">
      <w:pPr>
        <w:pStyle w:val="Zkladntext20"/>
        <w:numPr>
          <w:ilvl w:val="0"/>
          <w:numId w:val="2"/>
        </w:numPr>
        <w:shd w:val="clear" w:color="auto" w:fill="auto"/>
        <w:tabs>
          <w:tab w:val="left" w:pos="646"/>
        </w:tabs>
        <w:spacing w:before="0" w:line="254" w:lineRule="exact"/>
        <w:ind w:left="660" w:right="1020" w:hanging="340"/>
        <w:jc w:val="both"/>
      </w:pPr>
      <w:r>
        <w:t>Smluvní strany jsou povinny vyvíjet činnost a vzájemně spolupracovat k dosažení účelu této smlouvy.</w:t>
      </w:r>
    </w:p>
    <w:p w14:paraId="612C94A5" w14:textId="77777777" w:rsidR="00ED77BD" w:rsidRDefault="00A04754">
      <w:pPr>
        <w:pStyle w:val="Zkladntext20"/>
        <w:numPr>
          <w:ilvl w:val="0"/>
          <w:numId w:val="2"/>
        </w:numPr>
        <w:shd w:val="clear" w:color="auto" w:fill="auto"/>
        <w:tabs>
          <w:tab w:val="left" w:pos="656"/>
        </w:tabs>
        <w:spacing w:before="0" w:line="254" w:lineRule="exact"/>
        <w:ind w:left="660" w:right="1020" w:hanging="340"/>
        <w:jc w:val="both"/>
      </w:pPr>
      <w:r>
        <w:t xml:space="preserve">Smluvní strany prohlašují a berou na vědomí, že údaje získané z odečtu pylové hlásky hodlá Nemocnice zveřejňovat na svém facebookovém profilu a rovněž na webových stránkách Nemocnice </w:t>
      </w:r>
      <w:r>
        <w:rPr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www.nemtr.cz</w:t>
        </w:r>
      </w:hyperlink>
      <w:r>
        <w:rPr>
          <w:lang w:val="en-US" w:eastAsia="en-US" w:bidi="en-US"/>
        </w:rPr>
        <w:t xml:space="preserve">), </w:t>
      </w:r>
      <w:r>
        <w:t xml:space="preserve">a Město pak na svých webových stránkách </w:t>
      </w:r>
      <w:r>
        <w:rPr>
          <w:lang w:val="en-US" w:eastAsia="en-US" w:bidi="en-US"/>
        </w:rPr>
        <w:t>(</w:t>
      </w:r>
      <w:hyperlink r:id="rId8" w:history="1">
        <w:r>
          <w:rPr>
            <w:rStyle w:val="Hypertextovodkaz"/>
            <w:lang w:val="en-US" w:eastAsia="en-US" w:bidi="en-US"/>
          </w:rPr>
          <w:t>www.trinecko.cz</w:t>
        </w:r>
      </w:hyperlink>
      <w:r>
        <w:rPr>
          <w:lang w:val="en-US" w:eastAsia="en-US" w:bidi="en-US"/>
        </w:rPr>
        <w:t>).</w:t>
      </w:r>
    </w:p>
    <w:p w14:paraId="064F7934" w14:textId="77777777" w:rsidR="00ED77BD" w:rsidRDefault="00A04754">
      <w:pPr>
        <w:pStyle w:val="Zkladntext20"/>
        <w:numPr>
          <w:ilvl w:val="0"/>
          <w:numId w:val="2"/>
        </w:numPr>
        <w:shd w:val="clear" w:color="auto" w:fill="auto"/>
        <w:tabs>
          <w:tab w:val="left" w:pos="656"/>
        </w:tabs>
        <w:spacing w:before="0" w:line="254" w:lineRule="exact"/>
        <w:ind w:left="660" w:right="1020" w:hanging="340"/>
        <w:jc w:val="both"/>
        <w:sectPr w:rsidR="00ED77BD">
          <w:footerReference w:type="even" r:id="rId9"/>
          <w:footerReference w:type="default" r:id="rId10"/>
          <w:pgSz w:w="11900" w:h="16840"/>
          <w:pgMar w:top="165" w:right="399" w:bottom="1804" w:left="1247" w:header="0" w:footer="3" w:gutter="0"/>
          <w:cols w:space="720"/>
          <w:noEndnote/>
          <w:docGrid w:linePitch="360"/>
        </w:sectPr>
      </w:pPr>
      <w:r>
        <w:t>Smluvní strany jsou povinny vzájemně se informovat o skutečnostech rozhodných pro plnění této smlouvy. Nemocnice je zejména povinna Město bezodkladně informovat o případné poruše pylové hlásky bránící měření koncentrace pylu, a po jejím zprovoznění rovněž o období, po které koncentrace pylu nebyla měřena.</w:t>
      </w:r>
    </w:p>
    <w:p w14:paraId="31E96BA6" w14:textId="77777777" w:rsidR="00ED77BD" w:rsidRDefault="00A04754">
      <w:pPr>
        <w:pStyle w:val="Zkladntext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203" w:line="190" w:lineRule="exact"/>
        <w:ind w:left="860" w:hanging="340"/>
        <w:jc w:val="both"/>
      </w:pPr>
      <w:r>
        <w:lastRenderedPageBreak/>
        <w:t>Pylovou hlásku pak bude na své náklady provozovat a udržovat Nemocnice.</w:t>
      </w:r>
    </w:p>
    <w:p w14:paraId="62D39C24" w14:textId="77777777" w:rsidR="00ED77BD" w:rsidRDefault="00A04754">
      <w:pPr>
        <w:pStyle w:val="Zkladntext50"/>
        <w:shd w:val="clear" w:color="auto" w:fill="auto"/>
        <w:ind w:left="4760"/>
      </w:pPr>
      <w:r>
        <w:t>IV.</w:t>
      </w:r>
    </w:p>
    <w:p w14:paraId="6B19ECF0" w14:textId="77777777" w:rsidR="00ED77BD" w:rsidRDefault="00A04754">
      <w:pPr>
        <w:pStyle w:val="Zkladntext50"/>
        <w:shd w:val="clear" w:color="auto" w:fill="auto"/>
        <w:ind w:left="4060"/>
      </w:pPr>
      <w:r>
        <w:t>Platební podmínky</w:t>
      </w:r>
    </w:p>
    <w:p w14:paraId="5CA3A78D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right="820" w:hanging="340"/>
        <w:jc w:val="both"/>
      </w:pPr>
      <w:r>
        <w:t xml:space="preserve">Město se zavazuje platit Nemocnici za služby a </w:t>
      </w:r>
      <w:r>
        <w:t>činnosti dle čl. II. této smlouvy sjednanou úplatu (dále jen „odměna</w:t>
      </w:r>
      <w:proofErr w:type="gramStart"/>
      <w:r>
        <w:t>")-</w:t>
      </w:r>
      <w:proofErr w:type="gramEnd"/>
      <w:r>
        <w:t xml:space="preserve"> Výše odměny je stanovena dohodou smluvních stran a činí částku 15.000,- Kč za každou pylovou sezónu po dobu trvání této smlouvy; dojde-li k ukončení či zániku této smlouvy v průběhu pylové sezóny, je Město povinno uhradit Nemocnici jen poměrnou část odměny. K uvedené částce odměny pak bude připočítána příslušná sazba DPH dle platných právních předpisů.</w:t>
      </w:r>
    </w:p>
    <w:p w14:paraId="0D5FA983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right="820" w:hanging="340"/>
        <w:jc w:val="both"/>
      </w:pPr>
      <w:r>
        <w:t xml:space="preserve">Sjednanou odměnu pak uhradí Město na základě příslušné faktury, vystavené </w:t>
      </w:r>
      <w:r>
        <w:t xml:space="preserve">Nemocnicí do </w:t>
      </w:r>
      <w:proofErr w:type="gramStart"/>
      <w:r>
        <w:t>30-ti</w:t>
      </w:r>
      <w:proofErr w:type="gramEnd"/>
      <w:r>
        <w:t xml:space="preserve"> dnů po zahájení každé pylové sezóny; splatnost faktury činí 30 dnů ode dne jejího doručení. Faktura bude mít náležitosti daňového dokladu dle zákona o DPH a náležitosti stanovené dalšími obecně závaznými právními předpisy.</w:t>
      </w:r>
    </w:p>
    <w:p w14:paraId="29F6BF89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right="820" w:hanging="340"/>
        <w:jc w:val="both"/>
      </w:pPr>
      <w:r>
        <w:t>Smluvní strany se dohodly, že v případě změny sjednané ceny plnění v důsledku změny sazby DPH není nutno ke smlouvě uzavírat dodatek.</w:t>
      </w:r>
    </w:p>
    <w:p w14:paraId="7A1EC667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right="820" w:hanging="340"/>
        <w:jc w:val="both"/>
      </w:pPr>
      <w:r>
        <w:t>Sjednaná odměna pak bude Městem hrazena bezhotovostním převodem na bankovní účet uvedený ve faktuře s uvedením příslušného variabilního symbolu.</w:t>
      </w:r>
    </w:p>
    <w:p w14:paraId="09AE633E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right="820" w:hanging="340"/>
        <w:jc w:val="both"/>
      </w:pPr>
      <w:r>
        <w:t>Doručení faktury se provede elektronicky do datové schránky města ID: 4anbqsj, nebo na elektronickou podatelnu se zaručeným elektronickým podpisem (</w:t>
      </w:r>
      <w:proofErr w:type="spellStart"/>
      <w:proofErr w:type="gramStart"/>
      <w:r>
        <w:t>e.od</w:t>
      </w:r>
      <w:r>
        <w:rPr>
          <w:rStyle w:val="Zkladntext21"/>
        </w:rPr>
        <w:t>atelna</w:t>
      </w:r>
      <w:proofErr w:type="spellEnd"/>
      <w:proofErr w:type="gramEnd"/>
      <w:r>
        <w:t xml:space="preserve">; </w:t>
      </w:r>
      <w:r>
        <w:rPr>
          <w:lang w:val="en-US" w:eastAsia="en-US" w:bidi="en-US"/>
        </w:rPr>
        <w:t>trin</w:t>
      </w:r>
      <w:r>
        <w:rPr>
          <w:rStyle w:val="Zkladntext21"/>
          <w:lang w:val="en-US" w:eastAsia="en-US" w:bidi="en-US"/>
        </w:rPr>
        <w:t>ecko.cz</w:t>
      </w:r>
      <w:r>
        <w:rPr>
          <w:lang w:val="en-US" w:eastAsia="en-US" w:bidi="en-US"/>
        </w:rPr>
        <w:t xml:space="preserve">), </w:t>
      </w:r>
      <w:r>
        <w:t>nejpozději do 14 dnů ode dne vystavení faktury.</w:t>
      </w:r>
    </w:p>
    <w:p w14:paraId="022204E3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254" w:lineRule="exact"/>
        <w:ind w:left="860" w:hanging="340"/>
        <w:jc w:val="both"/>
      </w:pPr>
      <w:r>
        <w:t>Okamžikem úhrady se rozumí den připsání poukazované částky na účet Nemocnice.</w:t>
      </w:r>
    </w:p>
    <w:p w14:paraId="6E223741" w14:textId="77777777" w:rsidR="00ED77BD" w:rsidRDefault="00A04754">
      <w:pPr>
        <w:pStyle w:val="Zkladn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180" w:line="254" w:lineRule="exact"/>
        <w:ind w:left="860" w:right="820" w:hanging="340"/>
        <w:jc w:val="both"/>
      </w:pPr>
      <w:r>
        <w:t xml:space="preserve">Smluvní strany se dohodly, že za období (části) pylové sezóny v roce nabytí účinnosti této smlouvy náleží Nemocnici sjednaná odměna ve výši 15 000,- Kč + DPH, když tuto se zavazuje Město uhradit na </w:t>
      </w:r>
      <w:r>
        <w:t xml:space="preserve">základě faktury vystavené Nemocnicí do </w:t>
      </w:r>
      <w:proofErr w:type="gramStart"/>
      <w:r>
        <w:t>30-ti</w:t>
      </w:r>
      <w:proofErr w:type="gramEnd"/>
      <w:r>
        <w:t xml:space="preserve"> dnů ode dne účinnosti této smlouvy, za podmínek shora ujednaných.</w:t>
      </w:r>
    </w:p>
    <w:p w14:paraId="31AE9AB3" w14:textId="77777777" w:rsidR="00ED77BD" w:rsidRDefault="00A04754">
      <w:pPr>
        <w:pStyle w:val="Zkladntext50"/>
        <w:shd w:val="clear" w:color="auto" w:fill="auto"/>
        <w:ind w:left="4620"/>
      </w:pPr>
      <w:r>
        <w:t>V.</w:t>
      </w:r>
    </w:p>
    <w:p w14:paraId="12718698" w14:textId="77777777" w:rsidR="00ED77BD" w:rsidRDefault="00A04754">
      <w:pPr>
        <w:pStyle w:val="Zkladntext50"/>
        <w:shd w:val="clear" w:color="auto" w:fill="auto"/>
        <w:ind w:left="4060"/>
      </w:pPr>
      <w:r>
        <w:t>Trvání smlouvy</w:t>
      </w:r>
    </w:p>
    <w:p w14:paraId="28452639" w14:textId="77777777" w:rsidR="00ED77BD" w:rsidRDefault="00A04754">
      <w:pPr>
        <w:pStyle w:val="Zkladntext20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254" w:lineRule="exact"/>
        <w:ind w:left="860" w:hanging="340"/>
        <w:jc w:val="both"/>
      </w:pPr>
      <w:r>
        <w:t>Smlouva se uzavírá na dobu neurčitou, počínaje dnem její účinnosti.</w:t>
      </w:r>
    </w:p>
    <w:p w14:paraId="7FD82A9A" w14:textId="77777777" w:rsidR="00ED77BD" w:rsidRDefault="00A04754">
      <w:pPr>
        <w:pStyle w:val="Zkladntext20"/>
        <w:numPr>
          <w:ilvl w:val="0"/>
          <w:numId w:val="4"/>
        </w:numPr>
        <w:shd w:val="clear" w:color="auto" w:fill="auto"/>
        <w:tabs>
          <w:tab w:val="left" w:pos="812"/>
        </w:tabs>
        <w:spacing w:before="0" w:after="180" w:line="254" w:lineRule="exact"/>
        <w:ind w:left="860" w:right="820" w:hanging="340"/>
        <w:jc w:val="both"/>
      </w:pPr>
      <w:r>
        <w:t>Tuto smlouvu lze ukončit dohodou smluvních stran, popř. písemnou výpovědí kterékoli smluvní strany i bez udání důvodu s jednoměsíční výpovědní dobou; výpovědní doba počíná běžet prvním dnem následujícího kalendářního měsíce po doručení výpovědi druhé smluvní straně a končí posledním dnem tohoto měsíce.</w:t>
      </w:r>
    </w:p>
    <w:p w14:paraId="22E7443E" w14:textId="77777777" w:rsidR="00ED77BD" w:rsidRDefault="00A04754">
      <w:pPr>
        <w:pStyle w:val="Zkladntext50"/>
        <w:shd w:val="clear" w:color="auto" w:fill="auto"/>
        <w:ind w:left="4620"/>
      </w:pPr>
      <w:r>
        <w:t>VI.</w:t>
      </w:r>
    </w:p>
    <w:p w14:paraId="1D31C063" w14:textId="77777777" w:rsidR="00ED77BD" w:rsidRDefault="00A04754">
      <w:pPr>
        <w:pStyle w:val="Zkladntext50"/>
        <w:shd w:val="clear" w:color="auto" w:fill="auto"/>
        <w:ind w:left="3740"/>
      </w:pPr>
      <w:r>
        <w:t>Závěrečná ustanovení</w:t>
      </w:r>
    </w:p>
    <w:p w14:paraId="18AE62D8" w14:textId="77777777" w:rsidR="00ED77BD" w:rsidRDefault="00A04754">
      <w:pPr>
        <w:pStyle w:val="Zkladntext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54" w:lineRule="exact"/>
        <w:ind w:left="740" w:right="960" w:hanging="340"/>
        <w:jc w:val="both"/>
      </w:pPr>
      <w:r>
        <w:t xml:space="preserve">Smluvní strany berou na sebe práva a povinnosti vyplývající z této smlouvy. V případě vzniku </w:t>
      </w:r>
      <w:r>
        <w:lastRenderedPageBreak/>
        <w:t>sporů budou tyto řešeny přednostně vzájemnou dohodou smluvních stran.</w:t>
      </w:r>
    </w:p>
    <w:p w14:paraId="7512B9E1" w14:textId="77777777" w:rsidR="00ED77BD" w:rsidRDefault="00A04754">
      <w:pPr>
        <w:pStyle w:val="Zkladntext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54" w:lineRule="exact"/>
        <w:ind w:left="740" w:right="960" w:hanging="340"/>
        <w:jc w:val="both"/>
      </w:pPr>
      <w:r>
        <w:t xml:space="preserve">Obě smluvní strany sjednávají, že pokud v důsledku změny či odlišného </w:t>
      </w:r>
      <w:r>
        <w:t xml:space="preserve">výkladu právních předpisů anebo judikatury soudů anebo jiné skutečnosti bude u některého ustanovení této smlouvy shledán důvod jeho nezákonnosti, neplatnosti nebo nevynutitelnosti, smlouva jako celek bude nadále platit a bude </w:t>
      </w:r>
      <w:proofErr w:type="gramStart"/>
      <w:r>
        <w:t>vykládána,</w:t>
      </w:r>
      <w:proofErr w:type="gramEnd"/>
      <w:r>
        <w:t xml:space="preserve"> jakoby nezákonná, neplatná či nevynutitelná ustanovení neexistovala. Smluvní strany se pak zavazují tato ustanovení nahradit novými, která budou odpovídat aktuálnímu výkladu právních předpisů, aby smyslu a účelu této smlouvy bylo dosaženo.</w:t>
      </w:r>
    </w:p>
    <w:p w14:paraId="6A71DC87" w14:textId="77777777" w:rsidR="00ED77BD" w:rsidRDefault="00A04754">
      <w:pPr>
        <w:pStyle w:val="Zkladntext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54" w:lineRule="exact"/>
        <w:ind w:left="740" w:right="960" w:hanging="340"/>
        <w:jc w:val="both"/>
      </w:pPr>
      <w:r>
        <w:t>Jakékoli změny nebo dodatky této smlouvy musí být učiněny písemnou formou, očíslovány a podepsány oběma stranami této smlouvy.</w:t>
      </w:r>
    </w:p>
    <w:p w14:paraId="2D26278C" w14:textId="77777777" w:rsidR="00ED77BD" w:rsidRDefault="00A04754">
      <w:pPr>
        <w:pStyle w:val="Zkladntext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54" w:lineRule="exact"/>
        <w:ind w:left="740" w:right="960" w:hanging="340"/>
        <w:jc w:val="both"/>
      </w:pPr>
      <w:r>
        <w:t>Práva a povinnosti v této smlouvě výslovně neupravená se řídí ustanoveními obecně závazných právních předpisů ČR, zejména zákona č. 89/2012 Sb., občanského zákoníku, v platném znění.</w:t>
      </w:r>
    </w:p>
    <w:p w14:paraId="2BC7ED0B" w14:textId="77777777" w:rsidR="00ED77BD" w:rsidRDefault="00A04754">
      <w:pPr>
        <w:pStyle w:val="Zkladntext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54" w:lineRule="exact"/>
        <w:ind w:left="740" w:right="960" w:hanging="340"/>
        <w:jc w:val="both"/>
        <w:sectPr w:rsidR="00ED77BD">
          <w:footerReference w:type="even" r:id="rId11"/>
          <w:footerReference w:type="default" r:id="rId12"/>
          <w:footerReference w:type="first" r:id="rId13"/>
          <w:pgSz w:w="11900" w:h="16840"/>
          <w:pgMar w:top="165" w:right="399" w:bottom="1804" w:left="1247" w:header="0" w:footer="3" w:gutter="0"/>
          <w:cols w:space="720"/>
          <w:noEndnote/>
          <w:titlePg/>
          <w:docGrid w:linePitch="360"/>
        </w:sectPr>
      </w:pPr>
      <w:r>
        <w:t>Tato smlouva je projevem svobodné a pravé vůle obou smluvních stran, přičemž strany tímto prohlašují, že se s obsahem smlouvy seznámily, jemu porozuměly, souhlasí s ním a uvádějí, že obsah smlouvy je totožný s jejich vůlí, která je prosta jakéhokoliv nátlaku a omylu. Toto prohlášení stvrzují svými vlastnoručními podpisy.</w:t>
      </w:r>
    </w:p>
    <w:p w14:paraId="2FDD87E7" w14:textId="67D57C1C" w:rsidR="00ED77BD" w:rsidRDefault="00A04754">
      <w:pPr>
        <w:spacing w:line="360" w:lineRule="exact"/>
      </w:pPr>
      <w:r>
        <w:lastRenderedPageBreak/>
        <w:pict w14:anchorId="58649DB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.65pt;margin-top:.1pt;width:449.75pt;height:124.75pt;z-index:251657728;mso-wrap-distance-left:5pt;mso-wrap-distance-right:5pt;mso-position-horizontal-relative:margin" filled="f" stroked="f">
            <v:textbox style="mso-fit-shape-to-text:t" inset="0,0,0,0">
              <w:txbxContent>
                <w:p w14:paraId="35DF9169" w14:textId="77777777" w:rsidR="00ED77BD" w:rsidRDefault="00A04754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17"/>
                    </w:tabs>
                    <w:spacing w:before="0" w:after="64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 xml:space="preserve">Tato smlouva je vyhotovena ve dvou (2) </w:t>
                  </w:r>
                  <w:r>
                    <w:rPr>
                      <w:rStyle w:val="Zkladntext2Exact"/>
                    </w:rPr>
                    <w:t>vyhotoveních, přičemž každé vyhotovení má platnost originálu. Každá ze stran této smlouvy obdrží po jednom (1) vyhotovení smlouvy.</w:t>
                  </w:r>
                </w:p>
                <w:p w14:paraId="5CDA2F5A" w14:textId="77777777" w:rsidR="00ED77BD" w:rsidRDefault="00A04754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17"/>
                    </w:tabs>
                    <w:spacing w:before="0" w:after="83" w:line="254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>Smlouva vzniká a nabývá účinnosti dnem jejího uzavření; tímto dnem jsou účastníci svými projevy vůle vázáni. Dnem uzavření této smlouvy je den označený datem u podpisů účastníků. Je-li takto označeno více dní, je dnem uzavření smlouvy den z označených dnů nejpozdější.</w:t>
                  </w:r>
                </w:p>
                <w:p w14:paraId="3957711A" w14:textId="77777777" w:rsidR="00ED77BD" w:rsidRDefault="00A04754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31"/>
                    </w:tabs>
                    <w:spacing w:before="0" w:after="89" w:line="226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>Doložka platnosti právního jednání dle § 41 zákona č. 128/2000 Sb., o obcích (obecní zřízení), ve znění pozdějších předpisů:</w:t>
                  </w:r>
                </w:p>
                <w:p w14:paraId="6A9AD161" w14:textId="77777777" w:rsidR="00ED77BD" w:rsidRDefault="00A04754">
                  <w:pPr>
                    <w:pStyle w:val="Zkladntext20"/>
                    <w:shd w:val="clear" w:color="auto" w:fill="auto"/>
                    <w:spacing w:before="0" w:after="24" w:line="190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 xml:space="preserve">O poskytnutí dotace a uzavření této smlouvy </w:t>
                  </w:r>
                  <w:r>
                    <w:rPr>
                      <w:rStyle w:val="Zkladntext2TunKurzvadkovn-1ptExact"/>
                    </w:rPr>
                    <w:t>rozhodla rada</w:t>
                  </w:r>
                  <w:r>
                    <w:rPr>
                      <w:rStyle w:val="Zkladntext2Exact"/>
                    </w:rPr>
                    <w:t xml:space="preserve"> obce svým usnesením č. 2024/1454 ze dne</w:t>
                  </w:r>
                </w:p>
                <w:p w14:paraId="505F5566" w14:textId="77777777" w:rsidR="00ED77BD" w:rsidRDefault="00A04754">
                  <w:pPr>
                    <w:pStyle w:val="Zkladntext20"/>
                    <w:shd w:val="clear" w:color="auto" w:fill="auto"/>
                    <w:spacing w:before="0" w:line="190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>15.04.2024.</w:t>
                  </w:r>
                </w:p>
              </w:txbxContent>
            </v:textbox>
            <w10:wrap anchorx="margin"/>
          </v:shape>
        </w:pict>
      </w:r>
      <w:r>
        <w:pict w14:anchorId="27025416">
          <v:shape id="_x0000_s1032" type="#_x0000_t202" style="position:absolute;margin-left:.05pt;margin-top:150.25pt;width:56.65pt;height:11.5pt;z-index:251657729;mso-wrap-distance-left:5pt;mso-wrap-distance-right:5pt;mso-position-horizontal-relative:margin" filled="f" stroked="f">
            <v:textbox style="mso-fit-shape-to-text:t" inset="0,0,0,0">
              <w:txbxContent>
                <w:p w14:paraId="073C8ED1" w14:textId="77777777" w:rsidR="00ED77BD" w:rsidRDefault="00A04754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58EA72DD">
          <v:shape id="_x0000_s1034" type="#_x0000_t202" style="position:absolute;margin-left:250.1pt;margin-top:174.8pt;width:168.95pt;height:44.1pt;z-index:251657731;mso-wrap-distance-left:5pt;mso-wrap-distance-right:5pt;mso-position-horizontal-relative:margin" filled="f" stroked="f">
            <v:textbox style="mso-fit-shape-to-text:t" inset="0,0,0,0">
              <w:txbxContent>
                <w:p w14:paraId="6A060458" w14:textId="04071CBC" w:rsidR="00ED77BD" w:rsidRDefault="00A04754">
                  <w:pPr>
                    <w:pStyle w:val="Zkladntext7"/>
                    <w:shd w:val="clear" w:color="auto" w:fill="auto"/>
                  </w:pPr>
                  <w:r>
                    <w:t>Datum: 21.05.2024 07:56:34 +02:00</w:t>
                  </w:r>
                </w:p>
              </w:txbxContent>
            </v:textbox>
            <w10:wrap anchorx="margin"/>
          </v:shape>
        </w:pict>
      </w:r>
      <w:r>
        <w:pict w14:anchorId="35456054">
          <v:shape id="_x0000_s1035" type="#_x0000_t202" style="position:absolute;margin-left:17.05pt;margin-top:239.75pt;width:188.65pt;height:25.15pt;z-index:251657732;mso-wrap-distance-left:5pt;mso-wrap-distance-right:5pt;mso-position-horizontal-relative:margin" filled="f" stroked="f">
            <v:textbox style="mso-fit-shape-to-text:t" inset="0,0,0,0">
              <w:txbxContent>
                <w:p w14:paraId="7F19C38C" w14:textId="77777777" w:rsidR="00ED77BD" w:rsidRDefault="00A04754">
                  <w:pPr>
                    <w:pStyle w:val="Zkladntext50"/>
                    <w:shd w:val="clear" w:color="auto" w:fill="auto"/>
                    <w:spacing w:after="24" w:line="190" w:lineRule="exact"/>
                  </w:pPr>
                  <w:r>
                    <w:rPr>
                      <w:rStyle w:val="Zkladntext5Exact"/>
                      <w:b/>
                      <w:bCs/>
                    </w:rPr>
                    <w:t>Nemocnice Třinec, příspěvková organizace</w:t>
                  </w:r>
                </w:p>
                <w:p w14:paraId="1A6FBD76" w14:textId="77777777" w:rsidR="00ED77BD" w:rsidRDefault="00A04754">
                  <w:pPr>
                    <w:pStyle w:val="Zkladntext20"/>
                    <w:shd w:val="clear" w:color="auto" w:fill="auto"/>
                    <w:spacing w:before="0" w:line="190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Ing. Jiří Veverka, ředitel</w:t>
                  </w:r>
                </w:p>
              </w:txbxContent>
            </v:textbox>
            <w10:wrap anchorx="margin"/>
          </v:shape>
        </w:pict>
      </w:r>
      <w:r>
        <w:pict w14:anchorId="418D3A67">
          <v:shape id="_x0000_s1036" type="#_x0000_t202" style="position:absolute;margin-left:258pt;margin-top:240pt;width:141.35pt;height:25.45pt;z-index:251657733;mso-wrap-distance-left:5pt;mso-wrap-distance-right:5pt;mso-position-horizontal-relative:margin" filled="f" stroked="f">
            <v:textbox style="mso-fit-shape-to-text:t" inset="0,0,0,0">
              <w:txbxContent>
                <w:p w14:paraId="3A028B81" w14:textId="77777777" w:rsidR="00ED77BD" w:rsidRDefault="00A04754">
                  <w:pPr>
                    <w:pStyle w:val="Zkladntext50"/>
                    <w:shd w:val="clear" w:color="auto" w:fill="auto"/>
                    <w:spacing w:after="28" w:line="190" w:lineRule="exact"/>
                    <w:jc w:val="center"/>
                  </w:pPr>
                  <w:r>
                    <w:rPr>
                      <w:rStyle w:val="Zkladntext5Exact"/>
                      <w:b/>
                      <w:bCs/>
                    </w:rPr>
                    <w:t>statutární město Třinec</w:t>
                  </w:r>
                </w:p>
                <w:p w14:paraId="0EAEAE28" w14:textId="77777777" w:rsidR="00ED77BD" w:rsidRDefault="00A04754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RNDr.Věra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Palkovská</w:t>
                  </w:r>
                  <w:proofErr w:type="spellEnd"/>
                  <w:r>
                    <w:rPr>
                      <w:rStyle w:val="Zkladntext2Exact"/>
                    </w:rPr>
                    <w:t>, primátorka</w:t>
                  </w:r>
                </w:p>
              </w:txbxContent>
            </v:textbox>
            <w10:wrap anchorx="margin"/>
          </v:shape>
        </w:pict>
      </w:r>
    </w:p>
    <w:p w14:paraId="60B378A4" w14:textId="77777777" w:rsidR="00ED77BD" w:rsidRDefault="00ED77BD">
      <w:pPr>
        <w:spacing w:line="360" w:lineRule="exact"/>
      </w:pPr>
    </w:p>
    <w:p w14:paraId="60280F9B" w14:textId="77777777" w:rsidR="00ED77BD" w:rsidRDefault="00ED77BD">
      <w:pPr>
        <w:spacing w:line="360" w:lineRule="exact"/>
      </w:pPr>
    </w:p>
    <w:p w14:paraId="7BEB99F4" w14:textId="77777777" w:rsidR="00ED77BD" w:rsidRDefault="00ED77BD">
      <w:pPr>
        <w:spacing w:line="360" w:lineRule="exact"/>
      </w:pPr>
    </w:p>
    <w:p w14:paraId="187E0E05" w14:textId="77777777" w:rsidR="00ED77BD" w:rsidRDefault="00ED77BD">
      <w:pPr>
        <w:spacing w:line="360" w:lineRule="exact"/>
      </w:pPr>
    </w:p>
    <w:p w14:paraId="36EC8A58" w14:textId="77777777" w:rsidR="00ED77BD" w:rsidRDefault="00ED77BD">
      <w:pPr>
        <w:spacing w:line="360" w:lineRule="exact"/>
      </w:pPr>
    </w:p>
    <w:p w14:paraId="2B84121C" w14:textId="77777777" w:rsidR="00ED77BD" w:rsidRDefault="00ED77BD">
      <w:pPr>
        <w:spacing w:line="360" w:lineRule="exact"/>
      </w:pPr>
    </w:p>
    <w:p w14:paraId="04B7823C" w14:textId="77777777" w:rsidR="00ED77BD" w:rsidRDefault="00ED77BD">
      <w:pPr>
        <w:spacing w:line="360" w:lineRule="exact"/>
      </w:pPr>
    </w:p>
    <w:p w14:paraId="0F0BE4E8" w14:textId="77777777" w:rsidR="00ED77BD" w:rsidRDefault="00ED77BD">
      <w:pPr>
        <w:spacing w:line="360" w:lineRule="exact"/>
      </w:pPr>
    </w:p>
    <w:p w14:paraId="56595918" w14:textId="77777777" w:rsidR="00ED77BD" w:rsidRDefault="00ED77BD">
      <w:pPr>
        <w:spacing w:line="360" w:lineRule="exact"/>
      </w:pPr>
    </w:p>
    <w:p w14:paraId="3CBBCC21" w14:textId="77777777" w:rsidR="00ED77BD" w:rsidRDefault="00ED77BD">
      <w:pPr>
        <w:spacing w:line="360" w:lineRule="exact"/>
      </w:pPr>
    </w:p>
    <w:p w14:paraId="0B92E2BC" w14:textId="77777777" w:rsidR="00ED77BD" w:rsidRDefault="00ED77BD">
      <w:pPr>
        <w:spacing w:line="360" w:lineRule="exact"/>
      </w:pPr>
    </w:p>
    <w:p w14:paraId="1D110A7C" w14:textId="77777777" w:rsidR="00ED77BD" w:rsidRDefault="00ED77BD">
      <w:pPr>
        <w:spacing w:line="360" w:lineRule="exact"/>
      </w:pPr>
    </w:p>
    <w:p w14:paraId="31CBF5C3" w14:textId="77777777" w:rsidR="00ED77BD" w:rsidRDefault="00ED77BD">
      <w:pPr>
        <w:spacing w:line="621" w:lineRule="exact"/>
      </w:pPr>
    </w:p>
    <w:p w14:paraId="78A014F3" w14:textId="77777777" w:rsidR="00ED77BD" w:rsidRDefault="00ED77BD">
      <w:pPr>
        <w:rPr>
          <w:sz w:val="2"/>
          <w:szCs w:val="2"/>
        </w:rPr>
        <w:sectPr w:rsidR="00ED77BD">
          <w:pgSz w:w="11900" w:h="16840"/>
          <w:pgMar w:top="1313" w:right="1217" w:bottom="1313" w:left="1275" w:header="0" w:footer="3" w:gutter="0"/>
          <w:cols w:space="720"/>
          <w:noEndnote/>
          <w:docGrid w:linePitch="360"/>
        </w:sectPr>
      </w:pPr>
    </w:p>
    <w:p w14:paraId="3050A9AF" w14:textId="77777777" w:rsidR="00ED77BD" w:rsidRDefault="00A04754">
      <w:pPr>
        <w:spacing w:line="360" w:lineRule="exact"/>
      </w:pPr>
      <w:r>
        <w:lastRenderedPageBreak/>
        <w:pict w14:anchorId="62064A9F">
          <v:shape id="_x0000_s1037" type="#_x0000_t202" style="position:absolute;margin-left:16.8pt;margin-top:.1pt;width:6.95pt;height:8.85pt;z-index:251657734;mso-wrap-distance-left:5pt;mso-wrap-distance-right:5pt;mso-position-horizontal-relative:margin" filled="f" stroked="f">
            <v:textbox style="mso-fit-shape-to-text:t" inset="0,0,0,0">
              <w:txbxContent>
                <w:p w14:paraId="062B4E8D" w14:textId="77777777" w:rsidR="00ED77BD" w:rsidRDefault="00ED77BD"/>
              </w:txbxContent>
            </v:textbox>
            <w10:wrap anchorx="margin"/>
          </v:shape>
        </w:pict>
      </w:r>
      <w:r>
        <w:pict w14:anchorId="2669A15C">
          <v:shape id="_x0000_s1038" type="#_x0000_t202" style="position:absolute;margin-left:1.45pt;margin-top:88.4pt;width:4.55pt;height:35.65pt;z-index:251657735;mso-wrap-distance-left:5pt;mso-wrap-distance-right:5pt;mso-position-horizontal-relative:margin" filled="f" stroked="f">
            <v:textbox style="mso-fit-shape-to-text:t" inset="0,0,0,0">
              <w:txbxContent>
                <w:p w14:paraId="7D1896DD" w14:textId="77777777" w:rsidR="00ED77BD" w:rsidRDefault="00ED77BD"/>
              </w:txbxContent>
            </v:textbox>
            <w10:wrap anchorx="margin"/>
          </v:shape>
        </w:pict>
      </w:r>
      <w:r>
        <w:pict w14:anchorId="3D6019F8">
          <v:shape id="_x0000_s1039" type="#_x0000_t202" style="position:absolute;margin-left:.05pt;margin-top:387.9pt;width:4.55pt;height:16.45pt;z-index:251657736;mso-wrap-distance-left:5pt;mso-wrap-distance-right:5pt;mso-position-horizontal-relative:margin" filled="f" stroked="f">
            <v:textbox style="mso-fit-shape-to-text:t" inset="0,0,0,0">
              <w:txbxContent>
                <w:p w14:paraId="1904BFC1" w14:textId="77777777" w:rsidR="00ED77BD" w:rsidRDefault="00ED77BD"/>
              </w:txbxContent>
            </v:textbox>
            <w10:wrap anchorx="margin"/>
          </v:shape>
        </w:pict>
      </w:r>
    </w:p>
    <w:p w14:paraId="218A7EB6" w14:textId="77777777" w:rsidR="00ED77BD" w:rsidRDefault="00ED77BD">
      <w:pPr>
        <w:spacing w:line="360" w:lineRule="exact"/>
      </w:pPr>
    </w:p>
    <w:p w14:paraId="592BC151" w14:textId="77777777" w:rsidR="00ED77BD" w:rsidRDefault="00ED77BD">
      <w:pPr>
        <w:spacing w:line="360" w:lineRule="exact"/>
      </w:pPr>
    </w:p>
    <w:p w14:paraId="7EA418EA" w14:textId="77777777" w:rsidR="00ED77BD" w:rsidRDefault="00ED77BD">
      <w:pPr>
        <w:spacing w:line="360" w:lineRule="exact"/>
      </w:pPr>
    </w:p>
    <w:p w14:paraId="785CB6B3" w14:textId="77777777" w:rsidR="00ED77BD" w:rsidRDefault="00ED77BD">
      <w:pPr>
        <w:spacing w:line="360" w:lineRule="exact"/>
      </w:pPr>
    </w:p>
    <w:p w14:paraId="17D9EE3C" w14:textId="77777777" w:rsidR="00ED77BD" w:rsidRDefault="00ED77BD">
      <w:pPr>
        <w:spacing w:line="360" w:lineRule="exact"/>
      </w:pPr>
    </w:p>
    <w:p w14:paraId="1E953B5B" w14:textId="77777777" w:rsidR="00ED77BD" w:rsidRDefault="00ED77BD">
      <w:pPr>
        <w:spacing w:line="360" w:lineRule="exact"/>
      </w:pPr>
    </w:p>
    <w:p w14:paraId="5E12D771" w14:textId="77777777" w:rsidR="00ED77BD" w:rsidRDefault="00ED77BD">
      <w:pPr>
        <w:spacing w:line="360" w:lineRule="exact"/>
      </w:pPr>
    </w:p>
    <w:p w14:paraId="13DFEB89" w14:textId="77777777" w:rsidR="00ED77BD" w:rsidRDefault="00ED77BD">
      <w:pPr>
        <w:spacing w:line="360" w:lineRule="exact"/>
      </w:pPr>
    </w:p>
    <w:p w14:paraId="105BA650" w14:textId="77777777" w:rsidR="00ED77BD" w:rsidRDefault="00ED77BD">
      <w:pPr>
        <w:spacing w:line="360" w:lineRule="exact"/>
      </w:pPr>
    </w:p>
    <w:p w14:paraId="2707FFBD" w14:textId="77777777" w:rsidR="00ED77BD" w:rsidRDefault="00ED77BD">
      <w:pPr>
        <w:spacing w:line="360" w:lineRule="exact"/>
      </w:pPr>
    </w:p>
    <w:p w14:paraId="78EAC3BB" w14:textId="77777777" w:rsidR="00ED77BD" w:rsidRDefault="00ED77BD">
      <w:pPr>
        <w:spacing w:line="360" w:lineRule="exact"/>
      </w:pPr>
    </w:p>
    <w:p w14:paraId="6163E779" w14:textId="77777777" w:rsidR="00ED77BD" w:rsidRDefault="00ED77BD">
      <w:pPr>
        <w:spacing w:line="360" w:lineRule="exact"/>
      </w:pPr>
    </w:p>
    <w:p w14:paraId="50B4079D" w14:textId="77777777" w:rsidR="00ED77BD" w:rsidRDefault="00ED77BD">
      <w:pPr>
        <w:spacing w:line="360" w:lineRule="exact"/>
      </w:pPr>
    </w:p>
    <w:p w14:paraId="2594F923" w14:textId="77777777" w:rsidR="00ED77BD" w:rsidRDefault="00ED77BD">
      <w:pPr>
        <w:spacing w:line="360" w:lineRule="exact"/>
      </w:pPr>
    </w:p>
    <w:p w14:paraId="5F268B28" w14:textId="77777777" w:rsidR="00ED77BD" w:rsidRDefault="00ED77BD">
      <w:pPr>
        <w:spacing w:line="360" w:lineRule="exact"/>
      </w:pPr>
    </w:p>
    <w:p w14:paraId="64B55665" w14:textId="77777777" w:rsidR="00ED77BD" w:rsidRDefault="00ED77BD">
      <w:pPr>
        <w:spacing w:line="360" w:lineRule="exact"/>
      </w:pPr>
    </w:p>
    <w:p w14:paraId="1BC04ADE" w14:textId="77777777" w:rsidR="00ED77BD" w:rsidRDefault="00ED77BD">
      <w:pPr>
        <w:spacing w:line="360" w:lineRule="exact"/>
      </w:pPr>
    </w:p>
    <w:p w14:paraId="3B04E8E3" w14:textId="77777777" w:rsidR="00ED77BD" w:rsidRDefault="00ED77BD">
      <w:pPr>
        <w:spacing w:line="360" w:lineRule="exact"/>
      </w:pPr>
    </w:p>
    <w:p w14:paraId="466715D2" w14:textId="77777777" w:rsidR="00ED77BD" w:rsidRDefault="00ED77BD">
      <w:pPr>
        <w:spacing w:line="360" w:lineRule="exact"/>
      </w:pPr>
    </w:p>
    <w:p w14:paraId="7BBCEC75" w14:textId="77777777" w:rsidR="00ED77BD" w:rsidRDefault="00ED77BD">
      <w:pPr>
        <w:spacing w:line="360" w:lineRule="exact"/>
      </w:pPr>
    </w:p>
    <w:p w14:paraId="19C8362C" w14:textId="77777777" w:rsidR="00ED77BD" w:rsidRDefault="00ED77BD">
      <w:pPr>
        <w:spacing w:line="482" w:lineRule="exact"/>
      </w:pPr>
    </w:p>
    <w:p w14:paraId="30D2FE97" w14:textId="77777777" w:rsidR="00ED77BD" w:rsidRDefault="00ED77BD">
      <w:pPr>
        <w:rPr>
          <w:sz w:val="2"/>
          <w:szCs w:val="2"/>
        </w:rPr>
      </w:pPr>
    </w:p>
    <w:sectPr w:rsidR="00ED77BD">
      <w:pgSz w:w="11900" w:h="16840"/>
      <w:pgMar w:top="408" w:right="11410" w:bottom="408" w:left="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12E3" w14:textId="77777777" w:rsidR="00A04754" w:rsidRDefault="00A04754">
      <w:r>
        <w:separator/>
      </w:r>
    </w:p>
  </w:endnote>
  <w:endnote w:type="continuationSeparator" w:id="0">
    <w:p w14:paraId="4822C270" w14:textId="77777777" w:rsidR="00A04754" w:rsidRDefault="00A0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2F58" w14:textId="77777777" w:rsidR="00ED77BD" w:rsidRDefault="00A04754">
    <w:pPr>
      <w:rPr>
        <w:sz w:val="2"/>
        <w:szCs w:val="2"/>
      </w:rPr>
    </w:pPr>
    <w:r>
      <w:pict w14:anchorId="0B3E5B2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7pt;margin-top:756.9pt;width:53.7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6ED06B" w14:textId="77777777" w:rsidR="00ED77BD" w:rsidRDefault="00A0475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4EA0" w14:textId="77777777" w:rsidR="00ED77BD" w:rsidRDefault="00A04754">
    <w:pPr>
      <w:rPr>
        <w:sz w:val="2"/>
        <w:szCs w:val="2"/>
      </w:rPr>
    </w:pPr>
    <w:r>
      <w:pict w14:anchorId="723AB15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7pt;margin-top:756.9pt;width:53.7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1C7245" w14:textId="77777777" w:rsidR="00ED77BD" w:rsidRDefault="00A0475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D54E" w14:textId="77777777" w:rsidR="00ED77BD" w:rsidRDefault="00ED77B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F9AFE" w14:textId="77777777" w:rsidR="00ED77BD" w:rsidRDefault="00A04754">
    <w:pPr>
      <w:rPr>
        <w:sz w:val="2"/>
        <w:szCs w:val="2"/>
      </w:rPr>
    </w:pPr>
    <w:r>
      <w:pict w14:anchorId="50B150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pt;margin-top:756.9pt;width:53.7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D1013A" w14:textId="77777777" w:rsidR="00ED77BD" w:rsidRDefault="00A0475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768B" w14:textId="77777777" w:rsidR="00ED77BD" w:rsidRDefault="00A04754">
    <w:pPr>
      <w:rPr>
        <w:sz w:val="2"/>
        <w:szCs w:val="2"/>
      </w:rPr>
    </w:pPr>
    <w:r>
      <w:pict w14:anchorId="3D63B9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35pt;margin-top:763.3pt;width:53.75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AB8C6B" w14:textId="77777777" w:rsidR="00ED77BD" w:rsidRDefault="00A0475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06E0" w14:textId="77777777" w:rsidR="00ED77BD" w:rsidRDefault="00ED77BD"/>
  </w:footnote>
  <w:footnote w:type="continuationSeparator" w:id="0">
    <w:p w14:paraId="4870E3E0" w14:textId="77777777" w:rsidR="00ED77BD" w:rsidRDefault="00ED7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07256"/>
    <w:multiLevelType w:val="multilevel"/>
    <w:tmpl w:val="1DA226A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250BB"/>
    <w:multiLevelType w:val="multilevel"/>
    <w:tmpl w:val="D0C4993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B75F4"/>
    <w:multiLevelType w:val="multilevel"/>
    <w:tmpl w:val="D45A32C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5A16A5"/>
    <w:multiLevelType w:val="multilevel"/>
    <w:tmpl w:val="EC08865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6709B"/>
    <w:multiLevelType w:val="multilevel"/>
    <w:tmpl w:val="6AEA086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53383"/>
    <w:multiLevelType w:val="multilevel"/>
    <w:tmpl w:val="C1848E78"/>
    <w:lvl w:ilvl="0">
      <w:start w:val="6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6332920">
    <w:abstractNumId w:val="0"/>
  </w:num>
  <w:num w:numId="2" w16cid:durableId="924844891">
    <w:abstractNumId w:val="2"/>
  </w:num>
  <w:num w:numId="3" w16cid:durableId="308947384">
    <w:abstractNumId w:val="4"/>
  </w:num>
  <w:num w:numId="4" w16cid:durableId="900216257">
    <w:abstractNumId w:val="3"/>
  </w:num>
  <w:num w:numId="5" w16cid:durableId="658582650">
    <w:abstractNumId w:val="1"/>
  </w:num>
  <w:num w:numId="6" w16cid:durableId="1065758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7BD"/>
    <w:rsid w:val="00A04754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1FE2041"/>
  <w15:docId w15:val="{62C73754-038D-43A3-BBBF-EA806EEC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/>
      <w:iCs/>
      <w:smallCaps w:val="0"/>
      <w:strike w:val="0"/>
      <w:spacing w:val="-5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Calibri42ptNekurzvadkovn0pt">
    <w:name w:val="Nadpis #2 + Calibri;42 pt;Ne kurzíva;Řádkování 0 pt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3Arial7ptNetunNekurzvadkovn0pt">
    <w:name w:val="Základní text (3) + Arial;7 pt;Ne tučné;Ne kurzíva;Řádkování 0 pt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0ptNetunKurzva">
    <w:name w:val="Základní text (5) + 10 pt;Ne tučné;Kurzíva"/>
    <w:basedOn w:val="Zkladntext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Kurzvadkovn-1ptExact">
    <w:name w:val="Základní text (2) + Tučné;Kurzíva;Řádkování -1 pt Exact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2ptExact">
    <w:name w:val="Základní text (2) + Řádkování 2 pt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9ptTunExact">
    <w:name w:val="Základní text (2) + 19 pt;Tučné Exac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dkovn3ptExact">
    <w:name w:val="Základní text (6) + Řádkování 3 pt Exact"/>
    <w:basedOn w:val="Zkladn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20" w:line="0" w:lineRule="atLeast"/>
      <w:jc w:val="right"/>
      <w:outlineLvl w:val="1"/>
    </w:pPr>
    <w:rPr>
      <w:rFonts w:ascii="Segoe UI" w:eastAsia="Segoe UI" w:hAnsi="Segoe UI" w:cs="Segoe UI"/>
      <w:i/>
      <w:iCs/>
      <w:spacing w:val="-50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300" w:line="0" w:lineRule="atLeast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9" w:lineRule="exact"/>
      <w:ind w:hanging="1800"/>
    </w:pPr>
    <w:rPr>
      <w:rFonts w:ascii="Segoe UI" w:eastAsia="Segoe UI" w:hAnsi="Segoe UI" w:cs="Segoe U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54" w:lineRule="exact"/>
      <w:outlineLvl w:val="2"/>
    </w:pPr>
    <w:rPr>
      <w:rFonts w:ascii="Segoe UI" w:eastAsia="Segoe UI" w:hAnsi="Segoe UI" w:cs="Segoe UI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46"/>
      <w:szCs w:val="4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1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ecko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nemtr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2024-06-05T07:14:00Z</dcterms:created>
  <dcterms:modified xsi:type="dcterms:W3CDTF">2024-06-05T07:15:00Z</dcterms:modified>
</cp:coreProperties>
</file>