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95BF" w14:textId="4065DB11" w:rsidR="005E7B0A" w:rsidRDefault="00E12BC3" w:rsidP="0077329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 </w:t>
      </w:r>
      <w:r w:rsidR="00FE6156" w:rsidRPr="00FE6156">
        <w:rPr>
          <w:rFonts w:ascii="Arial" w:hAnsi="Arial" w:cs="Arial"/>
          <w:bCs/>
          <w:sz w:val="22"/>
          <w:szCs w:val="22"/>
        </w:rPr>
        <w:t>SPU 170535/2024</w:t>
      </w:r>
    </w:p>
    <w:p w14:paraId="5B9F9BD6" w14:textId="1BDF3C38" w:rsidR="0077329E" w:rsidRPr="005E7B0A" w:rsidRDefault="0077329E" w:rsidP="0077329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UID: </w:t>
      </w:r>
      <w:r w:rsidR="00FE6156" w:rsidRPr="00FE6156">
        <w:rPr>
          <w:rFonts w:ascii="Arial" w:hAnsi="Arial" w:cs="Arial"/>
          <w:bCs/>
          <w:sz w:val="22"/>
          <w:szCs w:val="22"/>
        </w:rPr>
        <w:t>spuess920a9f9e</w:t>
      </w:r>
    </w:p>
    <w:p w14:paraId="42B35534" w14:textId="0D0A9056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662127">
        <w:rPr>
          <w:rFonts w:ascii="Arial" w:hAnsi="Arial" w:cs="Arial"/>
          <w:b/>
          <w:sz w:val="32"/>
          <w:szCs w:val="32"/>
        </w:rPr>
        <w:t xml:space="preserve"> </w:t>
      </w:r>
      <w:r w:rsidR="00FE6156">
        <w:rPr>
          <w:rFonts w:ascii="Arial" w:hAnsi="Arial" w:cs="Arial"/>
          <w:b/>
          <w:sz w:val="32"/>
          <w:szCs w:val="32"/>
        </w:rPr>
        <w:t>2</w:t>
      </w:r>
    </w:p>
    <w:p w14:paraId="74D88188" w14:textId="4F61158C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FE6156">
        <w:rPr>
          <w:rFonts w:ascii="Arial" w:hAnsi="Arial" w:cs="Arial"/>
          <w:b/>
          <w:sz w:val="32"/>
          <w:szCs w:val="32"/>
        </w:rPr>
        <w:t>104N15/23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25707C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5914C6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7F6">
        <w:rPr>
          <w:rFonts w:ascii="Arial" w:hAnsi="Arial" w:cs="Arial"/>
          <w:sz w:val="22"/>
          <w:szCs w:val="22"/>
        </w:rPr>
        <w:t>11a</w:t>
      </w:r>
      <w:proofErr w:type="gramEnd"/>
      <w:r w:rsidRPr="00BB17F6">
        <w:rPr>
          <w:rFonts w:ascii="Arial" w:hAnsi="Arial" w:cs="Arial"/>
          <w:sz w:val="22"/>
          <w:szCs w:val="22"/>
        </w:rPr>
        <w:t>, 130 00 Praha 3 – Žižkov</w:t>
      </w:r>
    </w:p>
    <w:p w14:paraId="207EAD99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proofErr w:type="gramStart"/>
      <w:r w:rsidRPr="00BB17F6">
        <w:rPr>
          <w:rFonts w:ascii="Arial" w:hAnsi="Arial" w:cs="Arial"/>
          <w:sz w:val="22"/>
          <w:szCs w:val="22"/>
        </w:rPr>
        <w:t>IČO:  01312774</w:t>
      </w:r>
      <w:proofErr w:type="gramEnd"/>
      <w:r w:rsidRPr="00BB17F6">
        <w:rPr>
          <w:rFonts w:ascii="Arial" w:hAnsi="Arial" w:cs="Arial"/>
          <w:sz w:val="22"/>
          <w:szCs w:val="22"/>
        </w:rPr>
        <w:t xml:space="preserve"> </w:t>
      </w:r>
    </w:p>
    <w:p w14:paraId="36D68CDE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5FE6E2A9" w14:textId="6DE67353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za kter</w:t>
      </w:r>
      <w:r w:rsidR="00E555F9">
        <w:rPr>
          <w:rFonts w:ascii="Arial" w:hAnsi="Arial" w:cs="Arial"/>
          <w:sz w:val="22"/>
          <w:szCs w:val="22"/>
        </w:rPr>
        <w:t xml:space="preserve">ou </w:t>
      </w:r>
      <w:r w:rsidRPr="00BB17F6">
        <w:rPr>
          <w:rFonts w:ascii="Arial" w:hAnsi="Arial" w:cs="Arial"/>
          <w:sz w:val="22"/>
          <w:szCs w:val="22"/>
        </w:rPr>
        <w:t xml:space="preserve">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37924835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1E8F8CB" w14:textId="5A26CBC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 </w:t>
      </w:r>
    </w:p>
    <w:p w14:paraId="619D278F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6503926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514A17B" w14:textId="5DD2AFAE" w:rsidR="00C37C1A" w:rsidRDefault="00E555F9" w:rsidP="008314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AA9627" w14:textId="77777777" w:rsidR="00E555F9" w:rsidRDefault="00E555F9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546A63E1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7F3B9E8" w14:textId="77777777" w:rsidR="00FE6156" w:rsidRDefault="00FE6156" w:rsidP="00FE615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ZD Březina, zemědělské družstvo</w:t>
      </w:r>
    </w:p>
    <w:p w14:paraId="7C2FC51B" w14:textId="77777777" w:rsidR="00FE6156" w:rsidRDefault="00FE6156" w:rsidP="00FE61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č.p. 87, Březina, PSČ 666 01</w:t>
      </w:r>
    </w:p>
    <w:p w14:paraId="4FA9961E" w14:textId="77777777" w:rsidR="00FE6156" w:rsidRDefault="00FE6156" w:rsidP="00FE61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13692852</w:t>
      </w:r>
    </w:p>
    <w:p w14:paraId="37F0D9BC" w14:textId="77777777" w:rsidR="00FE6156" w:rsidRDefault="00FE6156" w:rsidP="00FE61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CZ13692852</w:t>
      </w:r>
    </w:p>
    <w:p w14:paraId="2DDDDD29" w14:textId="77777777" w:rsidR="00FE6156" w:rsidRDefault="00FE6156" w:rsidP="00FE61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Brně, oddíl DrXXXVII, vložka 2230</w:t>
      </w:r>
    </w:p>
    <w:p w14:paraId="337A3BE5" w14:textId="77777777" w:rsidR="00FE6156" w:rsidRDefault="00FE6156" w:rsidP="00FE61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Marek Vermousek – předseda představenstva a Pavel Jebáček – místopředseda představenstva</w:t>
      </w:r>
    </w:p>
    <w:p w14:paraId="73589D66" w14:textId="77777777" w:rsidR="00FE6156" w:rsidRPr="00BE2960" w:rsidRDefault="00FE6156" w:rsidP="00FE6156">
      <w:pPr>
        <w:jc w:val="both"/>
        <w:rPr>
          <w:rFonts w:ascii="Arial" w:hAnsi="Arial" w:cs="Arial"/>
          <w:sz w:val="22"/>
          <w:szCs w:val="22"/>
        </w:rPr>
      </w:pPr>
      <w:r w:rsidRPr="00BE2960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14:paraId="299B50C3" w14:textId="77777777" w:rsidR="00FE6156" w:rsidRPr="000D4F61" w:rsidRDefault="00FE6156" w:rsidP="00FE6156">
      <w:pPr>
        <w:jc w:val="both"/>
        <w:rPr>
          <w:rFonts w:ascii="Arial" w:hAnsi="Arial" w:cs="Arial"/>
          <w:sz w:val="22"/>
          <w:szCs w:val="22"/>
        </w:rPr>
      </w:pPr>
      <w:r w:rsidRPr="00BE2960">
        <w:rPr>
          <w:rFonts w:ascii="Arial" w:hAnsi="Arial" w:cs="Arial"/>
          <w:sz w:val="22"/>
          <w:szCs w:val="22"/>
        </w:rPr>
        <w:t xml:space="preserve">číslo účtu: </w:t>
      </w:r>
      <w:r w:rsidRPr="000D4F61">
        <w:rPr>
          <w:rFonts w:ascii="Arial" w:hAnsi="Arial" w:cs="Arial"/>
          <w:sz w:val="22"/>
          <w:szCs w:val="22"/>
          <w:shd w:val="clear" w:color="auto" w:fill="FFFFFF"/>
        </w:rPr>
        <w:t>13418641/0100</w:t>
      </w:r>
    </w:p>
    <w:p w14:paraId="04FC880E" w14:textId="77777777" w:rsidR="00E16172" w:rsidRPr="001B7359" w:rsidRDefault="00E16172" w:rsidP="00114D09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</w:p>
    <w:p w14:paraId="314F18FE" w14:textId="24CC131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712F5E" w14:textId="77777777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0332E971" w14:textId="54CEF22A" w:rsidR="002D41FD" w:rsidRPr="00AD521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FE6156">
        <w:rPr>
          <w:rFonts w:ascii="Arial" w:hAnsi="Arial" w:cs="Arial"/>
          <w:sz w:val="22"/>
          <w:szCs w:val="22"/>
        </w:rPr>
        <w:t>2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FE6156">
        <w:rPr>
          <w:rFonts w:ascii="Arial" w:hAnsi="Arial" w:cs="Arial"/>
          <w:sz w:val="22"/>
          <w:szCs w:val="22"/>
        </w:rPr>
        <w:t>104N15/23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E941B0">
        <w:rPr>
          <w:rFonts w:ascii="Arial" w:hAnsi="Arial" w:cs="Arial"/>
          <w:sz w:val="22"/>
          <w:szCs w:val="22"/>
        </w:rPr>
        <w:t xml:space="preserve">1. </w:t>
      </w:r>
      <w:r w:rsidR="00FE6156">
        <w:rPr>
          <w:rFonts w:ascii="Arial" w:hAnsi="Arial" w:cs="Arial"/>
          <w:sz w:val="22"/>
          <w:szCs w:val="22"/>
        </w:rPr>
        <w:t>10. 2015</w:t>
      </w:r>
      <w:r w:rsidR="00E941B0">
        <w:rPr>
          <w:rFonts w:ascii="Arial" w:hAnsi="Arial" w:cs="Arial"/>
          <w:sz w:val="22"/>
          <w:szCs w:val="22"/>
        </w:rPr>
        <w:t xml:space="preserve">, ve znění dodatku č. </w:t>
      </w:r>
      <w:r w:rsidR="00F22BD7">
        <w:rPr>
          <w:rFonts w:ascii="Arial" w:hAnsi="Arial" w:cs="Arial"/>
          <w:sz w:val="22"/>
          <w:szCs w:val="22"/>
        </w:rPr>
        <w:t>1</w:t>
      </w:r>
      <w:r w:rsidR="007B20D3">
        <w:rPr>
          <w:rFonts w:ascii="Arial" w:hAnsi="Arial" w:cs="Arial"/>
          <w:sz w:val="22"/>
          <w:szCs w:val="22"/>
        </w:rPr>
        <w:t xml:space="preserve"> </w:t>
      </w:r>
      <w:r w:rsidR="00CF02BD" w:rsidRPr="00AD521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D5217">
        <w:rPr>
          <w:rFonts w:ascii="Arial" w:hAnsi="Arial" w:cs="Arial"/>
          <w:sz w:val="22"/>
          <w:szCs w:val="22"/>
        </w:rPr>
        <w:t xml:space="preserve">kterým se mění předmět </w:t>
      </w:r>
      <w:r w:rsidR="007F29E6">
        <w:rPr>
          <w:rFonts w:ascii="Arial" w:hAnsi="Arial" w:cs="Arial"/>
          <w:sz w:val="22"/>
          <w:szCs w:val="22"/>
        </w:rPr>
        <w:t>pachtu</w:t>
      </w:r>
      <w:r w:rsidR="007A0B34">
        <w:rPr>
          <w:rFonts w:ascii="Arial" w:hAnsi="Arial" w:cs="Arial"/>
          <w:sz w:val="22"/>
          <w:szCs w:val="22"/>
        </w:rPr>
        <w:t xml:space="preserve"> a výše pachtovného</w:t>
      </w:r>
      <w:r w:rsidR="00E16172">
        <w:rPr>
          <w:rFonts w:ascii="Arial" w:hAnsi="Arial" w:cs="Arial"/>
          <w:sz w:val="22"/>
          <w:szCs w:val="22"/>
        </w:rPr>
        <w:t>.</w:t>
      </w:r>
    </w:p>
    <w:p w14:paraId="533241A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A1CE" w14:textId="729AC6EB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306FB">
        <w:rPr>
          <w:rFonts w:ascii="Arial" w:hAnsi="Arial" w:cs="Arial"/>
          <w:iCs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FE6156">
        <w:rPr>
          <w:rFonts w:ascii="Arial" w:hAnsi="Arial" w:cs="Arial"/>
          <w:iCs/>
          <w:sz w:val="22"/>
          <w:szCs w:val="22"/>
        </w:rPr>
        <w:t>2.291</w:t>
      </w:r>
      <w:r w:rsidR="002C7914">
        <w:rPr>
          <w:rFonts w:ascii="Arial" w:hAnsi="Arial" w:cs="Arial"/>
          <w:iCs/>
          <w:sz w:val="22"/>
          <w:szCs w:val="22"/>
        </w:rPr>
        <w:t>, 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FE6156">
        <w:rPr>
          <w:rFonts w:ascii="Arial" w:hAnsi="Arial" w:cs="Arial"/>
          <w:iCs/>
          <w:sz w:val="22"/>
          <w:szCs w:val="22"/>
        </w:rPr>
        <w:t>dvatisícedvěstadevadesátjedna</w:t>
      </w:r>
      <w:r w:rsidR="00A62222">
        <w:rPr>
          <w:rFonts w:ascii="Arial" w:hAnsi="Arial" w:cs="Arial"/>
          <w:iCs/>
          <w:sz w:val="22"/>
          <w:szCs w:val="22"/>
        </w:rPr>
        <w:t xml:space="preserve"> ko</w:t>
      </w:r>
      <w:r w:rsidR="00E16172">
        <w:rPr>
          <w:rFonts w:ascii="Arial" w:hAnsi="Arial" w:cs="Arial"/>
          <w:iCs/>
          <w:sz w:val="22"/>
          <w:szCs w:val="22"/>
        </w:rPr>
        <w:t>run</w:t>
      </w:r>
      <w:r w:rsidR="005951DD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českých).</w:t>
      </w:r>
    </w:p>
    <w:p w14:paraId="2E623467" w14:textId="3577572C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580A93" w14:textId="77777777" w:rsidR="002C7914" w:rsidRPr="00012682" w:rsidRDefault="002C791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D62653" w14:textId="77777777" w:rsidR="00DD290C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>2</w:t>
      </w:r>
      <w:r w:rsidR="00C078F8" w:rsidRPr="00A62BA6">
        <w:rPr>
          <w:rFonts w:ascii="Arial" w:hAnsi="Arial" w:cs="Arial"/>
          <w:sz w:val="22"/>
          <w:szCs w:val="22"/>
        </w:rPr>
        <w:t>.</w:t>
      </w:r>
      <w:r w:rsidR="00907DA4" w:rsidRPr="00A62BA6">
        <w:rPr>
          <w:rFonts w:ascii="Arial" w:hAnsi="Arial" w:cs="Arial"/>
          <w:sz w:val="22"/>
          <w:szCs w:val="22"/>
        </w:rPr>
        <w:t xml:space="preserve"> </w:t>
      </w:r>
      <w:r w:rsidR="002D41FD" w:rsidRPr="00A62BA6">
        <w:rPr>
          <w:rFonts w:ascii="Arial" w:hAnsi="Arial" w:cs="Arial"/>
          <w:sz w:val="22"/>
          <w:szCs w:val="22"/>
        </w:rPr>
        <w:t xml:space="preserve">Smluvní strany se dohodly na </w:t>
      </w:r>
      <w:r w:rsidR="00A56476">
        <w:rPr>
          <w:rFonts w:ascii="Arial" w:hAnsi="Arial" w:cs="Arial"/>
          <w:sz w:val="22"/>
          <w:szCs w:val="22"/>
        </w:rPr>
        <w:t>rozšíření předmětu pachtu o níže uveden</w:t>
      </w:r>
      <w:r w:rsidR="00E941B0">
        <w:rPr>
          <w:rFonts w:ascii="Arial" w:hAnsi="Arial" w:cs="Arial"/>
          <w:sz w:val="22"/>
          <w:szCs w:val="22"/>
        </w:rPr>
        <w:t>é</w:t>
      </w:r>
      <w:r w:rsidR="00A56476">
        <w:rPr>
          <w:rFonts w:ascii="Arial" w:hAnsi="Arial" w:cs="Arial"/>
          <w:sz w:val="22"/>
          <w:szCs w:val="22"/>
        </w:rPr>
        <w:t xml:space="preserve"> pozem</w:t>
      </w:r>
      <w:r w:rsidR="00102083">
        <w:rPr>
          <w:rFonts w:ascii="Arial" w:hAnsi="Arial" w:cs="Arial"/>
          <w:sz w:val="22"/>
          <w:szCs w:val="22"/>
        </w:rPr>
        <w:t>ky</w:t>
      </w:r>
      <w:r w:rsidR="00D15F9A">
        <w:rPr>
          <w:rFonts w:ascii="Arial" w:hAnsi="Arial" w:cs="Arial"/>
          <w:sz w:val="22"/>
          <w:szCs w:val="22"/>
        </w:rPr>
        <w:t>:</w:t>
      </w:r>
      <w:r w:rsidR="00A56476">
        <w:rPr>
          <w:rFonts w:ascii="Arial" w:hAnsi="Arial" w:cs="Arial"/>
          <w:sz w:val="22"/>
          <w:szCs w:val="22"/>
        </w:rPr>
        <w:t xml:space="preserve"> </w:t>
      </w:r>
      <w:r w:rsidR="00A56476">
        <w:rPr>
          <w:rFonts w:ascii="Arial" w:hAnsi="Arial" w:cs="Arial"/>
          <w:sz w:val="22"/>
          <w:szCs w:val="22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418"/>
        <w:gridCol w:w="992"/>
        <w:gridCol w:w="992"/>
        <w:gridCol w:w="851"/>
        <w:gridCol w:w="1842"/>
      </w:tblGrid>
      <w:tr w:rsidR="00DD290C" w:rsidRPr="004F0733" w14:paraId="462E6131" w14:textId="77777777" w:rsidTr="00DD290C">
        <w:trPr>
          <w:cantSplit/>
          <w:trHeight w:val="610"/>
        </w:trPr>
        <w:tc>
          <w:tcPr>
            <w:tcW w:w="1413" w:type="dxa"/>
            <w:vAlign w:val="center"/>
          </w:tcPr>
          <w:p w14:paraId="2688ED5C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6E06A687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418" w:type="dxa"/>
            <w:vAlign w:val="center"/>
          </w:tcPr>
          <w:p w14:paraId="102F8D85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0B54E031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5229661B" w14:textId="77777777" w:rsidR="00DD290C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193EFD64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851" w:type="dxa"/>
            <w:vAlign w:val="center"/>
          </w:tcPr>
          <w:p w14:paraId="208BA82B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28BF2DFF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14:paraId="49546834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DD290C" w:rsidRPr="004F0733" w14:paraId="4F81F412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7C536785" w14:textId="7723756F" w:rsidR="00DD290C" w:rsidRPr="004F0733" w:rsidRDefault="008316B3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Březina </w:t>
            </w:r>
            <w:r w:rsidR="00DD29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6B7478A" w14:textId="1CA70F0B" w:rsidR="00DD290C" w:rsidRPr="004F0733" w:rsidRDefault="008316B3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Březina u Tišnova</w:t>
            </w:r>
          </w:p>
        </w:tc>
        <w:tc>
          <w:tcPr>
            <w:tcW w:w="1418" w:type="dxa"/>
            <w:vAlign w:val="center"/>
          </w:tcPr>
          <w:p w14:paraId="6040341A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1A1BA16A" w14:textId="76E98F72" w:rsidR="00DD290C" w:rsidRPr="00A83E5C" w:rsidRDefault="008316B3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1222</w:t>
            </w:r>
          </w:p>
        </w:tc>
        <w:tc>
          <w:tcPr>
            <w:tcW w:w="992" w:type="dxa"/>
            <w:vAlign w:val="center"/>
          </w:tcPr>
          <w:p w14:paraId="310C1C6D" w14:textId="30ABDFDE" w:rsidR="00DD290C" w:rsidRPr="00A83E5C" w:rsidRDefault="008316B3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38AB4EED" w14:textId="717292BB" w:rsidR="00DD290C" w:rsidRPr="004F0733" w:rsidRDefault="008316B3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584</w:t>
            </w:r>
          </w:p>
        </w:tc>
        <w:tc>
          <w:tcPr>
            <w:tcW w:w="1842" w:type="dxa"/>
            <w:vAlign w:val="center"/>
          </w:tcPr>
          <w:p w14:paraId="1EFF9EF6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16B3" w14:paraId="0AB80BC1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477D32ED" w14:textId="4375F753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59" w:type="dxa"/>
            <w:vAlign w:val="center"/>
          </w:tcPr>
          <w:p w14:paraId="29178684" w14:textId="1F9DFDA7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418" w:type="dxa"/>
            <w:vAlign w:val="center"/>
          </w:tcPr>
          <w:p w14:paraId="06903652" w14:textId="0B18A29F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65809C63" w14:textId="4B237505" w:rsidR="008316B3" w:rsidRPr="00020F2A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2A4D10B1" w14:textId="77777777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11FC6F70" w14:textId="698621E7" w:rsidR="008316B3" w:rsidRPr="00020F2A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851" w:type="dxa"/>
            <w:vAlign w:val="center"/>
          </w:tcPr>
          <w:p w14:paraId="59CF7F52" w14:textId="77777777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1C4BDDA0" w14:textId="085455EB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14:paraId="258216F9" w14:textId="2670C5C8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8316B3" w14:paraId="1365377E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0141E383" w14:textId="063C26CB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Březina  </w:t>
            </w:r>
          </w:p>
        </w:tc>
        <w:tc>
          <w:tcPr>
            <w:tcW w:w="1559" w:type="dxa"/>
            <w:vAlign w:val="center"/>
          </w:tcPr>
          <w:p w14:paraId="57C1D8E1" w14:textId="4CA8FDB5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Březina u Tišnova</w:t>
            </w:r>
          </w:p>
        </w:tc>
        <w:tc>
          <w:tcPr>
            <w:tcW w:w="1418" w:type="dxa"/>
            <w:vAlign w:val="center"/>
          </w:tcPr>
          <w:p w14:paraId="42AA121B" w14:textId="0A19D8EE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11857738" w14:textId="0E235A82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1248</w:t>
            </w:r>
          </w:p>
        </w:tc>
        <w:tc>
          <w:tcPr>
            <w:tcW w:w="992" w:type="dxa"/>
            <w:vAlign w:val="center"/>
          </w:tcPr>
          <w:p w14:paraId="483B57EA" w14:textId="565E5252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27A88B2B" w14:textId="29C7D1BD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2075</w:t>
            </w:r>
          </w:p>
        </w:tc>
        <w:tc>
          <w:tcPr>
            <w:tcW w:w="1842" w:type="dxa"/>
            <w:vAlign w:val="center"/>
          </w:tcPr>
          <w:p w14:paraId="07EFBE53" w14:textId="5194EE31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16B3" w14:paraId="34AF794C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50C51BE8" w14:textId="1BBD0D0C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Březina  </w:t>
            </w:r>
          </w:p>
        </w:tc>
        <w:tc>
          <w:tcPr>
            <w:tcW w:w="1559" w:type="dxa"/>
            <w:vAlign w:val="center"/>
          </w:tcPr>
          <w:p w14:paraId="34CC7942" w14:textId="3EAA4918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Březina u Tišnova</w:t>
            </w:r>
          </w:p>
        </w:tc>
        <w:tc>
          <w:tcPr>
            <w:tcW w:w="1418" w:type="dxa"/>
            <w:vAlign w:val="center"/>
          </w:tcPr>
          <w:p w14:paraId="2354BAFC" w14:textId="25C2FF5A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4961F81" w14:textId="5F741599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1262</w:t>
            </w:r>
          </w:p>
        </w:tc>
        <w:tc>
          <w:tcPr>
            <w:tcW w:w="992" w:type="dxa"/>
            <w:vAlign w:val="center"/>
          </w:tcPr>
          <w:p w14:paraId="0E43560F" w14:textId="37F983C8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484927C9" w14:textId="296C7B83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3167</w:t>
            </w:r>
          </w:p>
        </w:tc>
        <w:tc>
          <w:tcPr>
            <w:tcW w:w="1842" w:type="dxa"/>
            <w:vAlign w:val="center"/>
          </w:tcPr>
          <w:p w14:paraId="3988158C" w14:textId="38D271D2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16B3" w14:paraId="0AB70B72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2BFF5786" w14:textId="684106E5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Březina  </w:t>
            </w:r>
          </w:p>
        </w:tc>
        <w:tc>
          <w:tcPr>
            <w:tcW w:w="1559" w:type="dxa"/>
            <w:vAlign w:val="center"/>
          </w:tcPr>
          <w:p w14:paraId="7DCD7582" w14:textId="21B262A0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Březina u Tišnova</w:t>
            </w:r>
          </w:p>
        </w:tc>
        <w:tc>
          <w:tcPr>
            <w:tcW w:w="1418" w:type="dxa"/>
            <w:vAlign w:val="center"/>
          </w:tcPr>
          <w:p w14:paraId="4E220785" w14:textId="537E4906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A874692" w14:textId="69EBDC01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1377</w:t>
            </w:r>
          </w:p>
        </w:tc>
        <w:tc>
          <w:tcPr>
            <w:tcW w:w="992" w:type="dxa"/>
            <w:vAlign w:val="center"/>
          </w:tcPr>
          <w:p w14:paraId="02AB0CEF" w14:textId="3BF752B6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771BE1A5" w14:textId="396DCDDD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11421</w:t>
            </w:r>
          </w:p>
        </w:tc>
        <w:tc>
          <w:tcPr>
            <w:tcW w:w="1842" w:type="dxa"/>
            <w:vAlign w:val="center"/>
          </w:tcPr>
          <w:p w14:paraId="03AC7953" w14:textId="476BB56F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16B3" w14:paraId="21AF7AD0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3286C50D" w14:textId="3C5B102D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Březina  </w:t>
            </w:r>
          </w:p>
        </w:tc>
        <w:tc>
          <w:tcPr>
            <w:tcW w:w="1559" w:type="dxa"/>
            <w:vAlign w:val="center"/>
          </w:tcPr>
          <w:p w14:paraId="77424608" w14:textId="0C886F75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Březina u Tišnova</w:t>
            </w:r>
          </w:p>
        </w:tc>
        <w:tc>
          <w:tcPr>
            <w:tcW w:w="1418" w:type="dxa"/>
            <w:vAlign w:val="center"/>
          </w:tcPr>
          <w:p w14:paraId="44859798" w14:textId="69289E90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54157144" w14:textId="1EA33851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1399</w:t>
            </w:r>
          </w:p>
        </w:tc>
        <w:tc>
          <w:tcPr>
            <w:tcW w:w="992" w:type="dxa"/>
            <w:vAlign w:val="center"/>
          </w:tcPr>
          <w:p w14:paraId="55A72FBE" w14:textId="05B72836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09DF7766" w14:textId="39467A79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1957</w:t>
            </w:r>
          </w:p>
        </w:tc>
        <w:tc>
          <w:tcPr>
            <w:tcW w:w="1842" w:type="dxa"/>
            <w:vAlign w:val="center"/>
          </w:tcPr>
          <w:p w14:paraId="5CF442B1" w14:textId="1387035F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16B3" w14:paraId="55A42909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5C020A5F" w14:textId="592F6721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Březina  </w:t>
            </w:r>
          </w:p>
        </w:tc>
        <w:tc>
          <w:tcPr>
            <w:tcW w:w="1559" w:type="dxa"/>
            <w:vAlign w:val="center"/>
          </w:tcPr>
          <w:p w14:paraId="5554B85A" w14:textId="0A943748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Březina u Tišnova</w:t>
            </w:r>
          </w:p>
        </w:tc>
        <w:tc>
          <w:tcPr>
            <w:tcW w:w="1418" w:type="dxa"/>
            <w:vAlign w:val="center"/>
          </w:tcPr>
          <w:p w14:paraId="2E31265E" w14:textId="731973E9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2E99BD8A" w14:textId="23CDD9E6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1945</w:t>
            </w:r>
          </w:p>
        </w:tc>
        <w:tc>
          <w:tcPr>
            <w:tcW w:w="992" w:type="dxa"/>
            <w:vAlign w:val="center"/>
          </w:tcPr>
          <w:p w14:paraId="5B09255B" w14:textId="0A6DCF09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08EB062E" w14:textId="221AF397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12075</w:t>
            </w:r>
          </w:p>
        </w:tc>
        <w:tc>
          <w:tcPr>
            <w:tcW w:w="1842" w:type="dxa"/>
            <w:vAlign w:val="center"/>
          </w:tcPr>
          <w:p w14:paraId="3B58B853" w14:textId="399A629A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16B3" w14:paraId="2CE95601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51625EB6" w14:textId="7915A92B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Březina  </w:t>
            </w:r>
          </w:p>
        </w:tc>
        <w:tc>
          <w:tcPr>
            <w:tcW w:w="1559" w:type="dxa"/>
            <w:vAlign w:val="center"/>
          </w:tcPr>
          <w:p w14:paraId="45D83AB8" w14:textId="4F07CA16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Březina u Tišnova</w:t>
            </w:r>
          </w:p>
        </w:tc>
        <w:tc>
          <w:tcPr>
            <w:tcW w:w="1418" w:type="dxa"/>
            <w:vAlign w:val="center"/>
          </w:tcPr>
          <w:p w14:paraId="13516D14" w14:textId="78E08FEC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35D24FA3" w14:textId="7DEBCB5D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1995</w:t>
            </w:r>
          </w:p>
        </w:tc>
        <w:tc>
          <w:tcPr>
            <w:tcW w:w="992" w:type="dxa"/>
            <w:vAlign w:val="center"/>
          </w:tcPr>
          <w:p w14:paraId="604602F8" w14:textId="09072075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78ECCD5D" w14:textId="4C793397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3077</w:t>
            </w:r>
          </w:p>
        </w:tc>
        <w:tc>
          <w:tcPr>
            <w:tcW w:w="1842" w:type="dxa"/>
            <w:vAlign w:val="center"/>
          </w:tcPr>
          <w:p w14:paraId="2F8F70DB" w14:textId="2BD1963A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16B3" w14:paraId="5570FB74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2C0C68DC" w14:textId="2A9418D8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Březina  </w:t>
            </w:r>
          </w:p>
        </w:tc>
        <w:tc>
          <w:tcPr>
            <w:tcW w:w="1559" w:type="dxa"/>
            <w:vAlign w:val="center"/>
          </w:tcPr>
          <w:p w14:paraId="731F82AE" w14:textId="0E89D8DC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Březina u Tišnova</w:t>
            </w:r>
          </w:p>
        </w:tc>
        <w:tc>
          <w:tcPr>
            <w:tcW w:w="1418" w:type="dxa"/>
            <w:vAlign w:val="center"/>
          </w:tcPr>
          <w:p w14:paraId="1AE54759" w14:textId="595120D9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68EED7CD" w14:textId="0F963A05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1996</w:t>
            </w:r>
          </w:p>
        </w:tc>
        <w:tc>
          <w:tcPr>
            <w:tcW w:w="992" w:type="dxa"/>
            <w:vAlign w:val="center"/>
          </w:tcPr>
          <w:p w14:paraId="2DD9D5B3" w14:textId="1F6B95AE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18E80208" w14:textId="64F82937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1842" w:type="dxa"/>
            <w:vAlign w:val="center"/>
          </w:tcPr>
          <w:p w14:paraId="17A2A3C2" w14:textId="305F7B22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8316B3" w14:paraId="45EF6EFA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6C26A7E2" w14:textId="55046C17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Březina  </w:t>
            </w:r>
          </w:p>
        </w:tc>
        <w:tc>
          <w:tcPr>
            <w:tcW w:w="1559" w:type="dxa"/>
            <w:vAlign w:val="center"/>
          </w:tcPr>
          <w:p w14:paraId="220367BD" w14:textId="25B3869F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Březina u Tišnova</w:t>
            </w:r>
          </w:p>
        </w:tc>
        <w:tc>
          <w:tcPr>
            <w:tcW w:w="1418" w:type="dxa"/>
            <w:vAlign w:val="center"/>
          </w:tcPr>
          <w:p w14:paraId="77AF8105" w14:textId="73405A8D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22F581F9" w14:textId="2700FB53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2038</w:t>
            </w:r>
          </w:p>
        </w:tc>
        <w:tc>
          <w:tcPr>
            <w:tcW w:w="992" w:type="dxa"/>
            <w:vAlign w:val="center"/>
          </w:tcPr>
          <w:p w14:paraId="3F87E953" w14:textId="29096052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5C0EF403" w14:textId="629571B1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2058</w:t>
            </w:r>
          </w:p>
        </w:tc>
        <w:tc>
          <w:tcPr>
            <w:tcW w:w="1842" w:type="dxa"/>
            <w:vAlign w:val="center"/>
          </w:tcPr>
          <w:p w14:paraId="44B3EF48" w14:textId="702E4641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16B3" w14:paraId="330A804D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3DB2855E" w14:textId="6069D305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Heroltice</w:t>
            </w:r>
          </w:p>
        </w:tc>
        <w:tc>
          <w:tcPr>
            <w:tcW w:w="1559" w:type="dxa"/>
            <w:vAlign w:val="center"/>
          </w:tcPr>
          <w:p w14:paraId="04B32964" w14:textId="5DFC2284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Heroltice u Tišnova</w:t>
            </w:r>
          </w:p>
        </w:tc>
        <w:tc>
          <w:tcPr>
            <w:tcW w:w="1418" w:type="dxa"/>
            <w:vAlign w:val="center"/>
          </w:tcPr>
          <w:p w14:paraId="68478451" w14:textId="298B9B63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1AAC10F6" w14:textId="62A55D6F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549</w:t>
            </w:r>
          </w:p>
        </w:tc>
        <w:tc>
          <w:tcPr>
            <w:tcW w:w="992" w:type="dxa"/>
            <w:vAlign w:val="center"/>
          </w:tcPr>
          <w:p w14:paraId="561378AB" w14:textId="61FA0C34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44092704" w14:textId="077180B0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</w:t>
            </w:r>
          </w:p>
        </w:tc>
        <w:tc>
          <w:tcPr>
            <w:tcW w:w="1842" w:type="dxa"/>
            <w:vAlign w:val="center"/>
          </w:tcPr>
          <w:p w14:paraId="2E2A97B3" w14:textId="62CFDF4A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8316B3" w14:paraId="637DC467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543F8997" w14:textId="1F61DF53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Heroltice</w:t>
            </w:r>
          </w:p>
        </w:tc>
        <w:tc>
          <w:tcPr>
            <w:tcW w:w="1559" w:type="dxa"/>
            <w:vAlign w:val="center"/>
          </w:tcPr>
          <w:p w14:paraId="248E4B9C" w14:textId="08C12FB3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Heroltice u Tišnova</w:t>
            </w:r>
          </w:p>
        </w:tc>
        <w:tc>
          <w:tcPr>
            <w:tcW w:w="1418" w:type="dxa"/>
            <w:vAlign w:val="center"/>
          </w:tcPr>
          <w:p w14:paraId="01F76CC7" w14:textId="764F9082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C14BE40" w14:textId="1E3EC69C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551/2</w:t>
            </w:r>
          </w:p>
        </w:tc>
        <w:tc>
          <w:tcPr>
            <w:tcW w:w="992" w:type="dxa"/>
            <w:vAlign w:val="center"/>
          </w:tcPr>
          <w:p w14:paraId="12D35A52" w14:textId="59E5AD6E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513CC7AE" w14:textId="064F7153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1551</w:t>
            </w:r>
          </w:p>
        </w:tc>
        <w:tc>
          <w:tcPr>
            <w:tcW w:w="1842" w:type="dxa"/>
            <w:vAlign w:val="center"/>
          </w:tcPr>
          <w:p w14:paraId="23C54F3E" w14:textId="1D37442E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16B3" w14:paraId="050DC978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19591253" w14:textId="4912C2C3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Heroltice</w:t>
            </w:r>
          </w:p>
        </w:tc>
        <w:tc>
          <w:tcPr>
            <w:tcW w:w="1559" w:type="dxa"/>
            <w:vAlign w:val="center"/>
          </w:tcPr>
          <w:p w14:paraId="0920AC0F" w14:textId="6FC67BE4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Heroltice u Tišnova</w:t>
            </w:r>
          </w:p>
        </w:tc>
        <w:tc>
          <w:tcPr>
            <w:tcW w:w="1418" w:type="dxa"/>
            <w:vAlign w:val="center"/>
          </w:tcPr>
          <w:p w14:paraId="45756DE0" w14:textId="2C8BDDDA" w:rsidR="008316B3" w:rsidRPr="004F073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45050D94" w14:textId="62B8A0B7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552/2</w:t>
            </w:r>
          </w:p>
        </w:tc>
        <w:tc>
          <w:tcPr>
            <w:tcW w:w="992" w:type="dxa"/>
            <w:vAlign w:val="center"/>
          </w:tcPr>
          <w:p w14:paraId="6DE6D37C" w14:textId="5B9F7D52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4B4C2B64" w14:textId="2C97C0B0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1033</w:t>
            </w:r>
          </w:p>
        </w:tc>
        <w:tc>
          <w:tcPr>
            <w:tcW w:w="1842" w:type="dxa"/>
            <w:vAlign w:val="center"/>
          </w:tcPr>
          <w:p w14:paraId="4429722C" w14:textId="20DE0F75" w:rsidR="008316B3" w:rsidRDefault="008316B3" w:rsidP="00831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15FE45D1" w14:textId="424C5142" w:rsidR="004B33F8" w:rsidRDefault="004B33F8" w:rsidP="00623A98">
      <w:pPr>
        <w:jc w:val="both"/>
        <w:rPr>
          <w:rFonts w:ascii="Arial" w:hAnsi="Arial" w:cs="Arial"/>
          <w:sz w:val="22"/>
          <w:szCs w:val="22"/>
        </w:rPr>
      </w:pPr>
    </w:p>
    <w:p w14:paraId="5AD47F95" w14:textId="77777777" w:rsidR="001D1D15" w:rsidRPr="001D1D15" w:rsidRDefault="001D1D15" w:rsidP="001D1D1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1D1D15">
        <w:rPr>
          <w:rFonts w:ascii="Arial" w:hAnsi="Arial" w:cs="Arial"/>
          <w:i w:val="0"/>
          <w:iCs w:val="0"/>
          <w:sz w:val="22"/>
          <w:szCs w:val="22"/>
        </w:rPr>
        <w:t xml:space="preserve">Přílohu č. 1 </w:t>
      </w:r>
      <w:proofErr w:type="gramStart"/>
      <w:r w:rsidRPr="001D1D15">
        <w:rPr>
          <w:rFonts w:ascii="Arial" w:hAnsi="Arial" w:cs="Arial"/>
          <w:i w:val="0"/>
          <w:iCs w:val="0"/>
          <w:sz w:val="22"/>
          <w:szCs w:val="22"/>
        </w:rPr>
        <w:t>tvoří</w:t>
      </w:r>
      <w:proofErr w:type="gramEnd"/>
      <w:r w:rsidRPr="001D1D15">
        <w:rPr>
          <w:rFonts w:ascii="Arial" w:hAnsi="Arial" w:cs="Arial"/>
          <w:i w:val="0"/>
          <w:iCs w:val="0"/>
          <w:sz w:val="22"/>
          <w:szCs w:val="22"/>
        </w:rPr>
        <w:t xml:space="preserve"> soubor popisných informací k pozemkům rozšiřujících tímto dodatkem č. 1 předmět pachtu. Tato příloha je nedílnou součástí tohoto dodatku.</w:t>
      </w:r>
    </w:p>
    <w:p w14:paraId="22A2CE63" w14:textId="77777777" w:rsidR="001D1D15" w:rsidRDefault="001D1D15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4B991B6C" w14:textId="77777777" w:rsidR="007A0735" w:rsidRPr="00F22BD7" w:rsidRDefault="007A0735" w:rsidP="005E5049">
      <w:pPr>
        <w:jc w:val="both"/>
        <w:rPr>
          <w:rFonts w:ascii="Arial" w:hAnsi="Arial" w:cs="Arial"/>
          <w:bCs/>
          <w:sz w:val="28"/>
          <w:szCs w:val="28"/>
        </w:rPr>
      </w:pPr>
    </w:p>
    <w:p w14:paraId="52D73870" w14:textId="20AA927C" w:rsidR="000B69AB" w:rsidRDefault="00D928A2" w:rsidP="000B69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dodatku </w:t>
      </w:r>
      <w:r w:rsidR="000B69AB">
        <w:rPr>
          <w:rFonts w:ascii="Arial" w:hAnsi="Arial" w:cs="Arial"/>
          <w:sz w:val="22"/>
          <w:szCs w:val="22"/>
        </w:rPr>
        <w:t xml:space="preserve">a současně s ohledem na aktualizaci pachtovného ve výši procenta dle výrobních oblastí se nově stanovuje výše ročního pachtovného na částku </w:t>
      </w:r>
      <w:r w:rsidR="000B69AB" w:rsidRPr="000B69AB">
        <w:rPr>
          <w:rFonts w:ascii="Arial" w:hAnsi="Arial" w:cs="Arial"/>
          <w:b/>
          <w:bCs/>
          <w:sz w:val="22"/>
          <w:szCs w:val="22"/>
        </w:rPr>
        <w:t>1</w:t>
      </w:r>
      <w:r w:rsidR="001D1D15">
        <w:rPr>
          <w:rFonts w:ascii="Arial" w:hAnsi="Arial" w:cs="Arial"/>
          <w:b/>
          <w:bCs/>
          <w:sz w:val="22"/>
          <w:szCs w:val="22"/>
        </w:rPr>
        <w:t>9.067</w:t>
      </w:r>
      <w:r w:rsidR="000B69AB" w:rsidRPr="000B69AB">
        <w:rPr>
          <w:rFonts w:ascii="Arial" w:hAnsi="Arial" w:cs="Arial"/>
          <w:b/>
          <w:bCs/>
          <w:sz w:val="22"/>
          <w:szCs w:val="22"/>
        </w:rPr>
        <w:t>, - Kč</w:t>
      </w:r>
      <w:r w:rsidR="000B69AB" w:rsidRPr="00E66AB6">
        <w:rPr>
          <w:rFonts w:ascii="Arial" w:hAnsi="Arial" w:cs="Arial"/>
          <w:sz w:val="22"/>
          <w:szCs w:val="22"/>
        </w:rPr>
        <w:t xml:space="preserve"> </w:t>
      </w:r>
      <w:r w:rsidR="000B69AB">
        <w:rPr>
          <w:rFonts w:ascii="Arial" w:hAnsi="Arial" w:cs="Arial"/>
          <w:sz w:val="22"/>
          <w:szCs w:val="22"/>
        </w:rPr>
        <w:t xml:space="preserve">(slovy: </w:t>
      </w:r>
      <w:r w:rsidR="001D1D15">
        <w:rPr>
          <w:rFonts w:ascii="Arial" w:hAnsi="Arial" w:cs="Arial"/>
          <w:sz w:val="22"/>
          <w:szCs w:val="22"/>
        </w:rPr>
        <w:t>devatenácttisícšedesátsedm</w:t>
      </w:r>
      <w:r w:rsidR="000B69AB">
        <w:rPr>
          <w:rFonts w:ascii="Arial" w:hAnsi="Arial" w:cs="Arial"/>
          <w:sz w:val="22"/>
          <w:szCs w:val="22"/>
        </w:rPr>
        <w:t xml:space="preserve"> korun českých).</w:t>
      </w:r>
    </w:p>
    <w:p w14:paraId="448252BE" w14:textId="77777777" w:rsidR="00D928A2" w:rsidRPr="00F22BD7" w:rsidRDefault="00D928A2" w:rsidP="00D928A2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6AD25A1" w14:textId="6B2E091C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 w:rsidR="00DD748B">
        <w:rPr>
          <w:rFonts w:ascii="Arial" w:hAnsi="Arial" w:cs="Arial"/>
          <w:sz w:val="22"/>
          <w:szCs w:val="22"/>
        </w:rPr>
        <w:t>4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="001D1D15" w:rsidRPr="001D1D15">
        <w:rPr>
          <w:rFonts w:ascii="Arial" w:hAnsi="Arial" w:cs="Arial"/>
          <w:sz w:val="22"/>
          <w:szCs w:val="22"/>
          <w:u w:val="single"/>
          <w:shd w:val="clear" w:color="auto" w:fill="FFFFFF"/>
        </w:rPr>
        <w:t>7.700</w:t>
      </w:r>
      <w:r w:rsidR="00B05673" w:rsidRPr="001D1D15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-</w:t>
      </w:r>
      <w:r w:rsidRPr="001D1D15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</w:t>
      </w:r>
      <w:r w:rsidR="0072358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D1D15">
        <w:rPr>
          <w:rFonts w:ascii="Arial" w:hAnsi="Arial" w:cs="Arial"/>
          <w:sz w:val="22"/>
          <w:szCs w:val="22"/>
          <w:shd w:val="clear" w:color="auto" w:fill="FFFFFF"/>
        </w:rPr>
        <w:t>sedmtisícsedmset</w:t>
      </w:r>
      <w:r w:rsidR="000B69AB">
        <w:rPr>
          <w:rFonts w:ascii="Arial" w:hAnsi="Arial" w:cs="Arial"/>
          <w:sz w:val="22"/>
          <w:szCs w:val="22"/>
          <w:shd w:val="clear" w:color="auto" w:fill="FFFFFF"/>
        </w:rPr>
        <w:t xml:space="preserve"> k</w:t>
      </w:r>
      <w:r>
        <w:rPr>
          <w:rFonts w:ascii="Arial" w:hAnsi="Arial" w:cs="Arial"/>
          <w:sz w:val="22"/>
          <w:szCs w:val="22"/>
          <w:shd w:val="clear" w:color="auto" w:fill="FFFFFF"/>
        </w:rPr>
        <w:t>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českých),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</w:t>
      </w:r>
      <w:r w:rsidR="001D1D15">
        <w:rPr>
          <w:rFonts w:ascii="Arial" w:hAnsi="Arial" w:cs="Arial"/>
          <w:sz w:val="22"/>
          <w:szCs w:val="22"/>
          <w:shd w:val="clear" w:color="auto" w:fill="FFFFFF"/>
        </w:rPr>
        <w:t>2</w:t>
      </w:r>
      <w:r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4B896CD3" w14:textId="77777777" w:rsidR="00D928A2" w:rsidRPr="00F22BD7" w:rsidRDefault="00D928A2" w:rsidP="00D928A2">
      <w:pPr>
        <w:tabs>
          <w:tab w:val="left" w:pos="568"/>
        </w:tabs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7220C499" w14:textId="57FDD624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</w:t>
      </w:r>
      <w:r w:rsidR="001D1D1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je nedílnou součástí tohoto dodatku.</w:t>
      </w:r>
    </w:p>
    <w:p w14:paraId="46C2AD18" w14:textId="77777777" w:rsidR="002C7914" w:rsidRPr="001D1D15" w:rsidRDefault="002C7914" w:rsidP="004453D4">
      <w:pPr>
        <w:jc w:val="both"/>
        <w:rPr>
          <w:rFonts w:ascii="Arial" w:hAnsi="Arial" w:cs="Arial"/>
          <w:sz w:val="24"/>
          <w:szCs w:val="24"/>
        </w:rPr>
      </w:pPr>
    </w:p>
    <w:p w14:paraId="19F7A9BC" w14:textId="77777777" w:rsidR="001D1D15" w:rsidRPr="001D1D15" w:rsidRDefault="001D1D15" w:rsidP="004453D4">
      <w:pPr>
        <w:jc w:val="both"/>
        <w:rPr>
          <w:rFonts w:ascii="Arial" w:hAnsi="Arial" w:cs="Arial"/>
          <w:sz w:val="24"/>
          <w:szCs w:val="24"/>
        </w:rPr>
      </w:pPr>
    </w:p>
    <w:p w14:paraId="2C692108" w14:textId="4FFE9622" w:rsidR="009D0FCE" w:rsidRDefault="00CE268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977E9">
        <w:rPr>
          <w:b w:val="0"/>
          <w:bCs w:val="0"/>
          <w:sz w:val="22"/>
          <w:szCs w:val="22"/>
        </w:rPr>
        <w:t xml:space="preserve"> </w:t>
      </w:r>
      <w:r w:rsidR="001D1D15">
        <w:rPr>
          <w:b w:val="0"/>
          <w:bCs w:val="0"/>
          <w:sz w:val="22"/>
          <w:szCs w:val="22"/>
        </w:rPr>
        <w:t>2</w:t>
      </w:r>
      <w:r w:rsidR="006C4520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p w14:paraId="7D7C0697" w14:textId="109AAAF6" w:rsidR="00FA2FB9" w:rsidRDefault="00FA2FB9" w:rsidP="009D0FCE">
      <w:pPr>
        <w:pStyle w:val="Zkladntextodsazen2"/>
        <w:ind w:firstLine="0"/>
        <w:rPr>
          <w:b w:val="0"/>
          <w:bCs w:val="0"/>
        </w:rPr>
      </w:pPr>
    </w:p>
    <w:p w14:paraId="1F8004D5" w14:textId="77777777" w:rsidR="001D1D15" w:rsidRPr="001D1D15" w:rsidRDefault="001D1D15" w:rsidP="009D0FCE">
      <w:pPr>
        <w:pStyle w:val="Zkladntextodsazen2"/>
        <w:ind w:firstLine="0"/>
        <w:rPr>
          <w:b w:val="0"/>
          <w:bCs w:val="0"/>
        </w:rPr>
      </w:pPr>
    </w:p>
    <w:p w14:paraId="3DDC4254" w14:textId="747992C1" w:rsidR="00F22BD7" w:rsidRDefault="00F22BD7" w:rsidP="001D1D1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B32D4E">
        <w:rPr>
          <w:rFonts w:ascii="Arial" w:hAnsi="Arial" w:cs="Arial"/>
          <w:b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sz w:val="22"/>
          <w:szCs w:val="22"/>
        </w:rPr>
        <w:t>T</w:t>
      </w:r>
      <w:r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1D1D15">
        <w:rPr>
          <w:rFonts w:ascii="Arial" w:hAnsi="Arial" w:cs="Arial"/>
          <w:b w:val="0"/>
          <w:sz w:val="22"/>
          <w:szCs w:val="22"/>
        </w:rPr>
        <w:t>5. 6. 2024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 w:rsidR="001D1D15">
        <w:rPr>
          <w:rFonts w:ascii="Arial" w:hAnsi="Arial" w:cs="Arial"/>
          <w:b w:val="0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pachtovatel.</w:t>
      </w:r>
    </w:p>
    <w:p w14:paraId="03E5CA7C" w14:textId="77777777" w:rsidR="00FA2FB9" w:rsidRPr="00F22BD7" w:rsidRDefault="00FA2FB9" w:rsidP="00F72A45">
      <w:pPr>
        <w:jc w:val="both"/>
        <w:rPr>
          <w:rFonts w:ascii="Arial" w:hAnsi="Arial" w:cs="Arial"/>
          <w:bCs/>
          <w:i/>
          <w:sz w:val="28"/>
          <w:szCs w:val="28"/>
        </w:rPr>
      </w:pPr>
    </w:p>
    <w:bookmarkEnd w:id="0"/>
    <w:p w14:paraId="6B65A864" w14:textId="78F1720A" w:rsidR="004868E7" w:rsidRPr="00012682" w:rsidRDefault="00FA2FB9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2F525A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F525A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75B01FED" w14:textId="77777777" w:rsidR="00F22BD7" w:rsidRDefault="00F22BD7" w:rsidP="004E4DA4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14:paraId="65BF3658" w14:textId="77777777" w:rsidR="001D1D15" w:rsidRPr="001D1D15" w:rsidRDefault="001D1D15" w:rsidP="004E4DA4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14:paraId="52227773" w14:textId="5CB0F559" w:rsidR="002D41FD" w:rsidRPr="00012682" w:rsidRDefault="00FA2F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F4D454E" w14:textId="50B4CC45" w:rsidR="00D5225E" w:rsidRDefault="00D5225E" w:rsidP="001B7A57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</w:p>
    <w:p w14:paraId="4A499A2E" w14:textId="77777777" w:rsidR="001D1D15" w:rsidRPr="001D1D15" w:rsidRDefault="001D1D15" w:rsidP="001B7A57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</w:p>
    <w:p w14:paraId="2268829A" w14:textId="6B584D5A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80587F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1D1D15">
        <w:rPr>
          <w:rFonts w:ascii="Arial" w:hAnsi="Arial" w:cs="Arial"/>
          <w:sz w:val="22"/>
          <w:szCs w:val="22"/>
        </w:rPr>
        <w:t>5. 6. 2024</w:t>
      </w:r>
    </w:p>
    <w:p w14:paraId="40940AA9" w14:textId="77777777" w:rsidR="00FC3AAB" w:rsidRDefault="00FC3AAB">
      <w:pPr>
        <w:jc w:val="both"/>
        <w:rPr>
          <w:rFonts w:ascii="Arial" w:hAnsi="Arial" w:cs="Arial"/>
          <w:sz w:val="22"/>
          <w:szCs w:val="22"/>
        </w:rPr>
      </w:pPr>
    </w:p>
    <w:p w14:paraId="27CD7C8D" w14:textId="77777777" w:rsidR="00FC3AAB" w:rsidRDefault="00FC3AAB" w:rsidP="00FC3AAB">
      <w:pPr>
        <w:jc w:val="both"/>
        <w:rPr>
          <w:rFonts w:ascii="Arial" w:hAnsi="Arial" w:cs="Arial"/>
          <w:sz w:val="22"/>
          <w:szCs w:val="22"/>
        </w:rPr>
      </w:pPr>
    </w:p>
    <w:p w14:paraId="3EB395DE" w14:textId="77777777" w:rsidR="00F22BD7" w:rsidRDefault="00F22BD7" w:rsidP="00FC3AAB">
      <w:pPr>
        <w:jc w:val="both"/>
        <w:rPr>
          <w:rFonts w:ascii="Arial" w:hAnsi="Arial" w:cs="Arial"/>
          <w:sz w:val="22"/>
          <w:szCs w:val="22"/>
        </w:rPr>
      </w:pPr>
    </w:p>
    <w:p w14:paraId="4DE55520" w14:textId="77777777" w:rsidR="00F22BD7" w:rsidRDefault="00F22BD7" w:rsidP="00FC3AAB">
      <w:pPr>
        <w:jc w:val="both"/>
        <w:rPr>
          <w:rFonts w:ascii="Arial" w:hAnsi="Arial" w:cs="Arial"/>
          <w:sz w:val="22"/>
          <w:szCs w:val="22"/>
        </w:rPr>
      </w:pPr>
    </w:p>
    <w:p w14:paraId="73DBE921" w14:textId="77777777" w:rsidR="00F22BD7" w:rsidRDefault="00F22BD7" w:rsidP="00FC3AA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FA2FB9" w:rsidRPr="00D53A64" w14:paraId="2348C90D" w14:textId="77777777" w:rsidTr="007117DC">
        <w:tc>
          <w:tcPr>
            <w:tcW w:w="5843" w:type="dxa"/>
            <w:shd w:val="clear" w:color="000000" w:fill="auto"/>
          </w:tcPr>
          <w:p w14:paraId="60B4F48F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1705DE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FA2FB9" w:rsidRPr="00597A21" w14:paraId="25CDD906" w14:textId="77777777" w:rsidTr="007117DC">
        <w:tc>
          <w:tcPr>
            <w:tcW w:w="5843" w:type="dxa"/>
            <w:shd w:val="clear" w:color="000000" w:fill="auto"/>
          </w:tcPr>
          <w:p w14:paraId="3A55C26D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0710AD1D" w14:textId="5866CCF4" w:rsidR="00FA2FB9" w:rsidRPr="00597A21" w:rsidRDefault="001D1D15" w:rsidP="007117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 Březina, zemědělské družstvo</w:t>
            </w:r>
          </w:p>
        </w:tc>
      </w:tr>
      <w:tr w:rsidR="00FA2FB9" w:rsidRPr="00D53A64" w14:paraId="713086F9" w14:textId="77777777" w:rsidTr="007117DC">
        <w:tc>
          <w:tcPr>
            <w:tcW w:w="5843" w:type="dxa"/>
            <w:shd w:val="clear" w:color="000000" w:fill="auto"/>
          </w:tcPr>
          <w:p w14:paraId="650B8A74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06CB64BA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43E3EC37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0CA5A6F" w14:textId="77777777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5DB96A3" w14:textId="77777777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7B0F21F" w14:textId="77777777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97BCD4" w14:textId="7A454069" w:rsidR="00FA2FB9" w:rsidRPr="00D53A64" w:rsidRDefault="00FA2FB9" w:rsidP="00FA2FB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propachtovatel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2EBDB3A9" w14:textId="39520C30" w:rsidR="00FA2FB9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Ing. Marek Vermousek</w:t>
            </w:r>
            <w:r w:rsidR="00F22BD7" w:rsidRPr="00774F8F">
              <w:rPr>
                <w:rFonts w:ascii="Arial" w:hAnsi="Arial" w:cs="Arial"/>
                <w:i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iCs/>
                <w:sz w:val="22"/>
                <w:szCs w:val="22"/>
              </w:rPr>
              <w:t>předseda</w:t>
            </w:r>
          </w:p>
          <w:p w14:paraId="3EA22313" w14:textId="15A3C613" w:rsidR="00FA2FB9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představenstva</w:t>
            </w:r>
          </w:p>
          <w:p w14:paraId="755BCA12" w14:textId="77777777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176CB2E" w14:textId="7315B998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Jebáček - místopředseda</w:t>
            </w:r>
          </w:p>
          <w:p w14:paraId="01DC76E9" w14:textId="0244F34C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představenstva</w:t>
            </w:r>
          </w:p>
          <w:p w14:paraId="518F7159" w14:textId="77777777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D287115" w14:textId="301D38B3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  <w:p w14:paraId="43872305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576257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D64702E" w14:textId="3AF2BA8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1D798" w14:textId="5A3C2514" w:rsidR="00FC3AAB" w:rsidRDefault="00FC3AAB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  <w:r w:rsidRPr="00414687">
        <w:rPr>
          <w:rFonts w:ascii="Arial" w:hAnsi="Arial" w:cs="Arial"/>
          <w:bCs/>
        </w:rPr>
        <w:t>Za správnost: Ing.</w:t>
      </w:r>
      <w:r>
        <w:rPr>
          <w:rFonts w:ascii="Arial" w:hAnsi="Arial" w:cs="Arial"/>
          <w:bCs/>
        </w:rPr>
        <w:t xml:space="preserve"> Dagmar Malá</w:t>
      </w:r>
    </w:p>
    <w:p w14:paraId="506754AB" w14:textId="77777777" w:rsidR="00FC3AAB" w:rsidRPr="00414687" w:rsidRDefault="00FC3AAB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</w:p>
    <w:p w14:paraId="0138AC41" w14:textId="77777777" w:rsidR="00FC3AAB" w:rsidRPr="00414687" w:rsidRDefault="00FC3AAB" w:rsidP="00FA2FB9">
      <w:pPr>
        <w:pStyle w:val="Zkladntext210"/>
        <w:spacing w:before="120"/>
        <w:ind w:left="-284" w:firstLine="142"/>
        <w:rPr>
          <w:rFonts w:ascii="Arial" w:hAnsi="Arial" w:cs="Arial"/>
          <w:b w:val="0"/>
          <w:bCs/>
          <w:sz w:val="20"/>
        </w:rPr>
      </w:pPr>
      <w:r w:rsidRPr="00414687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………….</w:t>
      </w:r>
    </w:p>
    <w:p w14:paraId="7634D868" w14:textId="77777777" w:rsidR="00FC3AAB" w:rsidRPr="00414687" w:rsidRDefault="00FC3AAB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  <w:r w:rsidRPr="00414687">
        <w:rPr>
          <w:rFonts w:ascii="Arial" w:hAnsi="Arial" w:cs="Arial"/>
          <w:bCs/>
          <w:sz w:val="20"/>
          <w:lang w:eastAsia="cs-CZ"/>
        </w:rPr>
        <w:t>podpis</w:t>
      </w:r>
    </w:p>
    <w:p w14:paraId="645F00B8" w14:textId="01AB9CE2" w:rsidR="00FC3AAB" w:rsidRDefault="00FC3AAB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6551E89B" w14:textId="125574F4" w:rsidR="00FA2FB9" w:rsidRDefault="00FA2FB9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31D3B03B" w14:textId="77777777" w:rsidR="00F22BD7" w:rsidRDefault="00F22BD7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5E6D19C1" w14:textId="77777777" w:rsidR="00F22BD7" w:rsidRDefault="00F22BD7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658E2997" w14:textId="77777777" w:rsidR="00F22BD7" w:rsidRPr="00012682" w:rsidRDefault="00F22BD7" w:rsidP="00F22BD7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9DE68D7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0468C891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2E30897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1ACD5F40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3CBDE49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F1B6DA9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6A4ACFBF" w14:textId="77777777" w:rsidR="00F22BD7" w:rsidRPr="00577839" w:rsidRDefault="00F22BD7" w:rsidP="00F22BD7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310CD0B" w14:textId="77777777" w:rsidR="00F22BD7" w:rsidRDefault="00F22BD7" w:rsidP="00F22BD7">
      <w:pPr>
        <w:tabs>
          <w:tab w:val="left" w:pos="4962"/>
        </w:tabs>
        <w:ind w:hanging="284"/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</w:t>
      </w:r>
      <w:r w:rsidRPr="00563F7F">
        <w:rPr>
          <w:rFonts w:ascii="Arial" w:hAnsi="Arial" w:cs="Arial"/>
        </w:rPr>
        <w:t>podpis odpovědného zaměstnance</w:t>
      </w:r>
    </w:p>
    <w:p w14:paraId="02327A65" w14:textId="77777777" w:rsidR="00F22BD7" w:rsidRDefault="00F22BD7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sectPr w:rsidR="00F22BD7" w:rsidSect="007F29E6">
      <w:headerReference w:type="default" r:id="rId7"/>
      <w:pgSz w:w="11906" w:h="16838"/>
      <w:pgMar w:top="709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220">
    <w:abstractNumId w:val="0"/>
  </w:num>
  <w:num w:numId="2" w16cid:durableId="17628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8DB"/>
    <w:rsid w:val="00012682"/>
    <w:rsid w:val="000142DA"/>
    <w:rsid w:val="00021BC4"/>
    <w:rsid w:val="00023259"/>
    <w:rsid w:val="00023AB2"/>
    <w:rsid w:val="00046CDD"/>
    <w:rsid w:val="00050F97"/>
    <w:rsid w:val="000565C1"/>
    <w:rsid w:val="000572F3"/>
    <w:rsid w:val="00067080"/>
    <w:rsid w:val="00077673"/>
    <w:rsid w:val="00083A8B"/>
    <w:rsid w:val="00087781"/>
    <w:rsid w:val="000904F0"/>
    <w:rsid w:val="000A502A"/>
    <w:rsid w:val="000B69AB"/>
    <w:rsid w:val="000D7166"/>
    <w:rsid w:val="000F39E2"/>
    <w:rsid w:val="00100A31"/>
    <w:rsid w:val="00102083"/>
    <w:rsid w:val="00102D7E"/>
    <w:rsid w:val="0010690D"/>
    <w:rsid w:val="00114D09"/>
    <w:rsid w:val="00114EB8"/>
    <w:rsid w:val="00122535"/>
    <w:rsid w:val="00130D8D"/>
    <w:rsid w:val="001348FD"/>
    <w:rsid w:val="001368E5"/>
    <w:rsid w:val="001503AA"/>
    <w:rsid w:val="00170CAC"/>
    <w:rsid w:val="00183068"/>
    <w:rsid w:val="00183697"/>
    <w:rsid w:val="00190D43"/>
    <w:rsid w:val="0019783F"/>
    <w:rsid w:val="001A4792"/>
    <w:rsid w:val="001B05F7"/>
    <w:rsid w:val="001B216F"/>
    <w:rsid w:val="001B7A57"/>
    <w:rsid w:val="001C25C8"/>
    <w:rsid w:val="001D1D15"/>
    <w:rsid w:val="001F0B34"/>
    <w:rsid w:val="001F3F2B"/>
    <w:rsid w:val="00204B81"/>
    <w:rsid w:val="00212293"/>
    <w:rsid w:val="00213718"/>
    <w:rsid w:val="00215BBB"/>
    <w:rsid w:val="00222730"/>
    <w:rsid w:val="0022443A"/>
    <w:rsid w:val="00225776"/>
    <w:rsid w:val="00225E39"/>
    <w:rsid w:val="00252F13"/>
    <w:rsid w:val="00256234"/>
    <w:rsid w:val="00260F3F"/>
    <w:rsid w:val="00261A73"/>
    <w:rsid w:val="00262A05"/>
    <w:rsid w:val="00271AF5"/>
    <w:rsid w:val="0028246E"/>
    <w:rsid w:val="0029049D"/>
    <w:rsid w:val="002A1089"/>
    <w:rsid w:val="002A2A17"/>
    <w:rsid w:val="002A3AE7"/>
    <w:rsid w:val="002A4078"/>
    <w:rsid w:val="002B306C"/>
    <w:rsid w:val="002B54C2"/>
    <w:rsid w:val="002C2023"/>
    <w:rsid w:val="002C3914"/>
    <w:rsid w:val="002C47FA"/>
    <w:rsid w:val="002C5147"/>
    <w:rsid w:val="002C7914"/>
    <w:rsid w:val="002D41FD"/>
    <w:rsid w:val="002D4FDD"/>
    <w:rsid w:val="002E5995"/>
    <w:rsid w:val="002F525A"/>
    <w:rsid w:val="00305428"/>
    <w:rsid w:val="003218F9"/>
    <w:rsid w:val="00323B39"/>
    <w:rsid w:val="003258EA"/>
    <w:rsid w:val="003306FB"/>
    <w:rsid w:val="00342E03"/>
    <w:rsid w:val="003521A1"/>
    <w:rsid w:val="00356ABE"/>
    <w:rsid w:val="00360C47"/>
    <w:rsid w:val="003704D4"/>
    <w:rsid w:val="00374C9F"/>
    <w:rsid w:val="00382784"/>
    <w:rsid w:val="00385448"/>
    <w:rsid w:val="003A1E76"/>
    <w:rsid w:val="003A46C1"/>
    <w:rsid w:val="003A55A2"/>
    <w:rsid w:val="003B08DA"/>
    <w:rsid w:val="003B5328"/>
    <w:rsid w:val="003B5E8C"/>
    <w:rsid w:val="003C0E44"/>
    <w:rsid w:val="003D1108"/>
    <w:rsid w:val="003E2417"/>
    <w:rsid w:val="003E7D64"/>
    <w:rsid w:val="003F5321"/>
    <w:rsid w:val="003F7FFB"/>
    <w:rsid w:val="004021E9"/>
    <w:rsid w:val="0043049D"/>
    <w:rsid w:val="0043527B"/>
    <w:rsid w:val="00436C95"/>
    <w:rsid w:val="004453D4"/>
    <w:rsid w:val="00452668"/>
    <w:rsid w:val="004557CB"/>
    <w:rsid w:val="00460BB2"/>
    <w:rsid w:val="004636F6"/>
    <w:rsid w:val="00463CD0"/>
    <w:rsid w:val="00467D2E"/>
    <w:rsid w:val="004868E7"/>
    <w:rsid w:val="00487144"/>
    <w:rsid w:val="00496D0F"/>
    <w:rsid w:val="004A21F7"/>
    <w:rsid w:val="004B2063"/>
    <w:rsid w:val="004B33F8"/>
    <w:rsid w:val="004C4082"/>
    <w:rsid w:val="004C52AD"/>
    <w:rsid w:val="004E4DA4"/>
    <w:rsid w:val="004F6E1A"/>
    <w:rsid w:val="0052781B"/>
    <w:rsid w:val="0054244F"/>
    <w:rsid w:val="00544481"/>
    <w:rsid w:val="0055395D"/>
    <w:rsid w:val="00554108"/>
    <w:rsid w:val="00557D6C"/>
    <w:rsid w:val="005659BC"/>
    <w:rsid w:val="005807F7"/>
    <w:rsid w:val="00580CC2"/>
    <w:rsid w:val="00582A09"/>
    <w:rsid w:val="005846F8"/>
    <w:rsid w:val="005951DD"/>
    <w:rsid w:val="005A269F"/>
    <w:rsid w:val="005A318F"/>
    <w:rsid w:val="005A4519"/>
    <w:rsid w:val="005B0302"/>
    <w:rsid w:val="005D0015"/>
    <w:rsid w:val="005D2084"/>
    <w:rsid w:val="005D2FA7"/>
    <w:rsid w:val="005E5049"/>
    <w:rsid w:val="005E7B0A"/>
    <w:rsid w:val="005E7B44"/>
    <w:rsid w:val="005F2170"/>
    <w:rsid w:val="005F7A40"/>
    <w:rsid w:val="00607328"/>
    <w:rsid w:val="00617426"/>
    <w:rsid w:val="00623A98"/>
    <w:rsid w:val="00627C44"/>
    <w:rsid w:val="00633A2E"/>
    <w:rsid w:val="00637C31"/>
    <w:rsid w:val="00641951"/>
    <w:rsid w:val="00646677"/>
    <w:rsid w:val="00646FB4"/>
    <w:rsid w:val="006500D0"/>
    <w:rsid w:val="006543FE"/>
    <w:rsid w:val="00660866"/>
    <w:rsid w:val="00661D4A"/>
    <w:rsid w:val="00662127"/>
    <w:rsid w:val="00664F7E"/>
    <w:rsid w:val="006709BE"/>
    <w:rsid w:val="00671096"/>
    <w:rsid w:val="0067491D"/>
    <w:rsid w:val="00680F40"/>
    <w:rsid w:val="00681CE1"/>
    <w:rsid w:val="00684359"/>
    <w:rsid w:val="006869B0"/>
    <w:rsid w:val="0069037B"/>
    <w:rsid w:val="0069123A"/>
    <w:rsid w:val="006B2E54"/>
    <w:rsid w:val="006B34E1"/>
    <w:rsid w:val="006B6957"/>
    <w:rsid w:val="006B79D9"/>
    <w:rsid w:val="006C4520"/>
    <w:rsid w:val="006C561C"/>
    <w:rsid w:val="006D55B3"/>
    <w:rsid w:val="006E03A9"/>
    <w:rsid w:val="007020B6"/>
    <w:rsid w:val="0070404A"/>
    <w:rsid w:val="00711125"/>
    <w:rsid w:val="00714374"/>
    <w:rsid w:val="0072358C"/>
    <w:rsid w:val="007336EC"/>
    <w:rsid w:val="00733707"/>
    <w:rsid w:val="00742469"/>
    <w:rsid w:val="00770663"/>
    <w:rsid w:val="00771211"/>
    <w:rsid w:val="0077329E"/>
    <w:rsid w:val="00780877"/>
    <w:rsid w:val="0079050C"/>
    <w:rsid w:val="00794619"/>
    <w:rsid w:val="007A008D"/>
    <w:rsid w:val="007A0735"/>
    <w:rsid w:val="007A0B34"/>
    <w:rsid w:val="007A1ACA"/>
    <w:rsid w:val="007A2BEE"/>
    <w:rsid w:val="007A6EEC"/>
    <w:rsid w:val="007B20D3"/>
    <w:rsid w:val="007B7EAB"/>
    <w:rsid w:val="007D07E1"/>
    <w:rsid w:val="007D790A"/>
    <w:rsid w:val="007E1F63"/>
    <w:rsid w:val="007E23D1"/>
    <w:rsid w:val="007F29E6"/>
    <w:rsid w:val="007F3DBD"/>
    <w:rsid w:val="007F69ED"/>
    <w:rsid w:val="0080587F"/>
    <w:rsid w:val="00811A55"/>
    <w:rsid w:val="0082449F"/>
    <w:rsid w:val="00825BB6"/>
    <w:rsid w:val="008314F7"/>
    <w:rsid w:val="008316B3"/>
    <w:rsid w:val="00855152"/>
    <w:rsid w:val="008579BF"/>
    <w:rsid w:val="008604FC"/>
    <w:rsid w:val="00881A43"/>
    <w:rsid w:val="0088514B"/>
    <w:rsid w:val="008860A8"/>
    <w:rsid w:val="00887FCB"/>
    <w:rsid w:val="00892757"/>
    <w:rsid w:val="008A7D72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152B2"/>
    <w:rsid w:val="00925E66"/>
    <w:rsid w:val="009332BD"/>
    <w:rsid w:val="009344BB"/>
    <w:rsid w:val="009432F1"/>
    <w:rsid w:val="0096242A"/>
    <w:rsid w:val="00977F64"/>
    <w:rsid w:val="00981E88"/>
    <w:rsid w:val="00982601"/>
    <w:rsid w:val="00990E1C"/>
    <w:rsid w:val="00994F14"/>
    <w:rsid w:val="009A1160"/>
    <w:rsid w:val="009A3B5C"/>
    <w:rsid w:val="009A55CB"/>
    <w:rsid w:val="009A7600"/>
    <w:rsid w:val="009A79B3"/>
    <w:rsid w:val="009C03F6"/>
    <w:rsid w:val="009C1A40"/>
    <w:rsid w:val="009D05A5"/>
    <w:rsid w:val="009D0FCE"/>
    <w:rsid w:val="009E1671"/>
    <w:rsid w:val="009F55FC"/>
    <w:rsid w:val="009F6169"/>
    <w:rsid w:val="00A02D31"/>
    <w:rsid w:val="00A05FDD"/>
    <w:rsid w:val="00A12548"/>
    <w:rsid w:val="00A35CC0"/>
    <w:rsid w:val="00A509AF"/>
    <w:rsid w:val="00A517D6"/>
    <w:rsid w:val="00A56476"/>
    <w:rsid w:val="00A609DB"/>
    <w:rsid w:val="00A62222"/>
    <w:rsid w:val="00A62BA6"/>
    <w:rsid w:val="00A70A64"/>
    <w:rsid w:val="00A81804"/>
    <w:rsid w:val="00A8521D"/>
    <w:rsid w:val="00A977E9"/>
    <w:rsid w:val="00AA1527"/>
    <w:rsid w:val="00AA382F"/>
    <w:rsid w:val="00AA74DB"/>
    <w:rsid w:val="00AC22A2"/>
    <w:rsid w:val="00AD16CE"/>
    <w:rsid w:val="00AD1795"/>
    <w:rsid w:val="00AD5217"/>
    <w:rsid w:val="00AD5EEB"/>
    <w:rsid w:val="00AE16CF"/>
    <w:rsid w:val="00AE4A81"/>
    <w:rsid w:val="00AE5DAF"/>
    <w:rsid w:val="00AE6B44"/>
    <w:rsid w:val="00B03572"/>
    <w:rsid w:val="00B03D8E"/>
    <w:rsid w:val="00B05673"/>
    <w:rsid w:val="00B06C1D"/>
    <w:rsid w:val="00B146F4"/>
    <w:rsid w:val="00B2367C"/>
    <w:rsid w:val="00B25530"/>
    <w:rsid w:val="00B31E60"/>
    <w:rsid w:val="00B34F9C"/>
    <w:rsid w:val="00B40406"/>
    <w:rsid w:val="00B4090C"/>
    <w:rsid w:val="00B4519C"/>
    <w:rsid w:val="00B46632"/>
    <w:rsid w:val="00B64B4E"/>
    <w:rsid w:val="00B740D3"/>
    <w:rsid w:val="00B9377A"/>
    <w:rsid w:val="00B978D3"/>
    <w:rsid w:val="00BA0C9E"/>
    <w:rsid w:val="00BB39F7"/>
    <w:rsid w:val="00BB4202"/>
    <w:rsid w:val="00BB6DA4"/>
    <w:rsid w:val="00BC7B66"/>
    <w:rsid w:val="00BD6075"/>
    <w:rsid w:val="00BF1C1F"/>
    <w:rsid w:val="00BF2938"/>
    <w:rsid w:val="00BF69E2"/>
    <w:rsid w:val="00C07446"/>
    <w:rsid w:val="00C078F8"/>
    <w:rsid w:val="00C22B15"/>
    <w:rsid w:val="00C3558B"/>
    <w:rsid w:val="00C37C1A"/>
    <w:rsid w:val="00C42F1A"/>
    <w:rsid w:val="00C51797"/>
    <w:rsid w:val="00C54836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2688"/>
    <w:rsid w:val="00CF0064"/>
    <w:rsid w:val="00CF02BD"/>
    <w:rsid w:val="00CF65D7"/>
    <w:rsid w:val="00D03CAC"/>
    <w:rsid w:val="00D07741"/>
    <w:rsid w:val="00D102DB"/>
    <w:rsid w:val="00D15F9A"/>
    <w:rsid w:val="00D2748B"/>
    <w:rsid w:val="00D45BE7"/>
    <w:rsid w:val="00D51DD3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28A2"/>
    <w:rsid w:val="00D94BCA"/>
    <w:rsid w:val="00DA0C28"/>
    <w:rsid w:val="00DC3DE0"/>
    <w:rsid w:val="00DC6ABD"/>
    <w:rsid w:val="00DC77E7"/>
    <w:rsid w:val="00DC78E5"/>
    <w:rsid w:val="00DD290C"/>
    <w:rsid w:val="00DD6BC2"/>
    <w:rsid w:val="00DD748B"/>
    <w:rsid w:val="00DE1412"/>
    <w:rsid w:val="00DE2F1F"/>
    <w:rsid w:val="00DF617F"/>
    <w:rsid w:val="00E12433"/>
    <w:rsid w:val="00E12BC3"/>
    <w:rsid w:val="00E1452A"/>
    <w:rsid w:val="00E16172"/>
    <w:rsid w:val="00E23F89"/>
    <w:rsid w:val="00E26442"/>
    <w:rsid w:val="00E31EF2"/>
    <w:rsid w:val="00E36B36"/>
    <w:rsid w:val="00E44AD7"/>
    <w:rsid w:val="00E505D6"/>
    <w:rsid w:val="00E555F9"/>
    <w:rsid w:val="00E66AAD"/>
    <w:rsid w:val="00E67B24"/>
    <w:rsid w:val="00E719D9"/>
    <w:rsid w:val="00E73B4B"/>
    <w:rsid w:val="00E77C83"/>
    <w:rsid w:val="00E806F2"/>
    <w:rsid w:val="00E9071F"/>
    <w:rsid w:val="00E941B0"/>
    <w:rsid w:val="00E96FC0"/>
    <w:rsid w:val="00EA126B"/>
    <w:rsid w:val="00EA74C0"/>
    <w:rsid w:val="00EC0EBF"/>
    <w:rsid w:val="00ED6048"/>
    <w:rsid w:val="00ED6B69"/>
    <w:rsid w:val="00F00411"/>
    <w:rsid w:val="00F02E2F"/>
    <w:rsid w:val="00F15337"/>
    <w:rsid w:val="00F15706"/>
    <w:rsid w:val="00F22A3B"/>
    <w:rsid w:val="00F22BD7"/>
    <w:rsid w:val="00F527F1"/>
    <w:rsid w:val="00F53542"/>
    <w:rsid w:val="00F57333"/>
    <w:rsid w:val="00F62889"/>
    <w:rsid w:val="00F64A38"/>
    <w:rsid w:val="00F72A45"/>
    <w:rsid w:val="00F745C3"/>
    <w:rsid w:val="00F76A06"/>
    <w:rsid w:val="00F839E0"/>
    <w:rsid w:val="00F8646C"/>
    <w:rsid w:val="00F872CF"/>
    <w:rsid w:val="00F918C7"/>
    <w:rsid w:val="00F92906"/>
    <w:rsid w:val="00F94F08"/>
    <w:rsid w:val="00FA2C59"/>
    <w:rsid w:val="00FA2D25"/>
    <w:rsid w:val="00FA2FB9"/>
    <w:rsid w:val="00FA5E1F"/>
    <w:rsid w:val="00FB0408"/>
    <w:rsid w:val="00FB3FD8"/>
    <w:rsid w:val="00FB5485"/>
    <w:rsid w:val="00FB5D68"/>
    <w:rsid w:val="00FB638C"/>
    <w:rsid w:val="00FC3AAB"/>
    <w:rsid w:val="00FC5C99"/>
    <w:rsid w:val="00FC6C0C"/>
    <w:rsid w:val="00FD1EC4"/>
    <w:rsid w:val="00FD30B1"/>
    <w:rsid w:val="00FE3999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14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customStyle="1" w:styleId="0podpisvtabulce">
    <w:name w:val="0_podpis_v_tabulce"/>
    <w:basedOn w:val="Normln"/>
    <w:rsid w:val="00FA2FB9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2024-06-05T05:41:00Z</dcterms:created>
  <dcterms:modified xsi:type="dcterms:W3CDTF">2024-06-05T05:41:00Z</dcterms:modified>
</cp:coreProperties>
</file>