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>KV Realinvest s.r.o.</w:t>
            </w:r>
          </w:p>
        </w:tc>
      </w:tr>
      <w:tr w:rsidR="0041256B" w:rsidRPr="0041256B" w:rsidTr="006106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>Chebská 204/71</w:t>
            </w:r>
          </w:p>
        </w:tc>
      </w:tr>
      <w:tr w:rsidR="0041256B" w:rsidRPr="0041256B" w:rsidTr="006106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>360  06  Karlovy Vary</w:t>
            </w:r>
          </w:p>
        </w:tc>
      </w:tr>
      <w:tr w:rsidR="0041256B" w:rsidRPr="0041256B" w:rsidTr="006106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>IČ: 29113903</w:t>
            </w:r>
          </w:p>
        </w:tc>
      </w:tr>
      <w:tr w:rsidR="0041256B" w:rsidRPr="0041256B" w:rsidTr="00610631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1445" w:type="dxa"/>
            <w:gridSpan w:val="4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04.06.2024</w:t>
            </w:r>
          </w:p>
        </w:tc>
        <w:tc>
          <w:tcPr>
            <w:tcW w:w="6264" w:type="dxa"/>
            <w:gridSpan w:val="1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2023" w:type="dxa"/>
            <w:gridSpan w:val="6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1"/>
                <w:lang w:eastAsia="cs-CZ"/>
              </w:rPr>
              <w:t>OBJ70-44304/2024</w:t>
            </w:r>
          </w:p>
        </w:tc>
        <w:tc>
          <w:tcPr>
            <w:tcW w:w="867" w:type="dxa"/>
            <w:gridSpan w:val="4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1256B" w:rsidRPr="0041256B" w:rsidTr="00610631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1256B" w:rsidRPr="0041256B" w:rsidTr="00610631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přechodu pro chodce ( Západní ulice ) , dle požadavků DI Policie ČR, na základě předložené cenové nabídky.</w:t>
            </w: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- 30.7.2024.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95 995,19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30.07.2024</w:t>
            </w:r>
          </w:p>
        </w:tc>
      </w:tr>
      <w:tr w:rsidR="0041256B" w:rsidRPr="0041256B" w:rsidTr="00610631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481" w:type="dxa"/>
            <w:gridSpan w:val="2"/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41256B" w:rsidRPr="0041256B" w:rsidTr="00610631">
        <w:trPr>
          <w:cantSplit/>
        </w:trPr>
        <w:tc>
          <w:tcPr>
            <w:tcW w:w="963" w:type="dxa"/>
            <w:gridSpan w:val="3"/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1927" w:type="dxa"/>
            <w:gridSpan w:val="5"/>
          </w:tcPr>
          <w:p w:rsidR="0041256B" w:rsidRPr="0041256B" w:rsidRDefault="0041256B" w:rsidP="0041256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1256B" w:rsidRPr="0041256B" w:rsidTr="00610631">
        <w:trPr>
          <w:cantSplit/>
        </w:trPr>
        <w:tc>
          <w:tcPr>
            <w:tcW w:w="385" w:type="dxa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60 měsíců.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29113903, konstantní symbol 1148, specifický symbol 00254657 (§ 109a zákona o DPH).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9636" w:type="dxa"/>
            <w:gridSpan w:val="2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1256B" w:rsidRPr="0041256B" w:rsidTr="00610631">
        <w:trPr>
          <w:cantSplit/>
        </w:trPr>
        <w:tc>
          <w:tcPr>
            <w:tcW w:w="4818" w:type="dxa"/>
            <w:gridSpan w:val="10"/>
            <w:vAlign w:val="bottom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41256B" w:rsidRPr="0041256B" w:rsidRDefault="0041256B" w:rsidP="0041256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1256B" w:rsidRPr="0041256B" w:rsidTr="00610631">
        <w:trPr>
          <w:cantSplit/>
        </w:trPr>
        <w:tc>
          <w:tcPr>
            <w:tcW w:w="4818" w:type="dxa"/>
            <w:gridSpan w:val="10"/>
          </w:tcPr>
          <w:p w:rsidR="0041256B" w:rsidRPr="0041256B" w:rsidRDefault="0041256B" w:rsidP="0041256B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41256B" w:rsidRPr="0041256B" w:rsidRDefault="0041256B" w:rsidP="0041256B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1256B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1256B" w:rsidRPr="0041256B" w:rsidRDefault="0041256B" w:rsidP="0041256B">
      <w:pPr>
        <w:rPr>
          <w:rFonts w:eastAsiaTheme="minorEastAsia" w:cs="Times New Roman"/>
          <w:lang w:eastAsia="cs-CZ"/>
        </w:rPr>
      </w:pPr>
    </w:p>
    <w:p w:rsidR="00E04E9D" w:rsidRDefault="00E04E9D">
      <w:bookmarkStart w:id="0" w:name="_GoBack"/>
      <w:bookmarkEnd w:id="0"/>
    </w:p>
    <w:sectPr w:rsidR="00E04E9D" w:rsidSect="00F71AFB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B"/>
    <w:rsid w:val="0041256B"/>
    <w:rsid w:val="00E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9D08"/>
  <w15:chartTrackingRefBased/>
  <w15:docId w15:val="{937A5DB1-178C-4A55-8BAD-8CB4215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2024-06-04T10:38:00Z</dcterms:created>
  <dcterms:modified xsi:type="dcterms:W3CDTF">2024-06-04T10:38:00Z</dcterms:modified>
</cp:coreProperties>
</file>