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EC1A8" w14:textId="048B5AC7" w:rsidR="00032D48" w:rsidRDefault="00B57EB0" w:rsidP="00365E30">
      <w:pPr>
        <w:pStyle w:val="Nzev"/>
      </w:pPr>
      <w:r>
        <w:t>S</w:t>
      </w:r>
      <w:r w:rsidR="00032D48">
        <w:t>mlouva</w:t>
      </w:r>
      <w:r>
        <w:t xml:space="preserve"> </w:t>
      </w:r>
      <w:r w:rsidR="00032D48">
        <w:t xml:space="preserve">o poskytování </w:t>
      </w:r>
      <w:r>
        <w:t xml:space="preserve">mobilních </w:t>
      </w:r>
      <w:r w:rsidR="00032D48">
        <w:t xml:space="preserve">služeb </w:t>
      </w:r>
      <w:r>
        <w:t>elektronických komunikací</w:t>
      </w:r>
    </w:p>
    <w:p w14:paraId="3A181BB4" w14:textId="77777777" w:rsidR="00032D48" w:rsidRDefault="00032D48" w:rsidP="00365E30">
      <w:r>
        <w:t xml:space="preserve">uzavřená dle </w:t>
      </w:r>
      <w:proofErr w:type="spellStart"/>
      <w:r>
        <w:t>ust</w:t>
      </w:r>
      <w:proofErr w:type="spellEnd"/>
      <w:r>
        <w:t>. § 1746 odst. 2 zákona č. 89/2012 Sb., občanský zákoník, ve znění pozdějších předpisů (dále jen „občanský zákoník")</w:t>
      </w:r>
    </w:p>
    <w:p w14:paraId="786E56B7" w14:textId="49EBA1C8" w:rsidR="00032D48" w:rsidRDefault="00032D48" w:rsidP="00365E30">
      <w:r>
        <w:t>(dále jen „Smlouva")</w:t>
      </w:r>
    </w:p>
    <w:p w14:paraId="71FB00DA" w14:textId="77777777" w:rsidR="00032D48" w:rsidRDefault="00032D48" w:rsidP="00365E30"/>
    <w:p w14:paraId="727C1462" w14:textId="4BF9A3FA" w:rsidR="00032D48" w:rsidRDefault="00954145" w:rsidP="00954145">
      <w:pPr>
        <w:pStyle w:val="Bezmezer"/>
      </w:pPr>
      <w:r>
        <w:t>m</w:t>
      </w:r>
      <w:r w:rsidR="00032D48">
        <w:t>ezi</w:t>
      </w:r>
    </w:p>
    <w:p w14:paraId="7B650266" w14:textId="77777777" w:rsidR="00460510" w:rsidRDefault="00460510" w:rsidP="00954145">
      <w:pPr>
        <w:pStyle w:val="Bezmezer"/>
      </w:pPr>
    </w:p>
    <w:p w14:paraId="591BB0C2" w14:textId="0C23F8AA" w:rsidR="00B51098" w:rsidRDefault="00FE0328" w:rsidP="00954145">
      <w:pPr>
        <w:pStyle w:val="Bezmezer"/>
      </w:pPr>
      <w:r>
        <w:t>Objednatelem</w:t>
      </w:r>
      <w:r w:rsidR="00B51098">
        <w:t>:</w:t>
      </w:r>
    </w:p>
    <w:p w14:paraId="1658F365" w14:textId="77777777" w:rsidR="00B51098" w:rsidRPr="00954145" w:rsidRDefault="00B51098" w:rsidP="00954145">
      <w:pPr>
        <w:pStyle w:val="Bezmezer"/>
        <w:rPr>
          <w:b/>
          <w:bCs/>
        </w:rPr>
      </w:pPr>
      <w:bookmarkStart w:id="0" w:name="_Hlk161993582"/>
      <w:r w:rsidRPr="00954145">
        <w:rPr>
          <w:b/>
          <w:bCs/>
        </w:rPr>
        <w:t>Technická správa komunikací hl. m. Prahy, a.s.</w:t>
      </w:r>
    </w:p>
    <w:bookmarkEnd w:id="0"/>
    <w:p w14:paraId="6D7E3943" w14:textId="313AE3EF" w:rsidR="00B51098" w:rsidRDefault="00B51098" w:rsidP="00954145">
      <w:pPr>
        <w:pStyle w:val="Bezmezer"/>
      </w:pPr>
      <w:r>
        <w:t>se sídlem</w:t>
      </w:r>
      <w:r w:rsidR="00B57EB0">
        <w:t>:</w:t>
      </w:r>
      <w:r w:rsidR="00B57EB0">
        <w:tab/>
      </w:r>
      <w:r w:rsidR="00460510">
        <w:tab/>
      </w:r>
      <w:r w:rsidR="00954145">
        <w:t>Veletržní 1623/24, 170 00 Praha 7</w:t>
      </w:r>
      <w:r w:rsidR="002841B6">
        <w:t xml:space="preserve"> </w:t>
      </w:r>
      <w:r w:rsidR="00954145">
        <w:t>-</w:t>
      </w:r>
      <w:r w:rsidR="002841B6">
        <w:t xml:space="preserve"> </w:t>
      </w:r>
      <w:r w:rsidR="00954145">
        <w:t>Holešovice</w:t>
      </w:r>
    </w:p>
    <w:p w14:paraId="1E67BBCC" w14:textId="23904223" w:rsidR="00B51098" w:rsidRDefault="00B51098" w:rsidP="00B57EB0">
      <w:pPr>
        <w:pStyle w:val="Bezmezer"/>
      </w:pPr>
      <w:r>
        <w:t xml:space="preserve">IČO: </w:t>
      </w:r>
      <w:r w:rsidR="00B57EB0">
        <w:tab/>
      </w:r>
      <w:r w:rsidR="00B57EB0">
        <w:tab/>
      </w:r>
      <w:r w:rsidR="00460510">
        <w:tab/>
      </w:r>
      <w:r>
        <w:t>03447286</w:t>
      </w:r>
    </w:p>
    <w:p w14:paraId="0C9C4FB6" w14:textId="7045F9FA" w:rsidR="00B51098" w:rsidRDefault="00B51098" w:rsidP="00B57EB0">
      <w:pPr>
        <w:pStyle w:val="Bezmezer"/>
      </w:pPr>
      <w:r>
        <w:t xml:space="preserve">DIČ: </w:t>
      </w:r>
      <w:r w:rsidR="00B57EB0">
        <w:tab/>
      </w:r>
      <w:r w:rsidR="00B57EB0">
        <w:tab/>
      </w:r>
      <w:r w:rsidR="00460510">
        <w:tab/>
      </w:r>
      <w:r>
        <w:t>CZ03447286</w:t>
      </w:r>
    </w:p>
    <w:p w14:paraId="4E6BC0F7" w14:textId="2FDB425A" w:rsidR="00954145" w:rsidRDefault="00807980" w:rsidP="00954145">
      <w:pPr>
        <w:pStyle w:val="Bezmezer"/>
      </w:pPr>
      <w:r>
        <w:t>zastoupená</w:t>
      </w:r>
      <w:r w:rsidR="00B51098">
        <w:t xml:space="preserve">: </w:t>
      </w:r>
      <w:r w:rsidR="00460510">
        <w:tab/>
      </w:r>
      <w:r w:rsidR="002841B6">
        <w:tab/>
      </w:r>
      <w:r w:rsidR="00954145">
        <w:t>Mgr. Jozef Sinčák, MBA, předseda představenstva</w:t>
      </w:r>
    </w:p>
    <w:p w14:paraId="442DE747" w14:textId="489D97C6" w:rsidR="00954145" w:rsidRDefault="00954145" w:rsidP="00954145">
      <w:pPr>
        <w:pStyle w:val="Bezmezer"/>
        <w:ind w:left="1416" w:firstLine="708"/>
      </w:pPr>
      <w:r>
        <w:t>PhDr. Filip Hájek, místopředseda představenstva</w:t>
      </w:r>
    </w:p>
    <w:p w14:paraId="586347EA" w14:textId="03EC6140" w:rsidR="00032D48" w:rsidRDefault="00954145" w:rsidP="00460510">
      <w:pPr>
        <w:pStyle w:val="Bezmezer"/>
        <w:ind w:left="2127" w:hanging="3"/>
      </w:pPr>
      <w:r w:rsidRPr="00954145">
        <w:t>Společnost zastupují vždy nejméně dva členové představenstva společně, z</w:t>
      </w:r>
      <w:r>
        <w:t> </w:t>
      </w:r>
      <w:r w:rsidRPr="00954145">
        <w:t>nichž</w:t>
      </w:r>
      <w:r>
        <w:t xml:space="preserve"> </w:t>
      </w:r>
      <w:r w:rsidRPr="00954145">
        <w:t>nejméně jeden musí být předsedou anebo místopředsedou představenstva.</w:t>
      </w:r>
    </w:p>
    <w:p w14:paraId="76F727B2" w14:textId="5C111C70" w:rsidR="00460510" w:rsidRDefault="00460510" w:rsidP="00460510">
      <w:pPr>
        <w:pStyle w:val="Bezmezer"/>
      </w:pPr>
      <w:r>
        <w:t>Datová schránka:</w:t>
      </w:r>
      <w:r>
        <w:tab/>
      </w:r>
      <w:r w:rsidR="00954145" w:rsidRPr="00954145">
        <w:t>mivq4t3</w:t>
      </w:r>
    </w:p>
    <w:p w14:paraId="2351D78A" w14:textId="7A8E6C5C" w:rsidR="00032D48" w:rsidRDefault="00B51098" w:rsidP="00954145">
      <w:pPr>
        <w:pStyle w:val="Bezmezer"/>
      </w:pPr>
      <w:r w:rsidRPr="00B51098">
        <w:t xml:space="preserve">(dále jen </w:t>
      </w:r>
      <w:r w:rsidR="00CC6290">
        <w:t>„Objednatel“</w:t>
      </w:r>
      <w:r w:rsidR="00FE0328">
        <w:t xml:space="preserve"> či „Zadavatel“ či „TSK“</w:t>
      </w:r>
      <w:r w:rsidRPr="00B51098">
        <w:t>)</w:t>
      </w:r>
    </w:p>
    <w:p w14:paraId="43949AAC" w14:textId="77777777" w:rsidR="00B51098" w:rsidRDefault="00B51098" w:rsidP="00954145">
      <w:pPr>
        <w:pStyle w:val="Bezmezer"/>
      </w:pPr>
    </w:p>
    <w:p w14:paraId="44973303" w14:textId="778CC517" w:rsidR="00460510" w:rsidRDefault="00460510" w:rsidP="00954145">
      <w:pPr>
        <w:pStyle w:val="Bezmezer"/>
      </w:pPr>
      <w:r>
        <w:t>a</w:t>
      </w:r>
    </w:p>
    <w:p w14:paraId="79A3472C" w14:textId="77777777" w:rsidR="00460510" w:rsidRDefault="00460510" w:rsidP="00954145">
      <w:pPr>
        <w:pStyle w:val="Bezmezer"/>
      </w:pPr>
    </w:p>
    <w:p w14:paraId="57F54009" w14:textId="77777777" w:rsidR="00460510" w:rsidRDefault="00460510" w:rsidP="00954145">
      <w:pPr>
        <w:pStyle w:val="Bezmezer"/>
      </w:pPr>
      <w:r>
        <w:t>Poskytovatelem:</w:t>
      </w:r>
    </w:p>
    <w:p w14:paraId="14067CFA" w14:textId="277EF863" w:rsidR="00460510" w:rsidRPr="00AD256A" w:rsidRDefault="00AD256A" w:rsidP="00954145">
      <w:pPr>
        <w:pStyle w:val="Bezmezer"/>
        <w:rPr>
          <w:b/>
          <w:bCs/>
        </w:rPr>
      </w:pPr>
      <w:r>
        <w:rPr>
          <w:b/>
          <w:bCs/>
        </w:rPr>
        <w:t>Vodafone Czech Republic a.s.</w:t>
      </w:r>
    </w:p>
    <w:p w14:paraId="180605D0" w14:textId="1688BE29" w:rsidR="00460510" w:rsidRDefault="00460510" w:rsidP="00460510">
      <w:pPr>
        <w:pStyle w:val="Bezmezer"/>
      </w:pPr>
      <w:r>
        <w:t>se sídlem:</w:t>
      </w:r>
      <w:r>
        <w:tab/>
      </w:r>
      <w:r>
        <w:tab/>
      </w:r>
      <w:r w:rsidR="00AD256A">
        <w:t>nám. Junkových 2808/2, 155 00 Praha 5</w:t>
      </w:r>
    </w:p>
    <w:p w14:paraId="3A19C4F2" w14:textId="73264B0F" w:rsidR="00460510" w:rsidRDefault="00460510" w:rsidP="00460510">
      <w:pPr>
        <w:pStyle w:val="Bezmezer"/>
      </w:pPr>
      <w:r>
        <w:t xml:space="preserve">IČO: </w:t>
      </w:r>
      <w:r>
        <w:tab/>
      </w:r>
      <w:r>
        <w:tab/>
      </w:r>
      <w:r>
        <w:tab/>
      </w:r>
      <w:r w:rsidR="00AD256A">
        <w:t>25788001</w:t>
      </w:r>
    </w:p>
    <w:p w14:paraId="09A53D3A" w14:textId="7C86E583" w:rsidR="00460510" w:rsidRDefault="00460510" w:rsidP="00460510">
      <w:pPr>
        <w:pStyle w:val="Bezmezer"/>
      </w:pPr>
      <w:r>
        <w:t xml:space="preserve">DIČ: </w:t>
      </w:r>
      <w:r>
        <w:tab/>
      </w:r>
      <w:r>
        <w:tab/>
      </w:r>
      <w:r>
        <w:tab/>
      </w:r>
      <w:r w:rsidR="00AD256A">
        <w:t>CZ25788001</w:t>
      </w:r>
    </w:p>
    <w:p w14:paraId="232A8E39" w14:textId="4F2D82C8" w:rsidR="00460510" w:rsidRDefault="00460510" w:rsidP="00460510">
      <w:pPr>
        <w:pStyle w:val="Bezmezer"/>
      </w:pPr>
      <w:r>
        <w:t xml:space="preserve">zastoupená: </w:t>
      </w:r>
      <w:r>
        <w:tab/>
      </w:r>
      <w:r>
        <w:tab/>
      </w:r>
      <w:proofErr w:type="spellStart"/>
      <w:r w:rsidR="00C11CC9">
        <w:t>xxxxxxxxxxxxxx</w:t>
      </w:r>
      <w:proofErr w:type="spellEnd"/>
      <w:r w:rsidR="00AD256A">
        <w:t xml:space="preserve"> na základě pověření</w:t>
      </w:r>
    </w:p>
    <w:p w14:paraId="499F9760" w14:textId="652FE012" w:rsidR="00460510" w:rsidRDefault="00460510" w:rsidP="00460510">
      <w:pPr>
        <w:pStyle w:val="Bezmezer"/>
      </w:pPr>
      <w:r>
        <w:t>Bankovní spojení</w:t>
      </w:r>
      <w:r>
        <w:tab/>
      </w:r>
      <w:r w:rsidR="00AD256A" w:rsidRPr="00AD256A">
        <w:t xml:space="preserve">Československá obchodní banka, a.s., č. </w:t>
      </w:r>
      <w:proofErr w:type="spellStart"/>
      <w:r w:rsidR="00AD256A" w:rsidRPr="00AD256A">
        <w:t>ú.</w:t>
      </w:r>
      <w:proofErr w:type="spellEnd"/>
      <w:r w:rsidR="00AD256A" w:rsidRPr="00AD256A">
        <w:t>: 221217/0300</w:t>
      </w:r>
    </w:p>
    <w:p w14:paraId="4B59D7C4" w14:textId="02CF491D" w:rsidR="00460510" w:rsidRDefault="00460510" w:rsidP="00460510">
      <w:pPr>
        <w:pStyle w:val="Bezmezer"/>
      </w:pPr>
      <w:r>
        <w:t>Datová schránka:</w:t>
      </w:r>
      <w:r>
        <w:tab/>
      </w:r>
      <w:r w:rsidR="00AD256A" w:rsidRPr="00AD256A">
        <w:t>29acihr</w:t>
      </w:r>
    </w:p>
    <w:p w14:paraId="07EE62D1" w14:textId="77777777" w:rsidR="00460510" w:rsidRDefault="00460510" w:rsidP="00954145">
      <w:pPr>
        <w:pStyle w:val="Bezmezer"/>
      </w:pPr>
      <w:r w:rsidRPr="00B51098">
        <w:t xml:space="preserve">(dále též jen </w:t>
      </w:r>
      <w:r>
        <w:t>„</w:t>
      </w:r>
      <w:r w:rsidRPr="00B51098">
        <w:t>Poskytovatel</w:t>
      </w:r>
      <w:r>
        <w:t>“ či „Dodavatel“</w:t>
      </w:r>
      <w:r w:rsidRPr="00B51098">
        <w:t>)</w:t>
      </w:r>
    </w:p>
    <w:p w14:paraId="5F519AE7" w14:textId="77777777" w:rsidR="00460510" w:rsidRDefault="00460510" w:rsidP="00954145">
      <w:pPr>
        <w:pStyle w:val="Bezmezer"/>
      </w:pPr>
    </w:p>
    <w:p w14:paraId="3FBF723C" w14:textId="6964300F" w:rsidR="00B51098" w:rsidRDefault="00B51098" w:rsidP="00954145">
      <w:pPr>
        <w:pStyle w:val="Bezmezer"/>
      </w:pPr>
      <w:r>
        <w:t>(dále společně také „smluvní strany")</w:t>
      </w:r>
    </w:p>
    <w:p w14:paraId="5ED5F09C" w14:textId="77777777" w:rsidR="00B51098" w:rsidRDefault="00B51098" w:rsidP="00365E30"/>
    <w:p w14:paraId="5CBBB8EA" w14:textId="36A5E601" w:rsidR="0079488B" w:rsidRDefault="0079488B" w:rsidP="0079488B">
      <w:pPr>
        <w:pStyle w:val="Nadpis1"/>
        <w:numPr>
          <w:ilvl w:val="0"/>
          <w:numId w:val="0"/>
        </w:numPr>
        <w:ind w:left="432" w:hanging="432"/>
      </w:pPr>
      <w:r>
        <w:t>Preambule</w:t>
      </w:r>
    </w:p>
    <w:p w14:paraId="562B7D1C" w14:textId="429AC776" w:rsidR="0079488B" w:rsidRPr="0079488B" w:rsidRDefault="0079488B" w:rsidP="0079488B">
      <w:r w:rsidRPr="0079488B">
        <w:t xml:space="preserve">Smluvní strany </w:t>
      </w:r>
      <w:r>
        <w:t>u</w:t>
      </w:r>
      <w:r w:rsidRPr="0079488B">
        <w:t xml:space="preserve">zavírají </w:t>
      </w:r>
      <w:r>
        <w:t xml:space="preserve">tuto </w:t>
      </w:r>
      <w:r w:rsidRPr="0079488B">
        <w:t>Smlouv</w:t>
      </w:r>
      <w:r>
        <w:t>u</w:t>
      </w:r>
      <w:r w:rsidRPr="0079488B">
        <w:t xml:space="preserve"> o poskytování mobilních služeb elektronických komunikací</w:t>
      </w:r>
      <w:r>
        <w:t xml:space="preserve"> na </w:t>
      </w:r>
      <w:r w:rsidRPr="0079488B">
        <w:t>základě výsledku zadávacího řízení veřejné zakázky s názvem „</w:t>
      </w:r>
      <w:r>
        <w:t>Mobilní služby elektronických komunikací</w:t>
      </w:r>
      <w:r w:rsidRPr="0079488B">
        <w:t>“ s účastníkem zadávacího řízení (Poskytovatelem), jehož nabídka byla v zadávacím řízení vybrána jako ekonomicky nejvýhodnější.</w:t>
      </w:r>
    </w:p>
    <w:p w14:paraId="083C0F9C" w14:textId="0FB2E304" w:rsidR="00032D48" w:rsidRPr="00B57EB0" w:rsidRDefault="00032D48" w:rsidP="00365E30">
      <w:pPr>
        <w:pStyle w:val="Nadpis1"/>
      </w:pPr>
      <w:r w:rsidRPr="00B57EB0">
        <w:t>Předmět smlouvy</w:t>
      </w:r>
    </w:p>
    <w:p w14:paraId="7B8887EA" w14:textId="21D4C350" w:rsidR="00032D48" w:rsidRPr="00F92070" w:rsidRDefault="00032D48" w:rsidP="00834722">
      <w:pPr>
        <w:pStyle w:val="Nadpis2"/>
      </w:pPr>
      <w:r w:rsidRPr="00F92070">
        <w:t xml:space="preserve">Předmětem této Smlouvy je rámcová úprava práv a povinností smluvních stran při poskytování mobilních služeb elektronických komunikací (dále jen „Služby"). Poskytovatel se zavazuje poskytovat </w:t>
      </w:r>
      <w:r w:rsidR="00CC6290">
        <w:t>Objednateli</w:t>
      </w:r>
      <w:r w:rsidRPr="00F92070">
        <w:t xml:space="preserve"> Služby za zvýhodněných podmínek a v rozsahu uvedeném v přílohách </w:t>
      </w:r>
      <w:r w:rsidRPr="00F92070">
        <w:lastRenderedPageBreak/>
        <w:t>č.</w:t>
      </w:r>
      <w:r w:rsidR="00CC6290">
        <w:t> </w:t>
      </w:r>
      <w:r w:rsidRPr="00F92070">
        <w:t>1</w:t>
      </w:r>
      <w:r w:rsidR="00CC6290">
        <w:t xml:space="preserve"> </w:t>
      </w:r>
      <w:r w:rsidRPr="00F92070">
        <w:t>a 2 této Smlouvy a za podmínek uvedených v</w:t>
      </w:r>
      <w:r w:rsidR="00FE0328">
        <w:t> </w:t>
      </w:r>
      <w:r w:rsidR="00CC6290">
        <w:t>podmínkách</w:t>
      </w:r>
      <w:r w:rsidR="00FE0328">
        <w:t xml:space="preserve"> Objednatele uvedených v přílohách č. 3 a 4</w:t>
      </w:r>
      <w:r w:rsidRPr="00F92070">
        <w:t xml:space="preserve">, </w:t>
      </w:r>
      <w:r w:rsidR="00FE0328">
        <w:t>v</w:t>
      </w:r>
      <w:r w:rsidRPr="00F92070">
        <w:t xml:space="preserve">šeobecných podmínkách pro poskytování služeb </w:t>
      </w:r>
      <w:r w:rsidR="00FE0328">
        <w:t>poskytovatele uvedených souhrnně v příloze č. 5</w:t>
      </w:r>
      <w:r w:rsidR="00494696">
        <w:t xml:space="preserve"> a všeobecného ceníku poskytovatele uvedeného v příloze č. 6</w:t>
      </w:r>
      <w:r w:rsidR="00FE0328">
        <w:t>.</w:t>
      </w:r>
      <w:r w:rsidRPr="00F92070">
        <w:t xml:space="preserve"> </w:t>
      </w:r>
      <w:r w:rsidR="00FE0328">
        <w:t>Objednatel</w:t>
      </w:r>
      <w:r w:rsidRPr="00F92070">
        <w:t xml:space="preserve"> se zavazuje hradit cenu Služeb poskytnutých Poskytovatelem a plnit další povinnosti vyplývající ze Smlouvy.</w:t>
      </w:r>
    </w:p>
    <w:p w14:paraId="6AF7DDAD" w14:textId="0DD48A02" w:rsidR="00032D48" w:rsidRDefault="00032D48" w:rsidP="00834722">
      <w:pPr>
        <w:pStyle w:val="Nadpis2"/>
      </w:pPr>
      <w:r w:rsidRPr="00F92070">
        <w:rPr>
          <w:rStyle w:val="Nadpis2Char"/>
        </w:rPr>
        <w:t xml:space="preserve">Služby budou </w:t>
      </w:r>
      <w:r w:rsidR="00FE0328">
        <w:rPr>
          <w:rStyle w:val="Nadpis2Char"/>
        </w:rPr>
        <w:t>Objednateli</w:t>
      </w:r>
      <w:r w:rsidRPr="00F92070">
        <w:rPr>
          <w:rStyle w:val="Nadpis2Char"/>
        </w:rPr>
        <w:t xml:space="preserve"> poskytovány na základě jednotlivých dílčích objednávek. V návaznosti na uvedené objednávky smluvní strany uzavřou k této Smlouvě jednotlivé písemné dílčí smlouvy na</w:t>
      </w:r>
      <w:r>
        <w:t xml:space="preserve"> poskytování konkrétních Služeb, přičemž tyto dílčí smlouvy obsahují pouze technickou specifikaci objednaných Služeb (dále jen „Dílčí smlouva"). Poskytování Služeb je podpisem uvedených Dílčích smluv podmíněno. Ustanovení této Smlouvy včetně podmínek vymezených v</w:t>
      </w:r>
      <w:r w:rsidR="00460510">
        <w:t> </w:t>
      </w:r>
      <w:r>
        <w:t>jejích</w:t>
      </w:r>
      <w:r w:rsidR="00460510">
        <w:t xml:space="preserve"> </w:t>
      </w:r>
      <w:r>
        <w:t>přílohách je závazné i pro veškeré Dílčí smlouvy uzavírané na základě této Smlouvy.</w:t>
      </w:r>
    </w:p>
    <w:p w14:paraId="0CF362F4" w14:textId="77777777" w:rsidR="00032D48" w:rsidRDefault="00032D48" w:rsidP="00365E30"/>
    <w:p w14:paraId="42003021" w14:textId="54B3A75F" w:rsidR="00032D48" w:rsidRDefault="00032D48" w:rsidP="00365E30">
      <w:pPr>
        <w:pStyle w:val="Nadpis1"/>
      </w:pPr>
      <w:r>
        <w:t>Práva a povinnosti smluvních stran</w:t>
      </w:r>
    </w:p>
    <w:p w14:paraId="6E92B1D5" w14:textId="4EA8D5C1" w:rsidR="00032D48" w:rsidRDefault="00032D48" w:rsidP="00834722">
      <w:pPr>
        <w:pStyle w:val="Nadpis2"/>
      </w:pPr>
      <w:r>
        <w:t xml:space="preserve">Poskytovatel se zavazuje poskytovat Služby </w:t>
      </w:r>
      <w:r w:rsidR="00FE0328">
        <w:t>Objednateli</w:t>
      </w:r>
      <w:r>
        <w:t xml:space="preserve"> v rozsahu a za podmínek uvedených v</w:t>
      </w:r>
      <w:r w:rsidR="00954145">
        <w:t> </w:t>
      </w:r>
      <w:r>
        <w:t>čl</w:t>
      </w:r>
      <w:r w:rsidR="00954145">
        <w:t>.</w:t>
      </w:r>
      <w:r w:rsidR="00FE0328">
        <w:t> </w:t>
      </w:r>
      <w:r>
        <w:t>1.1 této Smlouvy minimálně v kvalitě vyžadované zákonem č. 127/2005 Sb., o elektronických komunikacích a o změně některých souvisejících zákonů (zákon o elektronických komunikacích), ve znění pozdějších předpisů (dále jen „zákon o elektronických komunikacích</w:t>
      </w:r>
      <w:r w:rsidR="00954145">
        <w:t>“</w:t>
      </w:r>
      <w:r>
        <w:t>).</w:t>
      </w:r>
    </w:p>
    <w:p w14:paraId="037D3CD0" w14:textId="60B52D3E" w:rsidR="0008536F" w:rsidRPr="0008536F" w:rsidRDefault="0008536F" w:rsidP="00834722">
      <w:pPr>
        <w:pStyle w:val="Nadpis2"/>
      </w:pPr>
      <w:r w:rsidRPr="00F92070">
        <w:t xml:space="preserve">Práva a povinnosti výslovně neupravené v této Smlouvě nebo Dílčí smlouvě, zejména poskytování Služeb, se řídí podmínkami jednotlivých služeb, poskytování služeb elektronických komunikací se řídí aktuálně platnými </w:t>
      </w:r>
      <w:r>
        <w:t>v</w:t>
      </w:r>
      <w:r w:rsidRPr="00F92070">
        <w:t xml:space="preserve">šeobecnými podmínkami pro poskytování služeb </w:t>
      </w:r>
      <w:r>
        <w:t>Poskytovatele</w:t>
      </w:r>
      <w:r w:rsidRPr="00F92070">
        <w:t>. Reklamace Služeb se řídí platnými právními předpisy a Reklamačním řádem Poskytovatele</w:t>
      </w:r>
      <w:r>
        <w:t xml:space="preserve">. Aktuální verze všeobecných podmínek, všeobecného ceníku, provozních informací a reklamačního řádu jsou k dispozici na webových stránkách Poskytovatele zde: </w:t>
      </w:r>
      <w:hyperlink r:id="rId7" w:history="1">
        <w:r w:rsidR="00AD256A" w:rsidRPr="00427001">
          <w:rPr>
            <w:rStyle w:val="Hypertextovodkaz"/>
          </w:rPr>
          <w:t>https://www.vodafone.cz/o-vodafonu/ke-stazeni/</w:t>
        </w:r>
      </w:hyperlink>
      <w:r w:rsidR="00AD256A">
        <w:t xml:space="preserve"> </w:t>
      </w:r>
    </w:p>
    <w:p w14:paraId="3C19EAC5" w14:textId="13133853" w:rsidR="0008536F" w:rsidRDefault="00FE0328" w:rsidP="00834722">
      <w:pPr>
        <w:pStyle w:val="Nadpis2"/>
      </w:pPr>
      <w:r>
        <w:t>Objednatel</w:t>
      </w:r>
      <w:r w:rsidR="00032D48">
        <w:t xml:space="preserve"> se zavazuje poskytnout Poskytovateli veškerou součinnost nezbytnou pro zřízení a řádné poskytování Služeb Poskytovatelem v souladu s</w:t>
      </w:r>
      <w:r>
        <w:t xml:space="preserve"> všeobecnými obchodními podmínkami poskytovatele uvedenými souhrnně v příloze č. 5 </w:t>
      </w:r>
      <w:r w:rsidR="00032D48">
        <w:t>a uzavřenými Dílčími smlouvami.</w:t>
      </w:r>
      <w:r w:rsidR="0008536F">
        <w:t xml:space="preserve"> </w:t>
      </w:r>
    </w:p>
    <w:p w14:paraId="38CB5778" w14:textId="70DC5F57" w:rsidR="00032D48" w:rsidRDefault="00FE0328" w:rsidP="00834722">
      <w:pPr>
        <w:pStyle w:val="Nadpis2"/>
      </w:pPr>
      <w:r>
        <w:t>Objednatel</w:t>
      </w:r>
      <w:r w:rsidR="00032D48">
        <w:t xml:space="preserve"> má právo při dodržení pravidel zákona č. 134/2016 Sb., o zadávání veřejných zakázek, ve znění pozdějších předpisů, kdykoli si objednat u Poskytovatele prostřednictvím jednotlivých Dílčích smluv další služby dle aktuální nabídky Poskytovatele určené pro tuto Smlouvu. Poskytovatel takovou objednávku </w:t>
      </w:r>
      <w:r>
        <w:t xml:space="preserve">Objednatele </w:t>
      </w:r>
      <w:r w:rsidR="00032D48">
        <w:t xml:space="preserve">bezdůvodně neodmítne za podmínky neexistence jakýchkoli splatných závazků vůči Poskytovateli či jiného porušení Smlouvy, příp. dílčí smlouvy, ze strany </w:t>
      </w:r>
      <w:r>
        <w:t>Objednatele</w:t>
      </w:r>
      <w:r w:rsidR="00032D48">
        <w:t>.</w:t>
      </w:r>
    </w:p>
    <w:p w14:paraId="60CCE668" w14:textId="77777777" w:rsidR="00032D48" w:rsidRDefault="00032D48" w:rsidP="00365E30"/>
    <w:p w14:paraId="4AFCFA94" w14:textId="46D70152" w:rsidR="00D75672" w:rsidRDefault="00D75672" w:rsidP="00D75672">
      <w:pPr>
        <w:pStyle w:val="Nadpis1"/>
      </w:pPr>
      <w:r>
        <w:t>Cenové a platební podmínky</w:t>
      </w:r>
    </w:p>
    <w:p w14:paraId="09A7AD61" w14:textId="77777777" w:rsidR="00D75672" w:rsidRDefault="00D75672" w:rsidP="00834722">
      <w:pPr>
        <w:pStyle w:val="Nadpis2"/>
        <w:keepNext/>
        <w:keepLines/>
      </w:pPr>
      <w:r>
        <w:t xml:space="preserve">Objednatel se zavazuje platit za poskytované Služby: </w:t>
      </w:r>
    </w:p>
    <w:p w14:paraId="00B30DED" w14:textId="77777777" w:rsidR="00D75672" w:rsidRPr="00F806C6" w:rsidRDefault="00D75672" w:rsidP="00834722">
      <w:pPr>
        <w:pStyle w:val="Nadpis3"/>
        <w:keepNext/>
        <w:keepLines/>
      </w:pPr>
      <w:r w:rsidRPr="00F806C6">
        <w:t xml:space="preserve">ceny uvedené v příloze č. 2 této Smlouvy, nebo </w:t>
      </w:r>
    </w:p>
    <w:p w14:paraId="7029EC99" w14:textId="3197A19E" w:rsidR="00D75672" w:rsidRDefault="00D75672" w:rsidP="00834722">
      <w:pPr>
        <w:pStyle w:val="Nadpis3"/>
        <w:keepNext/>
        <w:keepLines/>
      </w:pPr>
      <w:r w:rsidRPr="00F806C6">
        <w:t xml:space="preserve">ceny dle všeobecného ceníku služeb Poskytovatele uvedeném v příloze č. 6 (dále jen „Všeobecný ceník Poskytovatele“), jestliže Objednatel </w:t>
      </w:r>
      <w:r w:rsidR="00834722">
        <w:t xml:space="preserve">využije </w:t>
      </w:r>
      <w:r w:rsidRPr="00F806C6">
        <w:t xml:space="preserve">takové služby z veřejné nabídky poskytovatele, které nejsou zakotveny v přílohách č. 1 a 2 uvedeny, </w:t>
      </w:r>
    </w:p>
    <w:p w14:paraId="1366AFEF" w14:textId="77777777" w:rsidR="00D75672" w:rsidRPr="00F806C6" w:rsidRDefault="00D75672" w:rsidP="00834722">
      <w:pPr>
        <w:keepLines/>
        <w:ind w:left="709"/>
      </w:pPr>
      <w:r w:rsidRPr="00F806C6">
        <w:t>a to na účet Poskytovatele uvedený výše, případně na jiný účet, který Poskytovatel Objednateli oficiální cestou oznámí.</w:t>
      </w:r>
    </w:p>
    <w:p w14:paraId="631BD7AB" w14:textId="73729148" w:rsidR="00834722" w:rsidRDefault="00834722" w:rsidP="00834722">
      <w:pPr>
        <w:pStyle w:val="Nadpis2"/>
      </w:pPr>
      <w:r>
        <w:lastRenderedPageBreak/>
        <w:t>Poskytovatel má právo definovat fakturační skupiny, které budou sdružovat jednotlivá plnění jednotlivých Dílčích smluv. Fakturace bude probíhat vždy uceleně za všechny služby zahrnuté do konkrétní fakturační skupiny.</w:t>
      </w:r>
    </w:p>
    <w:p w14:paraId="6625ED89" w14:textId="211FFC39" w:rsidR="00D75672" w:rsidRDefault="00D75672" w:rsidP="00834722">
      <w:pPr>
        <w:pStyle w:val="Nadpis2"/>
      </w:pPr>
      <w:r>
        <w:t>K cenám uvedeným v příloze č. 2 a Příloze č. 6 bude připočtena DPH v zákonem stanovené výši.</w:t>
      </w:r>
    </w:p>
    <w:p w14:paraId="7202DD7D" w14:textId="0BDA1B6F" w:rsidR="00D75672" w:rsidRDefault="00D75672" w:rsidP="00834722">
      <w:pPr>
        <w:pStyle w:val="Nadpis2"/>
      </w:pPr>
      <w:r>
        <w:t>Příslušné platby se uskuteční vždy na základě daňových dokladů (faktur) vystavovaných zpětně za zúčtovací období, kterým je kalendářní měsíc. Poskytovatel je oprávněn vystavovat daňové doklady vždy až po poskytnutí řádného plnění a uplynutí zúčtovacího období.</w:t>
      </w:r>
      <w:r w:rsidR="00834722">
        <w:t xml:space="preserve"> Dnem uskutečnění zdanitelného plnění (dále jen „DUZP“) pro poskytování služeb bude poslední den zúčtovacího období.</w:t>
      </w:r>
    </w:p>
    <w:p w14:paraId="46691E66" w14:textId="77777777" w:rsidR="0008536F" w:rsidRDefault="00D75672" w:rsidP="00834722">
      <w:pPr>
        <w:pStyle w:val="Nadpis2"/>
      </w:pPr>
      <w:r>
        <w:t>Daňové doklady (faktury) budou splatné ve lhůtě do 30 kalendářních dnů ode dne jejich doručení Objednateli.</w:t>
      </w:r>
      <w:r w:rsidR="0008536F">
        <w:t xml:space="preserve"> Úhrady za plnění budou prováděny v české měně, případně v jiné měně platné v budoucnu na území České republiky, přepočtené v převodním kurzu. Místem plnění bude sídlo Objednatele.</w:t>
      </w:r>
    </w:p>
    <w:p w14:paraId="2BC81B8C" w14:textId="11896C6B" w:rsidR="00D75672" w:rsidRDefault="00D75672" w:rsidP="00834722">
      <w:pPr>
        <w:pStyle w:val="Nadpis2"/>
      </w:pPr>
      <w:r>
        <w:t xml:space="preserve">Objednatel nebude poskytovat zálohy. </w:t>
      </w:r>
    </w:p>
    <w:p w14:paraId="37F9951F" w14:textId="2B3E6F9F" w:rsidR="00D75672" w:rsidRDefault="00D75672" w:rsidP="00834722">
      <w:pPr>
        <w:pStyle w:val="Nadpis2"/>
      </w:pPr>
      <w:r>
        <w:t xml:space="preserve">Faktury musí splňovat náležitosti dle zákona č. 235/2004 Sb., o dani z přidané hodnoty, ve znění pozdějších předpisů. V případě, že doklady nebudou mít odpovídající náležitosti, je Objednatel oprávněn zaslat je zpět Poskytovateli k doplnění, aniž se tak dostane do prodlení se splatností. Lhůta splatnosti počíná běžet znovu od opětovného doručení náležitě doplněných či opravených dokladů Objednateli. </w:t>
      </w:r>
    </w:p>
    <w:p w14:paraId="7D08877D" w14:textId="77777777" w:rsidR="0008536F" w:rsidRDefault="0008536F" w:rsidP="00834722">
      <w:pPr>
        <w:pStyle w:val="Nadpis2"/>
      </w:pPr>
      <w:r w:rsidRPr="003904DF">
        <w:t xml:space="preserve">Reklamace za chybně účtované služby či uplatňované náhrady škody, budou-li shledány oprávněnými, budou vždy řešeny samostatným účetním dokladem, formu zápočtu do dalších fakturací </w:t>
      </w:r>
      <w:r>
        <w:t>Objednatel</w:t>
      </w:r>
      <w:r w:rsidRPr="003904DF">
        <w:t xml:space="preserve"> vylučuje.</w:t>
      </w:r>
    </w:p>
    <w:p w14:paraId="7CDA93F5" w14:textId="0607040C" w:rsidR="00D75672" w:rsidRDefault="005A0D55" w:rsidP="00834722">
      <w:pPr>
        <w:pStyle w:val="Nadpis2"/>
      </w:pPr>
      <w:r>
        <w:t>Smluvní s</w:t>
      </w:r>
      <w:r w:rsidR="00D75672">
        <w:t xml:space="preserve">trany se výslovně dohodly na použití faktur vystavených na základě této Smlouvy výhradně v elektronické podobě (dále jen „Elektronická faktura“). Faktura má elektronickou podobu tehdy, pokud je vystavena a obdržena elektronicky. Smluvní strany sjednávají, že věrohodnost původu Elektronické faktury a neporušenost jejího obsahu bude zajištěna v souladu s platnou právní úpravou. Poskytovatel je povinen doručit Objednateli fakturu elektronicky, a to výlučně e-mailem na e-mailovou adresu: </w:t>
      </w:r>
      <w:hyperlink r:id="rId8" w:history="1">
        <w:proofErr w:type="spellStart"/>
        <w:r w:rsidR="00C11CC9">
          <w:rPr>
            <w:rStyle w:val="Hypertextovodkaz"/>
          </w:rPr>
          <w:t>xxxxxxxxxxxxxx</w:t>
        </w:r>
        <w:proofErr w:type="spellEnd"/>
      </w:hyperlink>
      <w:r w:rsidR="00D75672">
        <w:t xml:space="preserve">. Zaslání Elektronické faktury Poskytovatelem na jinou e-mailovou </w:t>
      </w:r>
      <w:proofErr w:type="gramStart"/>
      <w:r w:rsidR="00D75672">
        <w:t>adresu</w:t>
      </w:r>
      <w:proofErr w:type="gramEnd"/>
      <w:r w:rsidR="00D75672">
        <w:t xml:space="preserve"> než uvedenou v předchozí větě je neúčinné. K</w:t>
      </w:r>
      <w:r>
        <w:t> </w:t>
      </w:r>
      <w:r w:rsidR="00D75672">
        <w:t>odeslání</w:t>
      </w:r>
      <w:r>
        <w:t xml:space="preserve"> </w:t>
      </w:r>
      <w:r w:rsidR="00D75672">
        <w:t xml:space="preserve">Elektronické faktury je Poskytovatel povinen využít pouze e-mailovou adresu Poskytovatele uvedenou pro tento účel ve Smlouvě, jinak je zaslání Elektronické faktury neúčinné s výjimkou, bude-li průvodní e-mail k Elektronické faktuře či Elektronická faktura opatřeny zaručeným elektronickým podpisem, případně zaručenou elektronickou pečetí Poskytovatele.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rsidR="00D75672">
        <w:t>DOCx</w:t>
      </w:r>
      <w:proofErr w:type="spellEnd"/>
      <w:r w:rsidR="00D75672">
        <w:t xml:space="preserve">, XLS, </w:t>
      </w:r>
      <w:proofErr w:type="spellStart"/>
      <w:r w:rsidR="00D75672">
        <w:t>XLSx</w:t>
      </w:r>
      <w:proofErr w:type="spellEnd"/>
      <w:r w:rsidR="00D75672">
        <w:t>. Elektronická faktura musí být opatřena zaručeným elektronickým podpisem, případně zaručenou elektronickou pečetí, obojí založené na kvalifikovaném certifikátu ve smyslu zákona č.</w:t>
      </w:r>
      <w:r>
        <w:t> </w:t>
      </w:r>
      <w:r w:rsidR="00D75672">
        <w:t>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Poskytovatele uvedené pro tento účel ve Smlouvě, jehož přílohou je Elektronická faktura.  Elektronická faktura bude vyhotovena v</w:t>
      </w:r>
      <w:r>
        <w:t> </w:t>
      </w:r>
      <w:r w:rsidR="00D75672">
        <w:t>četnosti jeden (1) e-mail jedna (1) Elektronická faktura v samostatném souboru a její přílohy v</w:t>
      </w:r>
      <w:r>
        <w:t> </w:t>
      </w:r>
      <w:r w:rsidR="00D75672">
        <w:t xml:space="preserve">samostatném souboru (souborech). V případě, kdy bude zaslána Objednateli Elektronická faktura, zavazuje se Poskytovatel nezasílat stejnou fakturu duplicitně v listinné podobě. </w:t>
      </w:r>
      <w:r w:rsidR="00D75672">
        <w:lastRenderedPageBreak/>
        <w:t xml:space="preserve">Poskytovatel je povinen odeslat Objednateli fakturu shora uvedeným postupem, nejpozději do pěti (5) pracovních dnů od vzniku jeho nároku na zaplacení </w:t>
      </w:r>
      <w:r>
        <w:t>c</w:t>
      </w:r>
      <w:r w:rsidR="00D75672">
        <w:t>eny.</w:t>
      </w:r>
    </w:p>
    <w:p w14:paraId="686B2C11" w14:textId="45191F7D" w:rsidR="00D75672" w:rsidRDefault="00D75672" w:rsidP="00834722">
      <w:pPr>
        <w:pStyle w:val="Nadpis2"/>
      </w:pPr>
      <w:r>
        <w:t>Poskytovatel prohlašuje, že není nespolehlivou osobou a ani nespolehlivým plátcem daně dle zákona č. 235/2004 Sb., o dani z přidané hodnoty, ve znění pozdějších předpisů. V případě, že se Poskytovatel stane nespolehlivou osobou nebo nespolehlivým plátcem ve smyslu tohoto zákona v průběhu realizace Smlouvy, bude faktura za již poskytnuté služby hrazena Objednatelem tak, že:</w:t>
      </w:r>
    </w:p>
    <w:p w14:paraId="728670FF" w14:textId="37441A7B" w:rsidR="00D75672" w:rsidRDefault="00D75672" w:rsidP="00834722">
      <w:pPr>
        <w:pStyle w:val="Nadpis3"/>
      </w:pPr>
      <w:r>
        <w:t>část faktury vystavené Poskytovatelem odpovídající výši DPH bude uhrazena Objednatelem přímo na účet správce daně postupem dle § 109 a zákona č. 235/2004 Sb., o dani z přidané hodnoty, ve znění pozdějších předpisů, a</w:t>
      </w:r>
    </w:p>
    <w:p w14:paraId="2AA9EB43" w14:textId="6CFF7E3E" w:rsidR="00D75672" w:rsidRDefault="00D75672" w:rsidP="00834722">
      <w:pPr>
        <w:pStyle w:val="Nadpis3"/>
      </w:pPr>
      <w:r>
        <w:t>základ daně bude uhrazen na účet Poskytovatele.</w:t>
      </w:r>
    </w:p>
    <w:p w14:paraId="53B3304C" w14:textId="1BB82FE7" w:rsidR="00D75672" w:rsidRDefault="00D75672" w:rsidP="00834722">
      <w:pPr>
        <w:pStyle w:val="Nadpis2"/>
      </w:pPr>
      <w:r>
        <w:t>Poskytovatel prohlašuje, že účet uvedený v záhlaví Smlouvy je účtem Poskytovatele zveřejněným správcem daně způsobem umožňujícím dálkový přístup dle ustanovení § 96 odst. 2 zákona č.</w:t>
      </w:r>
      <w:r w:rsidR="005A0D55">
        <w:t> </w:t>
      </w:r>
      <w:r>
        <w:t>235/2004, Sb., o dani z přidané hodnoty, ve znění pozdějších předpisů. V případě, že uvedený účet nebude účtem Poskytovatele zveřejněným správcem daně způsobem umožňujícím dálkový přístup, bude faktura za již poskytnuté služby hrazena Objednatelem tak, že:</w:t>
      </w:r>
    </w:p>
    <w:p w14:paraId="1C50ADFA" w14:textId="201748AD" w:rsidR="00D75672" w:rsidRDefault="00D75672" w:rsidP="00834722">
      <w:pPr>
        <w:pStyle w:val="Nadpis3"/>
      </w:pPr>
      <w:r>
        <w:t>část faktury vystavené Poskytovatelem odpovídající výši DPH bude uhrazena Objednatelem přímo na účet správce daně postupem dle § 109 a zákona č.</w:t>
      </w:r>
      <w:r w:rsidR="005A0D55">
        <w:t> </w:t>
      </w:r>
      <w:r>
        <w:t>235/2004</w:t>
      </w:r>
      <w:r w:rsidR="005A0D55">
        <w:t> </w:t>
      </w:r>
      <w:r>
        <w:t>Sb., o dani z přidané hodnoty, ve znění pozdějších předpisů, a</w:t>
      </w:r>
    </w:p>
    <w:p w14:paraId="113B9083" w14:textId="79ED07FE" w:rsidR="00D75672" w:rsidRDefault="00D75672" w:rsidP="00834722">
      <w:pPr>
        <w:pStyle w:val="Nadpis3"/>
      </w:pPr>
      <w:r>
        <w:t>základ daně bude uhrazen na účet Poskytovatele.</w:t>
      </w:r>
    </w:p>
    <w:p w14:paraId="75070B53" w14:textId="77777777" w:rsidR="003904DF" w:rsidRPr="003904DF" w:rsidRDefault="003904DF" w:rsidP="00365E30"/>
    <w:p w14:paraId="3EE09276" w14:textId="430FB4F2" w:rsidR="00D907FF" w:rsidRDefault="00D907FF" w:rsidP="00D907FF">
      <w:pPr>
        <w:pStyle w:val="Nadpis1"/>
      </w:pPr>
      <w:r>
        <w:t>Platnost, účinnost a změny Smlouvy</w:t>
      </w:r>
    </w:p>
    <w:p w14:paraId="485F9A93" w14:textId="48FE8D47" w:rsidR="00D907FF" w:rsidRDefault="00D907FF" w:rsidP="00834722">
      <w:pPr>
        <w:pStyle w:val="Nadpis2"/>
      </w:pPr>
      <w:r>
        <w:t xml:space="preserve">Smluvní strany se dohodly, že Smlouva nabývá platnosti podpisem oběma Smluvními stranami. Smlouva nabývá účinnosti ke dni 1.7.2024 </w:t>
      </w:r>
      <w:r w:rsidRPr="00D907FF">
        <w:rPr>
          <w:i/>
          <w:iCs/>
          <w:highlight w:val="yellow"/>
        </w:rPr>
        <w:t>(</w:t>
      </w:r>
      <w:r w:rsidRPr="00D907FF">
        <w:rPr>
          <w:highlight w:val="yellow"/>
        </w:rPr>
        <w:t>/bude vymazáno/</w:t>
      </w:r>
      <w:r>
        <w:rPr>
          <w:i/>
          <w:iCs/>
          <w:highlight w:val="yellow"/>
        </w:rPr>
        <w:t xml:space="preserve"> </w:t>
      </w:r>
      <w:r w:rsidRPr="00D907FF">
        <w:rPr>
          <w:i/>
          <w:iCs/>
          <w:highlight w:val="yellow"/>
        </w:rPr>
        <w:t>pozn. v případě potřeby bude upraveno dle průběhu a výsledku zadávacího řízení)</w:t>
      </w:r>
      <w:r>
        <w:t>, avšak ne dříve než uveřejněním v Registru smluv.</w:t>
      </w:r>
    </w:p>
    <w:p w14:paraId="4CFA9D96" w14:textId="43872CE9" w:rsidR="00A93B20" w:rsidRDefault="00A93B20" w:rsidP="00A93B20">
      <w:pPr>
        <w:pStyle w:val="Nadpis2"/>
      </w:pPr>
      <w:r>
        <w:t>Smluvní strany se dohodly, že Smlouva je sjednána na dobu neurčitou</w:t>
      </w:r>
      <w:r w:rsidR="00B479D0">
        <w:t xml:space="preserve">, minimálně však na dobu </w:t>
      </w:r>
      <w:r w:rsidR="00B479D0" w:rsidRPr="000D46C3">
        <w:t xml:space="preserve">čtyř (4) let (dále též „Základní doba trvání“). Po uplynutí této Základní doby trvání přejde Smlouva do </w:t>
      </w:r>
      <w:r w:rsidR="00B479D0">
        <w:t xml:space="preserve">běžného </w:t>
      </w:r>
      <w:r w:rsidR="00B479D0" w:rsidRPr="000D46C3">
        <w:t xml:space="preserve">režimu </w:t>
      </w:r>
      <w:r w:rsidR="00B479D0">
        <w:t xml:space="preserve">Smlouvy </w:t>
      </w:r>
      <w:r w:rsidR="00B479D0" w:rsidRPr="000D46C3">
        <w:t>na dobu neurčitou</w:t>
      </w:r>
      <w:r>
        <w:t>.</w:t>
      </w:r>
    </w:p>
    <w:p w14:paraId="39F4C718" w14:textId="69FE3517" w:rsidR="001F6719" w:rsidRPr="001F6719" w:rsidRDefault="001F6719" w:rsidP="00834722">
      <w:pPr>
        <w:pStyle w:val="Nadpis2"/>
      </w:pPr>
      <w:r>
        <w:t>Smluvní strany výslovně sjednávají, že uveřejnění této Smlouvy v registru smluv dle zákona č.</w:t>
      </w:r>
      <w:r w:rsidR="00A93B20">
        <w:t> </w:t>
      </w:r>
      <w:r>
        <w:t>340/2015 Sb., o zvláštních podmínkách účinnosti některých smluv, uveřejňování těchto smluv a o registru smluv (zákon o registru smluv), v platném znění, zajistí Objednatel.</w:t>
      </w:r>
    </w:p>
    <w:p w14:paraId="711ACC81" w14:textId="48D29AF5" w:rsidR="00D907FF" w:rsidRDefault="00D907FF" w:rsidP="00834722">
      <w:pPr>
        <w:pStyle w:val="Nadpis2"/>
      </w:pPr>
      <w:r>
        <w:t>Výpovědní</w:t>
      </w:r>
      <w:r w:rsidR="00A93B20">
        <w:t xml:space="preserve"> </w:t>
      </w:r>
      <w:r w:rsidR="00C3545E">
        <w:t xml:space="preserve">doba </w:t>
      </w:r>
      <w:proofErr w:type="gramStart"/>
      <w:r w:rsidR="00C3545E">
        <w:t xml:space="preserve">dle  </w:t>
      </w:r>
      <w:r w:rsidR="00A93B20">
        <w:t>této</w:t>
      </w:r>
      <w:proofErr w:type="gramEnd"/>
      <w:r w:rsidR="00A93B20">
        <w:t xml:space="preserve"> </w:t>
      </w:r>
      <w:r>
        <w:t>Smlouvy</w:t>
      </w:r>
      <w:r w:rsidR="00B479D0" w:rsidRPr="000D46C3">
        <w:t>, po uplynutí Základní doby trvání,</w:t>
      </w:r>
      <w:r>
        <w:t xml:space="preserve"> činí 3 měsíce</w:t>
      </w:r>
      <w:r w:rsidR="00B479D0">
        <w:t xml:space="preserve"> a</w:t>
      </w:r>
      <w:r>
        <w:t xml:space="preserve"> začíná běžet od prvního (1.) dne následujícího měsíce po dni prokazatelného doručení výpovědi druhé Smluvní straně. Výpově</w:t>
      </w:r>
      <w:r w:rsidR="00A93B20">
        <w:t>ď</w:t>
      </w:r>
      <w:r>
        <w:t xml:space="preserve"> dle tohoto ustanovení je oprávněna ukončit Smlouvu kterákoliv smluvní strana, a to bez udání důvodu. </w:t>
      </w:r>
    </w:p>
    <w:p w14:paraId="523EF9EB" w14:textId="3C875BB8" w:rsidR="00D907FF" w:rsidRDefault="00D907FF" w:rsidP="00834722">
      <w:pPr>
        <w:pStyle w:val="Nadpis2"/>
      </w:pPr>
      <w:r>
        <w:t xml:space="preserve">Objednatel je oprávněn od Smlouvy, odstoupit v souladu s příslušnými právními předpisy České republiky, dojde-li k podstatnému porušení smluvní povinnosti Poskytovatele. </w:t>
      </w:r>
    </w:p>
    <w:p w14:paraId="550697D1" w14:textId="071F38A8" w:rsidR="00D907FF" w:rsidRDefault="00D907FF" w:rsidP="00834722">
      <w:pPr>
        <w:pStyle w:val="Nadpis2"/>
      </w:pPr>
      <w:r>
        <w:t>Poskytovatel je oprávněn od Smlouvy odstoupit pouze v případě, že Objednatel bude v prodlení se splatnou cenou služeb poskytnutých Poskytovatelem Objednateli dle této Smlouvy a Objednatel nezaplatí Poskytovateli splatnou cenu služeb ani v náhradním termínu splatnosti po předchozím písemném upozornění, ve kterém mu Poskytovatel stanoví dodatečnou lhůtu k</w:t>
      </w:r>
      <w:r w:rsidR="00D75672">
        <w:t> </w:t>
      </w:r>
      <w:r>
        <w:t>plnění minimálně však v délce 60 dnů.</w:t>
      </w:r>
    </w:p>
    <w:p w14:paraId="78FB18E5" w14:textId="76000028" w:rsidR="00D907FF" w:rsidRDefault="00D907FF" w:rsidP="00834722">
      <w:pPr>
        <w:pStyle w:val="Nadpis2"/>
      </w:pPr>
      <w:r>
        <w:lastRenderedPageBreak/>
        <w:t>Smluvní strany se dohodly, že Smlouva může být měněna pouze písemně</w:t>
      </w:r>
      <w:r w:rsidR="00A93B20">
        <w:t>,</w:t>
      </w:r>
      <w:r>
        <w:t xml:space="preserve"> a to vzestupně číslovanými dodatky podepsanými oprávněnými zástupci smluvních stran.</w:t>
      </w:r>
    </w:p>
    <w:p w14:paraId="3E178255" w14:textId="168A5EEE" w:rsidR="00D907FF" w:rsidRDefault="00D907FF" w:rsidP="00834722">
      <w:pPr>
        <w:pStyle w:val="Nadpis2"/>
      </w:pPr>
      <w:r>
        <w:t>Smluvní strany ujednávají, že každá ze smluvních stran může od Smlouvy odstoupit v případě, že bude u protistrany či v dodavatelském řetězci odhaleno závažné jednání proti lidským právům či všeobecně uznávaným etickým a morálním standardům.</w:t>
      </w:r>
    </w:p>
    <w:p w14:paraId="05B4DAEF" w14:textId="77777777" w:rsidR="00834722" w:rsidRPr="00834722" w:rsidRDefault="00834722" w:rsidP="00834722"/>
    <w:p w14:paraId="3B35489D" w14:textId="3F559187" w:rsidR="00D75672" w:rsidRDefault="00D75672" w:rsidP="00D75672">
      <w:pPr>
        <w:pStyle w:val="Nadpis1"/>
      </w:pPr>
      <w:r>
        <w:t>Dílčí smlouvy</w:t>
      </w:r>
      <w:r w:rsidR="004914B8">
        <w:t xml:space="preserve"> (objednávky)</w:t>
      </w:r>
    </w:p>
    <w:p w14:paraId="062F9145" w14:textId="033B75D4" w:rsidR="00D75672" w:rsidRDefault="00550AA9" w:rsidP="00834722">
      <w:pPr>
        <w:pStyle w:val="Nadpis2"/>
      </w:pPr>
      <w:r>
        <w:t xml:space="preserve">Smluvní strany se dohodly, že lze v průběhu trvání </w:t>
      </w:r>
      <w:r w:rsidRPr="000D1E4E">
        <w:t>měnit množství odebíraných služeb</w:t>
      </w:r>
      <w:r>
        <w:t xml:space="preserve"> založených na základě této Smlouvy.</w:t>
      </w:r>
      <w:r w:rsidRPr="000D1E4E">
        <w:t xml:space="preserve"> Rozsah požadovaných služeb bude vycházet z aktuálních potřeb Objednatele</w:t>
      </w:r>
      <w:r>
        <w:t>. Objednatel se zavazuje k odběru vždy minimálně 250 kusů dílčích služeb, tj. k odběru služeb na minimálně 250 ks SIM karet.</w:t>
      </w:r>
    </w:p>
    <w:p w14:paraId="5DCA9AFD" w14:textId="61A363AF" w:rsidR="000D1E4E" w:rsidRDefault="000D1E4E" w:rsidP="00834722">
      <w:pPr>
        <w:pStyle w:val="Nadpis2"/>
      </w:pPr>
      <w:r w:rsidRPr="000D1E4E">
        <w:t>Doba zřízení a předání jednotlivých mobilních služeb</w:t>
      </w:r>
      <w:r w:rsidR="00A93B20">
        <w:t xml:space="preserve"> elektronických komunikací</w:t>
      </w:r>
      <w:r w:rsidRPr="000D1E4E">
        <w:t xml:space="preserve"> do užívání Objednateli od uzavření příslušné </w:t>
      </w:r>
      <w:r>
        <w:t xml:space="preserve">Dílčí </w:t>
      </w:r>
      <w:r w:rsidRPr="000D1E4E">
        <w:t xml:space="preserve">smlouvy (objednávky) nesmí být delší </w:t>
      </w:r>
      <w:proofErr w:type="gramStart"/>
      <w:r w:rsidRPr="000D1E4E">
        <w:t>než</w:t>
      </w:r>
      <w:r w:rsidR="00834722">
        <w:t>-</w:t>
      </w:r>
      <w:proofErr w:type="spellStart"/>
      <w:r w:rsidR="00834722">
        <w:t>li</w:t>
      </w:r>
      <w:proofErr w:type="spellEnd"/>
      <w:proofErr w:type="gramEnd"/>
      <w:r w:rsidRPr="000D1E4E">
        <w:t xml:space="preserve"> </w:t>
      </w:r>
      <w:r w:rsidR="00834722">
        <w:t>2</w:t>
      </w:r>
      <w:r w:rsidRPr="000D1E4E">
        <w:t xml:space="preserve"> pracovní dn</w:t>
      </w:r>
      <w:r w:rsidR="00834722">
        <w:t>y</w:t>
      </w:r>
      <w:r w:rsidRPr="000D1E4E">
        <w:t>.</w:t>
      </w:r>
    </w:p>
    <w:p w14:paraId="12C4432A" w14:textId="3EA71CAD" w:rsidR="00834722" w:rsidRPr="00834722" w:rsidRDefault="00834722" w:rsidP="00834722">
      <w:pPr>
        <w:pStyle w:val="Nadpis2"/>
      </w:pPr>
      <w:r w:rsidRPr="00834722">
        <w:t xml:space="preserve">Jednotlivé mobilní </w:t>
      </w:r>
      <w:r>
        <w:t xml:space="preserve">služby elektronických komunikací </w:t>
      </w:r>
      <w:r w:rsidRPr="00834722">
        <w:t xml:space="preserve">budou pořizovány na základě </w:t>
      </w:r>
      <w:r>
        <w:t>Dílčích</w:t>
      </w:r>
      <w:r w:rsidRPr="00834722">
        <w:t xml:space="preserve"> smluv (objednávek) bez časového či finančního závazku na dobu neurčitou s možností výpovědi a výpovědní </w:t>
      </w:r>
      <w:r w:rsidR="00C3545E">
        <w:t>dobou</w:t>
      </w:r>
      <w:r w:rsidR="00C3545E" w:rsidRPr="00834722">
        <w:t xml:space="preserve"> </w:t>
      </w:r>
      <w:r w:rsidRPr="00834722">
        <w:t xml:space="preserve">1 měsíc, která začne běžet od </w:t>
      </w:r>
      <w:r>
        <w:t>prvního</w:t>
      </w:r>
      <w:r w:rsidRPr="00834722">
        <w:t xml:space="preserve"> dne následujícího měsíce ode dne prokazatelného doručení výpovědi Poskytovateli. Ukončení výpovědí nezakládá žádný nárok Poskytovatele na sankční poplatek či smluvní pokutu</w:t>
      </w:r>
      <w:r>
        <w:t>.</w:t>
      </w:r>
    </w:p>
    <w:p w14:paraId="58A2BA77" w14:textId="77777777" w:rsidR="00D907FF" w:rsidRDefault="00D907FF" w:rsidP="00365E30"/>
    <w:p w14:paraId="7DA99CBD" w14:textId="77777777" w:rsidR="0008536F" w:rsidRDefault="0008536F" w:rsidP="0008536F">
      <w:pPr>
        <w:pStyle w:val="Nadpis1"/>
      </w:pPr>
      <w:r>
        <w:t>Kontaktní osoby Účastníka</w:t>
      </w:r>
    </w:p>
    <w:p w14:paraId="6EEEFF89" w14:textId="77777777" w:rsidR="0008536F" w:rsidRDefault="0008536F" w:rsidP="00834722">
      <w:pPr>
        <w:pStyle w:val="Nadpis2"/>
      </w:pPr>
      <w:r>
        <w:t>Definice kontaktních osob je uvedena v Příloze č. 7 této smlouvy.</w:t>
      </w:r>
    </w:p>
    <w:p w14:paraId="61CE14CB" w14:textId="77777777" w:rsidR="0008536F" w:rsidRDefault="0008536F" w:rsidP="00834722">
      <w:pPr>
        <w:pStyle w:val="Nadpis2"/>
      </w:pPr>
      <w:r>
        <w:t>Objednatel podpisem této Smlouvy potvrzuje, že Kontaktní osoba je oprávněna zastupovat Objednatele ve všech provozních a technických záležitostech a při jednáních souvisejících se Smlouvou v rozsahu specifikovaném přílohou č. 7, a to až do doby, než Objednatel písemně oznámí Poskytovateli novou Kontaktní osobu. Objednatel současně potvrzuje, že od Kontaktní osoby získal souhlas k poskytnutí jejích osobních údajů Poskytovateli, a to na dobu trvání Smlouvy či do doby oznámení změny Kontaktní osoby, a k výše uvedenému účelu.</w:t>
      </w:r>
    </w:p>
    <w:p w14:paraId="3A008A7C" w14:textId="77777777" w:rsidR="0008536F" w:rsidRDefault="0008536F" w:rsidP="0008536F"/>
    <w:p w14:paraId="0FE00471" w14:textId="5DF86884" w:rsidR="003904DF" w:rsidRDefault="003904DF" w:rsidP="00365E30">
      <w:pPr>
        <w:pStyle w:val="Nadpis1"/>
      </w:pPr>
      <w:r>
        <w:t>Inflační doložka</w:t>
      </w:r>
    </w:p>
    <w:p w14:paraId="172DADD7" w14:textId="7A9EAADE" w:rsidR="00D75672" w:rsidRDefault="00D75672" w:rsidP="00834722">
      <w:pPr>
        <w:pStyle w:val="Nadpis2"/>
      </w:pPr>
      <w:r>
        <w:t xml:space="preserve">S ohledem na trvání smlouvy na dobu neurčitou se smluvní strany dohodly, že od roku 2028 je možné přistoupit ke každoročnímu navýšení jednotkových cen předmětných služeb, avšak maximálně o průměrnou roční míru inflace v České republice vyjádřenou přírůstkem průměrného indexu spotřebitelských cen vyhlášenou Českým statistickým úřadem </w:t>
      </w:r>
      <w:r w:rsidR="005A0D55">
        <w:t xml:space="preserve">(dále jen „ČSÚ“) </w:t>
      </w:r>
      <w:r>
        <w:t xml:space="preserve">ke konci předchozí kalendářního roku. </w:t>
      </w:r>
    </w:p>
    <w:p w14:paraId="27C36D93" w14:textId="77777777" w:rsidR="00D75672" w:rsidRDefault="00D75672" w:rsidP="00834722">
      <w:pPr>
        <w:pStyle w:val="Nadpis2"/>
      </w:pPr>
      <w:r>
        <w:t xml:space="preserve">Smluvní strany prohlašují, že v případě záporné inflace (deflace) může dojít i ke snížení jednotkových cen. </w:t>
      </w:r>
    </w:p>
    <w:p w14:paraId="1815B75C" w14:textId="60F5A9C1" w:rsidR="005A0D55" w:rsidRDefault="00D75672" w:rsidP="00834722">
      <w:pPr>
        <w:pStyle w:val="Nadpis2"/>
      </w:pPr>
      <w:r>
        <w:t>Při změně jednotkových cen (navýšení v případě inflace, snížení v případě deflace) platí, že smluvní strana požadující změnu, o změnu cen písemně požádá, a to přinejmenším prostřednictvím kontaktní osoby Objednatele, a to nejpozději do 28. února každého příslušného kalendářního roku, ve kterém se průměrná roční míra inflace v České republice za předcházející kalendářní rok zveřejňuje (na stránkách Č</w:t>
      </w:r>
      <w:r w:rsidR="000D1E4E">
        <w:t>SÚ</w:t>
      </w:r>
      <w:r>
        <w:t xml:space="preserve"> </w:t>
      </w:r>
      <w:hyperlink r:id="rId9" w:history="1">
        <w:r w:rsidR="005A0D55" w:rsidRPr="00100507">
          <w:rPr>
            <w:rStyle w:val="Hypertextovodkaz"/>
          </w:rPr>
          <w:t>https://www.czso.cz/csu/czso/mira_inflace</w:t>
        </w:r>
      </w:hyperlink>
      <w:r>
        <w:t xml:space="preserve">). </w:t>
      </w:r>
    </w:p>
    <w:p w14:paraId="3DF150D7" w14:textId="6BBCB376" w:rsidR="005A0D55" w:rsidRDefault="005A0D55" w:rsidP="00834722">
      <w:pPr>
        <w:pStyle w:val="Nadpis2"/>
      </w:pPr>
      <w:r>
        <w:lastRenderedPageBreak/>
        <w:t xml:space="preserve">Změna cen vstoupí v platnost od 1. dubna každého příslušného kalendářního roku. V případě prodlení s podáním žádosti o změnu cen, a to ze strany kterékoliv </w:t>
      </w:r>
      <w:r w:rsidR="00A93B20">
        <w:t>S</w:t>
      </w:r>
      <w:r>
        <w:t>mluvní strany uplatňující změnu cen, se příslušná cena v daném roce nemění. Inflační doložku bude možné prvně využít na ceny Služeb k datu 1. dubna 2028 s využitím inflačního koeficientu za rok 2027.</w:t>
      </w:r>
    </w:p>
    <w:p w14:paraId="1AB75AC0" w14:textId="58F9896B" w:rsidR="00D75672" w:rsidRPr="003904DF" w:rsidRDefault="00D75672" w:rsidP="00834722">
      <w:pPr>
        <w:pStyle w:val="Nadpis2"/>
      </w:pPr>
      <w:r>
        <w:t xml:space="preserve">V případě, že </w:t>
      </w:r>
      <w:r w:rsidR="005A0D55">
        <w:t>i</w:t>
      </w:r>
      <w:r>
        <w:t>nflace přestane být vyhlašována, zavazují se smluvní strany v dobré víře jednat a na písemnou výzvu kterékoli z nich do dvaceti (20) pracovních dnů od doručení písemné výzvy uzavřít dodatek ke smlouvě, kterým bude Inflace nahrazena mírou růstu spotřebitelských cen stanovenou na základě srovnatelného nástupnického indexu. Uplyne-li marně lhůta dle předchozí věty, je dodavatel oprávněn z tohoto důvodu tuto smlouvu vypovědět s výpovědní dobou 30 (třicet) kalendářních dnů od doručení výpovědi.</w:t>
      </w:r>
    </w:p>
    <w:p w14:paraId="3DDF9AA7" w14:textId="77777777" w:rsidR="00D75672" w:rsidRDefault="00D75672" w:rsidP="00365E30"/>
    <w:p w14:paraId="66732A35" w14:textId="1E4284EC" w:rsidR="005A0D55" w:rsidRDefault="005A0D55" w:rsidP="005A0D55">
      <w:pPr>
        <w:pStyle w:val="Nadpis1"/>
      </w:pPr>
      <w:r>
        <w:t>Vyšší moc, prodlení smluvních stran</w:t>
      </w:r>
    </w:p>
    <w:p w14:paraId="6B27151C" w14:textId="3BA5A9DB" w:rsidR="005A0D55" w:rsidRDefault="005A0D55" w:rsidP="00834722">
      <w:pPr>
        <w:pStyle w:val="Nadpis2"/>
      </w:pPr>
      <w:r>
        <w:t>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5561B58D" w14:textId="5FF8AC69" w:rsidR="005A0D55" w:rsidRDefault="005A0D55" w:rsidP="00834722">
      <w:pPr>
        <w:pStyle w:val="Nadpis2"/>
      </w:pPr>
      <w:r>
        <w:t>Vyšší mocí se pro účely této Smlouvy rozumí mimořádná událost, okolnost nebo překážka, kterou příslušná Strana při vynaložení náležité péče nemohla před uzavřením této Smlouvy předvídat ani jí předejít a která je mimo jakoukoliv kontrolu takové Strany a nebyla způsobena úmyslně ani z nedbalosti jednáním nebo opomenutím této Strany. Takovými událostmi, okolnostmi nebo překážkami jsou zejména, nikoliv však výlučně:</w:t>
      </w:r>
    </w:p>
    <w:p w14:paraId="207ECF19" w14:textId="65E5ADDC" w:rsidR="005A0D55" w:rsidRDefault="005A0D55" w:rsidP="00834722">
      <w:pPr>
        <w:pStyle w:val="Nadpis3"/>
      </w:pPr>
      <w:r>
        <w:t>živelné události – zemětřesení, záplavy, vichřice atd.;</w:t>
      </w:r>
    </w:p>
    <w:p w14:paraId="3BDBA2A3" w14:textId="7E6409D2" w:rsidR="005A0D55" w:rsidRPr="00834722" w:rsidRDefault="005A0D55" w:rsidP="00834722">
      <w:pPr>
        <w:pStyle w:val="Nadpis3"/>
      </w:pPr>
      <w:r w:rsidRPr="00834722">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73FB15A9" w14:textId="06318081" w:rsidR="005A0D55" w:rsidRDefault="005A0D55" w:rsidP="00834722">
      <w:pPr>
        <w:pStyle w:val="Nadpis3"/>
      </w:pPr>
      <w:r>
        <w:t>epidemie, karanténa, či krizová a další opatření orgánů veřejné moci, a to zejména epidemie koronaviru označovaného 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027AFB6B" w14:textId="2ABD0AD8" w:rsidR="005A0D55" w:rsidRDefault="005A0D55" w:rsidP="00834722">
      <w:pPr>
        <w:pStyle w:val="Nadpis3"/>
      </w:pPr>
      <w:r>
        <w:t>obecně závazné akty státních a místních orgánů – zákony, nařízení, vyhlášky atd., včetně pokynů Objednatele z nich nezbytně vycházejících, nikoli však správní, soudní nebo jiná rozhodnutí v konkrétní věci vydaná k tíži smluvní strany dovolávající se zásahu vyšší moci, pokud je důvodem jejich vydání porušení právní povinnosti touto Stranou nebo její nedbalost.</w:t>
      </w:r>
    </w:p>
    <w:p w14:paraId="430BF7A3" w14:textId="4714997A" w:rsidR="005A0D55" w:rsidRDefault="005A0D55" w:rsidP="00834722">
      <w:pPr>
        <w:pStyle w:val="Nadpis2"/>
      </w:pPr>
      <w:r>
        <w:t>Pro vyloučení pochybností se uvádí, že za vyšší moc se nepovažuje jakékoliv prodlení s plněním závazků kteréhokoli z poddodavatelů Zhotovitele, jakož ani finanční situace, insolvence, reorganizace, konkurs, vyrovnání, likvidace či jiná obdobná událost týkající se Poskytovatele nebo jakéhokoliv jeho poddodavatele nebo exekuce na majetek Poskytovatele nebo jakéhokoliv smluvního dodavatele Poskytovatele.</w:t>
      </w:r>
    </w:p>
    <w:p w14:paraId="3D27F1CC" w14:textId="4740963F" w:rsidR="005A0D55" w:rsidRDefault="005A0D55" w:rsidP="00834722">
      <w:pPr>
        <w:pStyle w:val="Nadpis2"/>
      </w:pPr>
      <w:r>
        <w:t>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w:t>
      </w:r>
    </w:p>
    <w:p w14:paraId="4073F7D3" w14:textId="17661046" w:rsidR="005A0D55" w:rsidRPr="00834722" w:rsidRDefault="005A0D55" w:rsidP="00834722">
      <w:pPr>
        <w:pStyle w:val="Nadpis2"/>
      </w:pPr>
      <w:r w:rsidRPr="00834722">
        <w:lastRenderedPageBreak/>
        <w:t>Pokud bude zásah vyšší moci přetrvávat déle než 6 (slovy šest) měsíců, je kterákoliv ze Stran oprávněna od této Smlouvy odstoupit. Na základě odstoupení od této Smlouvy z tohoto důvodu nevznikají druhé Straně žádné nároky na náhradu škody nebo smluvní pokuty, jež jinak tato Smlouva může s odstoupením spojovat, nejsou však dotčeny nároky Stran řádně vzniklé do té doby.</w:t>
      </w:r>
    </w:p>
    <w:p w14:paraId="24699097" w14:textId="4F851ABA" w:rsidR="005A0D55" w:rsidRDefault="005A0D55" w:rsidP="00834722">
      <w:pPr>
        <w:pStyle w:val="Nadpis2"/>
      </w:pPr>
      <w:r>
        <w:t>Žádná Smluvní strana není odpovědná za prodlení se splněním svého závazku v případě, že</w:t>
      </w:r>
      <w:r w:rsidR="009C0079">
        <w:t> </w:t>
      </w:r>
      <w:r>
        <w:t>i</w:t>
      </w:r>
      <w:r w:rsidR="009C0079">
        <w:t> </w:t>
      </w:r>
      <w:r>
        <w:t xml:space="preserve">druhá </w:t>
      </w:r>
      <w:r w:rsidR="001F6719">
        <w:t xml:space="preserve">Smluvní strana </w:t>
      </w:r>
      <w:r>
        <w:t xml:space="preserve">je v prodlení se splněním svého </w:t>
      </w:r>
      <w:proofErr w:type="spellStart"/>
      <w:r>
        <w:t>synallagmatického</w:t>
      </w:r>
      <w:proofErr w:type="spellEnd"/>
      <w:r>
        <w:t xml:space="preserve"> závazku.</w:t>
      </w:r>
    </w:p>
    <w:p w14:paraId="0C75E412" w14:textId="77777777" w:rsidR="00D75672" w:rsidRDefault="00D75672" w:rsidP="00365E30"/>
    <w:p w14:paraId="0F2F272A" w14:textId="2E6972EC" w:rsidR="00032D48" w:rsidRDefault="00032D48" w:rsidP="00365E30">
      <w:pPr>
        <w:pStyle w:val="Nadpis1"/>
      </w:pPr>
      <w:r>
        <w:t>Ustanovení společná a závěrečná</w:t>
      </w:r>
    </w:p>
    <w:p w14:paraId="09E0BC0A" w14:textId="77777777" w:rsidR="000D1E4E" w:rsidRDefault="000D1E4E" w:rsidP="00834722">
      <w:pPr>
        <w:pStyle w:val="Nadpis2"/>
      </w:pPr>
      <w:r>
        <w:t>Poskytovatel je oprávněn aktualizovat a měnit jednostranně všeobecné podmínky Poskytovatele, přičemž se zavazuje jakoukoliv aktualizaci nebo změnu oznámit bez zbytečného odkladu Objednateli před nabytím účinnosti této aktualizace nebo změny. Uvedené změny v části, která by měnila podmínky v přílohách č. 1, 2, 3 a 4 této Smlouvy v neprospěch Objednatele, jsou vůči Objednateli neúčinné. Uvedené změny je Poskytovatel oprávněn provést zejména v případě změny právních předpisů, zavedení nových služeb a technologií nebo z důvodu změny podmínek na trhu v důsledku regulace ze strany regulátora.</w:t>
      </w:r>
    </w:p>
    <w:p w14:paraId="0D9A7825" w14:textId="77777777" w:rsidR="000D1E4E" w:rsidRDefault="000D1E4E" w:rsidP="00834722">
      <w:pPr>
        <w:pStyle w:val="Nadpis2"/>
      </w:pPr>
      <w:r>
        <w:t>Poskytovatel tímto prohlašuje, že veškeré podmínky a požadavky Objednatele vymezené v zadávací dokumentaci k předmětné veřejné zakázce jsou pro něj závazné a jsou součástí této Smlouvy.</w:t>
      </w:r>
    </w:p>
    <w:p w14:paraId="1F9742E8" w14:textId="77777777" w:rsidR="009C0079" w:rsidRDefault="000D1E4E" w:rsidP="00834722">
      <w:pPr>
        <w:pStyle w:val="Nadpis2"/>
      </w:pPr>
      <w:r>
        <w:t xml:space="preserve">V případě rozporu </w:t>
      </w:r>
      <w:r w:rsidR="009C0079">
        <w:t xml:space="preserve">mezi jednotlivými smluvními dokumenty platí následující posloupnost přednosti dokumentů: </w:t>
      </w:r>
    </w:p>
    <w:p w14:paraId="5314E67A" w14:textId="77777777" w:rsidR="009C0079" w:rsidRDefault="000D1E4E" w:rsidP="009C0079">
      <w:pPr>
        <w:pStyle w:val="Nadpis3"/>
      </w:pPr>
      <w:r>
        <w:t>Smlouv</w:t>
      </w:r>
      <w:r w:rsidR="009C0079">
        <w:t xml:space="preserve">a; </w:t>
      </w:r>
    </w:p>
    <w:p w14:paraId="448B5C14" w14:textId="77777777" w:rsidR="009C0079" w:rsidRDefault="009C0079" w:rsidP="009C0079">
      <w:pPr>
        <w:pStyle w:val="Nadpis3"/>
      </w:pPr>
      <w:r>
        <w:t xml:space="preserve">Příloha č. 1, 2, 3 a 4 Smlouvy (postupně v tomto pořadí); </w:t>
      </w:r>
    </w:p>
    <w:p w14:paraId="26B9E70F" w14:textId="77777777" w:rsidR="009C0079" w:rsidRDefault="009C0079" w:rsidP="009C0079">
      <w:pPr>
        <w:pStyle w:val="Nadpis3"/>
      </w:pPr>
      <w:r>
        <w:t>Text D</w:t>
      </w:r>
      <w:r w:rsidR="000D1E4E">
        <w:t>ílčí</w:t>
      </w:r>
      <w:r>
        <w:t>ch</w:t>
      </w:r>
      <w:r w:rsidR="000D1E4E">
        <w:t xml:space="preserve"> smluv</w:t>
      </w:r>
    </w:p>
    <w:p w14:paraId="5F69FBD7" w14:textId="77777777" w:rsidR="009C0079" w:rsidRDefault="009C0079" w:rsidP="009C0079">
      <w:pPr>
        <w:pStyle w:val="Nadpis3"/>
      </w:pPr>
      <w:r>
        <w:t>Text V</w:t>
      </w:r>
      <w:r w:rsidR="000D1E4E">
        <w:t xml:space="preserve">šeobecných obchodních podmínek Poskytovatele </w:t>
      </w:r>
      <w:r>
        <w:t xml:space="preserve">a všeobecný ceník Poskytovatele, </w:t>
      </w:r>
    </w:p>
    <w:p w14:paraId="79FFD2DE" w14:textId="358A5C6B" w:rsidR="000D1E4E" w:rsidRDefault="009C0079" w:rsidP="009C0079">
      <w:pPr>
        <w:pStyle w:val="Nadpis3"/>
      </w:pPr>
      <w:r>
        <w:t>Ostatní smluvní dokumentace.</w:t>
      </w:r>
    </w:p>
    <w:p w14:paraId="41BAB2B7" w14:textId="73EC917C" w:rsidR="001F6719" w:rsidRDefault="001F6719" w:rsidP="00834722">
      <w:pPr>
        <w:pStyle w:val="Nadpis2"/>
      </w:pPr>
      <w:r>
        <w:t>Poskytovatel podpisem této Smlouvy souhlasí s jejím uveřejněním a všech jejích případných dodatků v Registru smluv, a to v rozsahu a způsobem stanoveným zákonem č. 340/2015 Sb., o</w:t>
      </w:r>
      <w:r w:rsidR="009C0079">
        <w:t> </w:t>
      </w:r>
      <w:r>
        <w:t>zvláštních podmínkách účinnosti některých smluv, uveřejňování těchto smluv a o registru smluv (zákon o registru smluv), ve znění pozdějších předpisů. Uveřejnění této Smlouvy či jejích dodatků zajistí Objednatel. Smluvní strany výslovně prohlašují, že skutečnosti uvedené v této Smlouvě nepovažují za důvěrné nebo obchodní tajemství a udělují svolení k jejich uveřejnění v Registru smluv bez dalších podmínek.</w:t>
      </w:r>
    </w:p>
    <w:p w14:paraId="3266E71B" w14:textId="10A99A56" w:rsidR="001F6719" w:rsidRDefault="001F6719" w:rsidP="00834722">
      <w:pPr>
        <w:pStyle w:val="Nadpis2"/>
      </w:pPr>
      <w:r>
        <w:t>Smluvní strany se zavazují, že při nakládání s osobními údaji uvedenými ve Smlouvě nebo osobními údaji, ke kterým získají přístup v rámci plnění vyplývajícího z předmětu plnění dle této Smlouvy, budou postupovat v souladu se zákonem č. 110/2019 Sb., o zpracování osobních údajů a NAŘÍZENÍM EVROPSKÉHO PARLAMENTU A RADY (EU) 2016/679, o ochraně fyzických osob v</w:t>
      </w:r>
      <w:r w:rsidR="009C0079">
        <w:t> </w:t>
      </w:r>
      <w:r>
        <w:t>souvislosti se zpracováním osobních údajů a o volném pohybu těchto údajů a o zrušení směrnice 95/46/ES (obecné nařízení o ochraně osobních údajů).</w:t>
      </w:r>
    </w:p>
    <w:p w14:paraId="30BCBB5F" w14:textId="46142E2D" w:rsidR="001F6719" w:rsidRDefault="001F6719" w:rsidP="00834722">
      <w:pPr>
        <w:pStyle w:val="Nadpis2"/>
      </w:pPr>
      <w:r>
        <w:t>Strany jsou povinny utajit veškeré informace, které se dozvěděly v rámci uzavírání a plnění Smlouvy, tvořící její obsah, a informace, které si vzájemně sdělily nebo které vyplynou z plnění Smlouvy (důvěrné informace).</w:t>
      </w:r>
    </w:p>
    <w:p w14:paraId="13DB7444" w14:textId="7CD3AED7" w:rsidR="001F6719" w:rsidRDefault="001F6719" w:rsidP="00834722">
      <w:pPr>
        <w:pStyle w:val="Nadpis2"/>
      </w:pPr>
      <w:r>
        <w:lastRenderedPageBreak/>
        <w:t>Strany výslovně souhlasí s tím, aby Smlouva byla uvedena v Centrální evidenci smluv Technické správy komunikací hl. m. Prahy, a.s. (CES TSK) Objednatelem, která je veřejně přístupná a která obsahuje údaje o Stranách, předmětu Smlouvy, číselné označení Smlouvy a datum jejího podpisu.</w:t>
      </w:r>
    </w:p>
    <w:p w14:paraId="7FBE836C" w14:textId="44538741" w:rsidR="001F6719" w:rsidRDefault="001F6719" w:rsidP="00834722">
      <w:pPr>
        <w:pStyle w:val="Nadpis2"/>
      </w:pPr>
      <w:r>
        <w:t xml:space="preserve">Objednatel byl v srpnu 2021 Národním úřadem pro kybernetickou bezpečnost (NÚKIB) určen jako provozovatel základní služby dle zákona č. 181/2014 Sb., o kybernetické bezpečnosti a o změně souvisejících zákonů. Objednatel, jakožto povinná osoba dle tohoto zákona, je proto povinen realizovat celou řadu bezpečnostních opatření, řídit se příslušnou legislativou a provádět činnosti dle nařízení vydávaných NÚKIB. V průběhu plnění smlouvy tak může dojít k situaci, kdy Objednatel bude povinen realizovat bezpečnostní opatření, která mohou mít dopad na odebírané služby (např. na jejich rozsah, kvalitu, bezpečnost, používané technologie apod.). Pro případ, že takováto situace nastane, zavazují se obě smluvní strany vstoupit v jednání s cílem dosáhnout vzájemné dohody. Pokud by nebylo možné dohody dosáhnout, a to nejpozději do 3 měsíců od zahájení jednání, je Objednatel oprávněn smlouvu, či jednotlivé dílčích plnění (jednotlivou službu), ukončit za podmínek stanovených touto smlouvou. Nezbytné bezpečnostní požadavky a opatření z hlediska kybernetické bezpečnosti podrobně upravuje příloha č. 4, která je nedílnou součástí této Smlouvy. </w:t>
      </w:r>
    </w:p>
    <w:p w14:paraId="59C845DA" w14:textId="239D74EE" w:rsidR="001F6719" w:rsidRDefault="001F6719" w:rsidP="00834722">
      <w:pPr>
        <w:pStyle w:val="Nadpis2"/>
      </w:pPr>
      <w:r>
        <w:t xml:space="preserve">Poskytovatel bere výslovně na vědomí Etický kodex pro dodavatele Technické správy komunikací hl. m. Prahy, a.s., a zavazuje se jej při plnění této Smlouvy dodržovat, nebo zajistit dodržování odpovídajících povinností ve stejném rozsahu na základě vlastního (jiného) etického kodexu. To se týká jak oblasti obecných </w:t>
      </w:r>
      <w:proofErr w:type="spellStart"/>
      <w:r>
        <w:t>Compliance</w:t>
      </w:r>
      <w:proofErr w:type="spellEnd"/>
      <w:r>
        <w:t xml:space="preserve"> zásad Objednatele, tak i specifických požadavků vztahujících se k nulové toleranci korupčního jednání a celkovému dodržování zásad slušnosti, poctivosti a dobrých mravů. Poskytovatel výslovně prohlašuje, že si je vědom kontrolních i</w:t>
      </w:r>
      <w:r w:rsidR="009C0079">
        <w:t> </w:t>
      </w:r>
      <w:r>
        <w:t xml:space="preserve">sankčních oprávnění Objednatele vyplývajících z </w:t>
      </w:r>
      <w:proofErr w:type="spellStart"/>
      <w:r>
        <w:t>Compliance</w:t>
      </w:r>
      <w:proofErr w:type="spellEnd"/>
      <w:r>
        <w:t xml:space="preserve"> doložky a protikorupční doložky, a</w:t>
      </w:r>
      <w:r w:rsidR="009C0079">
        <w:t> </w:t>
      </w:r>
      <w:r>
        <w:t xml:space="preserve">že s nimi souhlasí. Podrobně jsou práva a povinnosti Smluvních stran rozvedeny v příloze č. 3 </w:t>
      </w:r>
    </w:p>
    <w:p w14:paraId="6A246CDA" w14:textId="77777777" w:rsidR="000D1E4E" w:rsidRDefault="000D1E4E" w:rsidP="00834722">
      <w:pPr>
        <w:pStyle w:val="Nadpis2"/>
      </w:pPr>
      <w:r>
        <w:t>Podpisem Smlouvy obě smluvní strany potvrzují, že se s výše uvedenými dokumenty podrobně seznámily a bez výhrad s nimi souhlasí a akceptují je. Práva a povinnosti smluvních stran neupravené v této Smlouvě ani v jiných navazujících dokumentech se řídí občanským zákoníkem, popř. dalšími příslušnými právními předpisy.</w:t>
      </w:r>
    </w:p>
    <w:p w14:paraId="1270D9D7" w14:textId="77777777" w:rsidR="000D1E4E" w:rsidRDefault="000D1E4E" w:rsidP="00834722">
      <w:pPr>
        <w:pStyle w:val="Nadpis2"/>
      </w:pPr>
      <w:r>
        <w:t>Smluvní strany se zavazují v souvislosti s plněním smlouvy dodržovat veškeré právní předpisy upravující sankce (ekonomické, obchodní či finanční sankce, embarga nebo jiná omezující opatření), jakož i předpisy o kontrole exportu, platné v České republice či Evropské unii. Každá strana má povinnost informovat druhou stranu při porušení těchto právních předpisů či změně statutu dané smluvní strany v souvislosti se sankcemi a kontrolou exportu. V případě, že taková situace nastane, má druhá strana právo okamžitě přerušit poskytování služeb a zboží nebo smlouvu ukončit, a to bez jakýchkoli sankcí.</w:t>
      </w:r>
    </w:p>
    <w:p w14:paraId="0E61BD23" w14:textId="77777777" w:rsidR="000D1E4E" w:rsidRDefault="000D1E4E" w:rsidP="00834722">
      <w:pPr>
        <w:pStyle w:val="Nadpis2"/>
      </w:pPr>
      <w:r>
        <w:t xml:space="preserve">Smluvní strany se dohodly na vyloučení </w:t>
      </w:r>
      <w:proofErr w:type="spellStart"/>
      <w:r>
        <w:t>ust</w:t>
      </w:r>
      <w:proofErr w:type="spellEnd"/>
      <w:r>
        <w:t>. § 557 občanského zákoníku. V souvislosti s uzavíráním této Smlouvy či Dílčí smlouvy smluvní strany ujednaly, že odpověď Objednatele s dodatkem nebo odchylkou není přijetím nabídky na uzavření Smlouvy, resp. Dílčí smlouvy, ani když podstatně nemění podmínky nabídky (</w:t>
      </w:r>
      <w:proofErr w:type="spellStart"/>
      <w:r>
        <w:t>ust</w:t>
      </w:r>
      <w:proofErr w:type="spellEnd"/>
      <w:r>
        <w:t>. § 1740 odst. 3 občanského zákoníku). Poskytovatel poskytuje Služby a případné související zboží pouze za podmínek uvedených ve Smlouvě a Dílčích smlouvách, a proto zaslání jiných obchodních podmínek považují obě strany za nepřijetí návrhu ze strany druhé smluvní strany, ale za nový návrh, jehož přijetí však musí být ze strany písemně oboustranně potvrzeno (</w:t>
      </w:r>
      <w:proofErr w:type="spellStart"/>
      <w:r>
        <w:t>ust</w:t>
      </w:r>
      <w:proofErr w:type="spellEnd"/>
      <w:r>
        <w:t>. § 1751 odst. 2 občanského zákoníku).</w:t>
      </w:r>
    </w:p>
    <w:p w14:paraId="56A1ABC0" w14:textId="77777777" w:rsidR="000D1E4E" w:rsidRDefault="000D1E4E" w:rsidP="00834722">
      <w:pPr>
        <w:pStyle w:val="Nadpis2"/>
      </w:pPr>
      <w:r>
        <w:t xml:space="preserve">Tato Smlouva je sepsána v českém jazyce a je uzavřena elektronicky za využití uznávaných elektronických podpisů, přičemž obě strany </w:t>
      </w:r>
      <w:proofErr w:type="gramStart"/>
      <w:r>
        <w:t>obdrží</w:t>
      </w:r>
      <w:proofErr w:type="gramEnd"/>
      <w:r>
        <w:t xml:space="preserve"> po jednom elektronickém originálu, na kterém jsou zaznamenány uznávané elektronické podpisy zástupců Smluvních stran.</w:t>
      </w:r>
    </w:p>
    <w:p w14:paraId="1346BBE5" w14:textId="77777777" w:rsidR="000D1E4E" w:rsidRDefault="000D1E4E" w:rsidP="00834722">
      <w:pPr>
        <w:pStyle w:val="Nadpis2"/>
      </w:pPr>
      <w:r>
        <w:lastRenderedPageBreak/>
        <w:t>Tato Smlouva a Dílčí smlouvy mohou být měněny pouze písemnými dodatky vlastnoručně podepsanými oprávněnými zástupci smluvních stran; písemnou formou není pro účely změny Smlouvy či Dílčí smlouvy výměna e-mailových či jiných elektronických zpráv.</w:t>
      </w:r>
    </w:p>
    <w:p w14:paraId="1292B147" w14:textId="77777777" w:rsidR="001F6719" w:rsidRDefault="001F6719" w:rsidP="00365E30"/>
    <w:p w14:paraId="6CF9AD28" w14:textId="77777777" w:rsidR="009C0079" w:rsidRDefault="009C0079" w:rsidP="00365E30"/>
    <w:p w14:paraId="0151636A" w14:textId="1D60CF0F" w:rsidR="00460510" w:rsidRDefault="00460510" w:rsidP="00365E30">
      <w:pPr>
        <w:pStyle w:val="Nadpis1"/>
      </w:pPr>
      <w:r>
        <w:t>Seznam příloh:</w:t>
      </w:r>
    </w:p>
    <w:p w14:paraId="21C76DA0" w14:textId="151D8AF5" w:rsidR="00460510" w:rsidRDefault="00460510" w:rsidP="00365E30">
      <w:bookmarkStart w:id="1" w:name="_Hlk161993519"/>
      <w:r>
        <w:t>Příloha č. 1:</w:t>
      </w:r>
      <w:r>
        <w:tab/>
        <w:t>Technická specifikace služeb</w:t>
      </w:r>
    </w:p>
    <w:p w14:paraId="552345D0" w14:textId="782096EE" w:rsidR="00460510" w:rsidRDefault="00460510" w:rsidP="00365E30">
      <w:r>
        <w:t>Příloha č. 2:</w:t>
      </w:r>
      <w:r>
        <w:tab/>
        <w:t>Ceník</w:t>
      </w:r>
    </w:p>
    <w:p w14:paraId="0004CC44" w14:textId="3D87FFB1" w:rsidR="00460510" w:rsidRDefault="00460510" w:rsidP="009C0079">
      <w:pPr>
        <w:ind w:left="1418" w:hanging="1418"/>
      </w:pPr>
      <w:r>
        <w:t xml:space="preserve">Příloha č. 3: </w:t>
      </w:r>
      <w:r>
        <w:tab/>
        <w:t xml:space="preserve">Souhrnná doložka do smluv uzavíraných Technickou správou komunikací hl. m. Prahy, a.s. na základě vnitřního předpisu ZD-10 </w:t>
      </w:r>
      <w:proofErr w:type="spellStart"/>
      <w:r>
        <w:t>Compliance</w:t>
      </w:r>
      <w:proofErr w:type="spellEnd"/>
      <w:r>
        <w:t xml:space="preserve"> program společnosti Technická správa komunikací hl. m. Prahy („</w:t>
      </w:r>
      <w:proofErr w:type="spellStart"/>
      <w:r>
        <w:t>Compliance</w:t>
      </w:r>
      <w:proofErr w:type="spellEnd"/>
      <w:r>
        <w:t xml:space="preserve"> program“)</w:t>
      </w:r>
    </w:p>
    <w:p w14:paraId="79550096" w14:textId="3C321B09" w:rsidR="0095728F" w:rsidRPr="0095728F" w:rsidRDefault="00460510" w:rsidP="00365E30">
      <w:r>
        <w:t>Příloha č. 4:</w:t>
      </w:r>
      <w:r>
        <w:tab/>
      </w:r>
      <w:r w:rsidR="0095728F" w:rsidRPr="0095728F">
        <w:t xml:space="preserve">Kybernetická bezpečnost a opatření </w:t>
      </w:r>
    </w:p>
    <w:p w14:paraId="455D33C6" w14:textId="2C7459E6" w:rsidR="00460510" w:rsidRDefault="0095728F" w:rsidP="00365E30">
      <w:r>
        <w:t>Příloha č. 5:</w:t>
      </w:r>
      <w:r>
        <w:tab/>
        <w:t xml:space="preserve">Všeobecné podmínky Poskytovatele </w:t>
      </w:r>
    </w:p>
    <w:p w14:paraId="4389A189" w14:textId="3B7C3379" w:rsidR="0095728F" w:rsidRDefault="0095728F" w:rsidP="00365E30">
      <w:r>
        <w:t>Příloha č. 6:</w:t>
      </w:r>
      <w:r>
        <w:tab/>
        <w:t>Všeobecný ceník Poskytovatele</w:t>
      </w:r>
    </w:p>
    <w:p w14:paraId="400E7422" w14:textId="066A7ECE" w:rsidR="0095728F" w:rsidRDefault="0095728F" w:rsidP="00365E30">
      <w:r>
        <w:t>Příloha č. 7:</w:t>
      </w:r>
      <w:r>
        <w:tab/>
        <w:t>Definice kontaktních osob</w:t>
      </w:r>
    </w:p>
    <w:bookmarkEnd w:id="1"/>
    <w:p w14:paraId="718B3A2A" w14:textId="77777777" w:rsidR="00460510" w:rsidRDefault="00460510" w:rsidP="00365E30"/>
    <w:p w14:paraId="232B2042" w14:textId="77777777" w:rsidR="009C0079" w:rsidRDefault="009C0079" w:rsidP="00365E30"/>
    <w:p w14:paraId="56D7C85E" w14:textId="77777777" w:rsidR="000D1E4E" w:rsidRDefault="000D1E4E" w:rsidP="00365E30"/>
    <w:p w14:paraId="4BF9B524" w14:textId="77777777" w:rsidR="00CB377D" w:rsidRPr="00460510" w:rsidRDefault="00CB377D" w:rsidP="00365E30"/>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60510" w14:paraId="0252297E" w14:textId="77777777" w:rsidTr="00460510">
        <w:tc>
          <w:tcPr>
            <w:tcW w:w="4531" w:type="dxa"/>
          </w:tcPr>
          <w:p w14:paraId="178F95F4" w14:textId="3E4D02D7" w:rsidR="00460510" w:rsidRDefault="00460510" w:rsidP="00365E30">
            <w:r>
              <w:t>Za Objednatele:</w:t>
            </w:r>
            <w:r w:rsidR="00C11CC9">
              <w:t xml:space="preserve"> 4.6.2024</w:t>
            </w:r>
          </w:p>
          <w:p w14:paraId="7C440E18" w14:textId="77777777" w:rsidR="00460510" w:rsidRDefault="00460510" w:rsidP="00365E30"/>
          <w:p w14:paraId="29E555F7" w14:textId="77777777" w:rsidR="00460510" w:rsidRDefault="00460510" w:rsidP="00365E30"/>
          <w:p w14:paraId="4948578F" w14:textId="77777777" w:rsidR="00460510" w:rsidRDefault="00460510" w:rsidP="00365E30">
            <w:r>
              <w:t>………………………………………………….</w:t>
            </w:r>
          </w:p>
          <w:p w14:paraId="6810927A" w14:textId="02331E37" w:rsidR="00460510" w:rsidRDefault="00460510" w:rsidP="00365E30"/>
          <w:p w14:paraId="7437E72F" w14:textId="77777777" w:rsidR="00460510" w:rsidRDefault="00460510" w:rsidP="00365E30"/>
          <w:p w14:paraId="1F1BDCFC" w14:textId="77777777" w:rsidR="00460510" w:rsidRDefault="00460510" w:rsidP="00365E30">
            <w:r>
              <w:t>………………………………………………….</w:t>
            </w:r>
          </w:p>
          <w:p w14:paraId="21875092" w14:textId="6D82697A" w:rsidR="0095728F" w:rsidRDefault="0095728F" w:rsidP="00365E30"/>
        </w:tc>
        <w:tc>
          <w:tcPr>
            <w:tcW w:w="4531" w:type="dxa"/>
          </w:tcPr>
          <w:p w14:paraId="193DE6B8" w14:textId="77777777" w:rsidR="00460510" w:rsidRDefault="00460510" w:rsidP="00365E30">
            <w:r>
              <w:t>Za Poskytovatele:</w:t>
            </w:r>
          </w:p>
          <w:p w14:paraId="1537D4EA" w14:textId="77777777" w:rsidR="00460510" w:rsidRDefault="00460510" w:rsidP="00365E30"/>
          <w:p w14:paraId="22A563C9" w14:textId="77777777" w:rsidR="00460510" w:rsidRDefault="00460510" w:rsidP="00365E30"/>
          <w:p w14:paraId="01A90958" w14:textId="77777777" w:rsidR="00460510" w:rsidRDefault="00460510" w:rsidP="00365E30">
            <w:r>
              <w:t>………………………………………………….</w:t>
            </w:r>
          </w:p>
          <w:p w14:paraId="25A784A1" w14:textId="10034F4D" w:rsidR="00AD256A" w:rsidRDefault="00C11CC9" w:rsidP="00907663">
            <w:pPr>
              <w:spacing w:before="0"/>
            </w:pPr>
            <w:proofErr w:type="spellStart"/>
            <w:r>
              <w:t>xxxxxxxxxxxxx</w:t>
            </w:r>
            <w:proofErr w:type="spellEnd"/>
            <w:r w:rsidR="00AD256A">
              <w:t>, obchodní zástupce,</w:t>
            </w:r>
          </w:p>
          <w:p w14:paraId="5F2AA6E9" w14:textId="28F5004A" w:rsidR="00AD256A" w:rsidRDefault="00AD256A" w:rsidP="00907663">
            <w:pPr>
              <w:spacing w:before="0"/>
            </w:pPr>
            <w:r>
              <w:t>na základě pověření</w:t>
            </w:r>
          </w:p>
        </w:tc>
      </w:tr>
    </w:tbl>
    <w:p w14:paraId="25D07BA8" w14:textId="77777777" w:rsidR="00032D48" w:rsidRDefault="00032D48" w:rsidP="00365E30"/>
    <w:sectPr w:rsidR="00032D48" w:rsidSect="0008536F">
      <w:foot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15330" w14:textId="77777777" w:rsidR="003C09EE" w:rsidRDefault="003C09EE" w:rsidP="00365E30">
      <w:r>
        <w:separator/>
      </w:r>
    </w:p>
  </w:endnote>
  <w:endnote w:type="continuationSeparator" w:id="0">
    <w:p w14:paraId="31D18780" w14:textId="77777777" w:rsidR="003C09EE" w:rsidRDefault="003C09EE" w:rsidP="0036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5C9B6" w14:textId="637729E4" w:rsidR="00460510" w:rsidRDefault="00535947" w:rsidP="00365E30">
    <w:pPr>
      <w:pStyle w:val="Zpat"/>
    </w:pPr>
    <w:r>
      <w:rPr>
        <w:noProof/>
      </w:rPr>
      <mc:AlternateContent>
        <mc:Choice Requires="wps">
          <w:drawing>
            <wp:anchor distT="0" distB="0" distL="114300" distR="114300" simplePos="0" relativeHeight="251659264" behindDoc="0" locked="0" layoutInCell="0" allowOverlap="1" wp14:anchorId="6D8EEEE9" wp14:editId="012E5551">
              <wp:simplePos x="0" y="0"/>
              <wp:positionH relativeFrom="page">
                <wp:posOffset>0</wp:posOffset>
              </wp:positionH>
              <wp:positionV relativeFrom="page">
                <wp:posOffset>10227945</wp:posOffset>
              </wp:positionV>
              <wp:extent cx="7560310" cy="273050"/>
              <wp:effectExtent l="0" t="0" r="0" b="12700"/>
              <wp:wrapNone/>
              <wp:docPr id="1" name="MSIPCMb94b4bf4931854455840afe5"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DFC421" w14:textId="015B5647" w:rsidR="00535947" w:rsidRPr="00535947" w:rsidRDefault="00535947" w:rsidP="00535947">
                          <w:pPr>
                            <w:spacing w:before="0"/>
                            <w:jc w:val="left"/>
                            <w:rPr>
                              <w:rFonts w:ascii="Calibri" w:hAnsi="Calibri" w:cs="Calibri"/>
                              <w:color w:val="000000"/>
                              <w:sz w:val="14"/>
                            </w:rPr>
                          </w:pPr>
                          <w:r w:rsidRPr="00535947">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D8EEEE9" id="_x0000_t202" coordsize="21600,21600" o:spt="202" path="m,l,21600r21600,l21600,xe">
              <v:stroke joinstyle="miter"/>
              <v:path gradientshapeok="t" o:connecttype="rect"/>
            </v:shapetype>
            <v:shape id="MSIPCMb94b4bf4931854455840afe5"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74DFC421" w14:textId="015B5647" w:rsidR="00535947" w:rsidRPr="00535947" w:rsidRDefault="00535947" w:rsidP="00535947">
                    <w:pPr>
                      <w:spacing w:before="0"/>
                      <w:jc w:val="left"/>
                      <w:rPr>
                        <w:rFonts w:ascii="Calibri" w:hAnsi="Calibri" w:cs="Calibri"/>
                        <w:color w:val="000000"/>
                        <w:sz w:val="14"/>
                      </w:rPr>
                    </w:pPr>
                    <w:r w:rsidRPr="00535947">
                      <w:rPr>
                        <w:rFonts w:ascii="Calibri" w:hAnsi="Calibri" w:cs="Calibri"/>
                        <w:color w:val="000000"/>
                        <w:sz w:val="14"/>
                      </w:rPr>
                      <w:t>C2 General</w:t>
                    </w:r>
                  </w:p>
                </w:txbxContent>
              </v:textbox>
              <w10:wrap anchorx="page" anchory="page"/>
            </v:shape>
          </w:pict>
        </mc:Fallback>
      </mc:AlternateContent>
    </w:r>
    <w:r w:rsidR="0008536F">
      <w:tab/>
    </w:r>
    <w:r w:rsidR="0008536F">
      <w:tab/>
    </w:r>
    <w:r w:rsidR="00460510">
      <w:t xml:space="preserve">Strana </w:t>
    </w:r>
    <w:r w:rsidR="00460510">
      <w:fldChar w:fldCharType="begin"/>
    </w:r>
    <w:r w:rsidR="00460510">
      <w:instrText xml:space="preserve"> PAGE   \* MERGEFORMAT </w:instrText>
    </w:r>
    <w:r w:rsidR="00460510">
      <w:fldChar w:fldCharType="separate"/>
    </w:r>
    <w:r w:rsidR="00460510">
      <w:rPr>
        <w:noProof/>
      </w:rPr>
      <w:t>1</w:t>
    </w:r>
    <w:r w:rsidR="00460510">
      <w:fldChar w:fldCharType="end"/>
    </w:r>
    <w:r w:rsidR="00460510">
      <w:t xml:space="preserve"> / </w:t>
    </w:r>
    <w:fldSimple w:instr=" NUMPAGES   \* MERGEFORMAT ">
      <w:r w:rsidR="00460510">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3FFF0" w14:textId="77777777" w:rsidR="003C09EE" w:rsidRDefault="003C09EE" w:rsidP="00365E30">
      <w:r>
        <w:separator/>
      </w:r>
    </w:p>
  </w:footnote>
  <w:footnote w:type="continuationSeparator" w:id="0">
    <w:p w14:paraId="46875825" w14:textId="77777777" w:rsidR="003C09EE" w:rsidRDefault="003C09EE" w:rsidP="00365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587B"/>
    <w:multiLevelType w:val="multilevel"/>
    <w:tmpl w:val="A7F4C60C"/>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16cid:durableId="1980649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D48"/>
    <w:rsid w:val="00032D48"/>
    <w:rsid w:val="0008536F"/>
    <w:rsid w:val="000D1E4E"/>
    <w:rsid w:val="001A43E2"/>
    <w:rsid w:val="001F6719"/>
    <w:rsid w:val="00234B91"/>
    <w:rsid w:val="00251497"/>
    <w:rsid w:val="002841B6"/>
    <w:rsid w:val="00294AF7"/>
    <w:rsid w:val="00296962"/>
    <w:rsid w:val="00327A98"/>
    <w:rsid w:val="00365E30"/>
    <w:rsid w:val="003904DF"/>
    <w:rsid w:val="003C09EE"/>
    <w:rsid w:val="003F1BB0"/>
    <w:rsid w:val="00460510"/>
    <w:rsid w:val="004914B8"/>
    <w:rsid w:val="00494696"/>
    <w:rsid w:val="004E219B"/>
    <w:rsid w:val="004E7B5F"/>
    <w:rsid w:val="00535947"/>
    <w:rsid w:val="00542774"/>
    <w:rsid w:val="00550AA9"/>
    <w:rsid w:val="00570A59"/>
    <w:rsid w:val="005A0D55"/>
    <w:rsid w:val="00785162"/>
    <w:rsid w:val="0079488B"/>
    <w:rsid w:val="00807980"/>
    <w:rsid w:val="00834722"/>
    <w:rsid w:val="008F127F"/>
    <w:rsid w:val="00907663"/>
    <w:rsid w:val="00954145"/>
    <w:rsid w:val="0095728F"/>
    <w:rsid w:val="009C0079"/>
    <w:rsid w:val="00A93B20"/>
    <w:rsid w:val="00AD256A"/>
    <w:rsid w:val="00B479D0"/>
    <w:rsid w:val="00B51098"/>
    <w:rsid w:val="00B57EB0"/>
    <w:rsid w:val="00C11CC9"/>
    <w:rsid w:val="00C3545E"/>
    <w:rsid w:val="00CB377D"/>
    <w:rsid w:val="00CC06B8"/>
    <w:rsid w:val="00CC6290"/>
    <w:rsid w:val="00D75672"/>
    <w:rsid w:val="00D907FF"/>
    <w:rsid w:val="00EB285D"/>
    <w:rsid w:val="00F806C6"/>
    <w:rsid w:val="00F92070"/>
    <w:rsid w:val="00FD00C2"/>
    <w:rsid w:val="00FE03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218A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65E30"/>
    <w:pPr>
      <w:spacing w:before="120" w:after="0" w:line="240" w:lineRule="auto"/>
      <w:jc w:val="both"/>
    </w:pPr>
  </w:style>
  <w:style w:type="paragraph" w:styleId="Nadpis1">
    <w:name w:val="heading 1"/>
    <w:basedOn w:val="Normln"/>
    <w:next w:val="Normln"/>
    <w:link w:val="Nadpis1Char"/>
    <w:uiPriority w:val="9"/>
    <w:qFormat/>
    <w:rsid w:val="00B57EB0"/>
    <w:pPr>
      <w:keepNext/>
      <w:keepLines/>
      <w:numPr>
        <w:numId w:val="1"/>
      </w:numPr>
      <w:spacing w:before="240"/>
      <w:outlineLvl w:val="0"/>
    </w:pPr>
    <w:rPr>
      <w:rFonts w:eastAsiaTheme="majorEastAsia" w:cstheme="minorHAnsi"/>
      <w:b/>
      <w:bCs/>
    </w:rPr>
  </w:style>
  <w:style w:type="paragraph" w:styleId="Nadpis2">
    <w:name w:val="heading 2"/>
    <w:basedOn w:val="Normln"/>
    <w:next w:val="Normln"/>
    <w:link w:val="Nadpis2Char"/>
    <w:uiPriority w:val="9"/>
    <w:unhideWhenUsed/>
    <w:qFormat/>
    <w:rsid w:val="00834722"/>
    <w:pPr>
      <w:numPr>
        <w:ilvl w:val="1"/>
        <w:numId w:val="1"/>
      </w:numPr>
      <w:ind w:left="578" w:hanging="578"/>
      <w:outlineLvl w:val="1"/>
    </w:pPr>
    <w:rPr>
      <w:rFonts w:eastAsiaTheme="majorEastAsia" w:cstheme="minorHAnsi"/>
    </w:rPr>
  </w:style>
  <w:style w:type="paragraph" w:styleId="Nadpis3">
    <w:name w:val="heading 3"/>
    <w:basedOn w:val="Normln"/>
    <w:next w:val="Normln"/>
    <w:link w:val="Nadpis3Char"/>
    <w:uiPriority w:val="9"/>
    <w:unhideWhenUsed/>
    <w:qFormat/>
    <w:rsid w:val="00834722"/>
    <w:pPr>
      <w:numPr>
        <w:ilvl w:val="2"/>
        <w:numId w:val="1"/>
      </w:numPr>
      <w:ind w:left="1418" w:hanging="709"/>
      <w:outlineLvl w:val="2"/>
    </w:pPr>
    <w:rPr>
      <w:rFonts w:eastAsiaTheme="majorEastAsia" w:cstheme="minorHAnsi"/>
    </w:rPr>
  </w:style>
  <w:style w:type="paragraph" w:styleId="Nadpis4">
    <w:name w:val="heading 4"/>
    <w:basedOn w:val="Normln"/>
    <w:next w:val="Normln"/>
    <w:link w:val="Nadpis4Char"/>
    <w:uiPriority w:val="9"/>
    <w:unhideWhenUsed/>
    <w:qFormat/>
    <w:rsid w:val="00B57EB0"/>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B57EB0"/>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B57EB0"/>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B57EB0"/>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B57EB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B57EB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032D48"/>
    <w:pPr>
      <w:spacing w:after="0" w:line="240" w:lineRule="auto"/>
    </w:pPr>
  </w:style>
  <w:style w:type="paragraph" w:styleId="Nzev">
    <w:name w:val="Title"/>
    <w:basedOn w:val="Normln"/>
    <w:next w:val="Normln"/>
    <w:link w:val="NzevChar"/>
    <w:uiPriority w:val="10"/>
    <w:qFormat/>
    <w:rsid w:val="00B57EB0"/>
    <w:pPr>
      <w:spacing w:before="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57EB0"/>
    <w:rPr>
      <w:rFonts w:asciiTheme="majorHAnsi" w:eastAsiaTheme="majorEastAsia" w:hAnsiTheme="majorHAnsi" w:cstheme="majorBidi"/>
      <w:spacing w:val="-10"/>
      <w:kern w:val="28"/>
      <w:sz w:val="56"/>
      <w:szCs w:val="56"/>
    </w:rPr>
  </w:style>
  <w:style w:type="character" w:customStyle="1" w:styleId="Nadpis1Char">
    <w:name w:val="Nadpis 1 Char"/>
    <w:basedOn w:val="Standardnpsmoodstavce"/>
    <w:link w:val="Nadpis1"/>
    <w:uiPriority w:val="9"/>
    <w:rsid w:val="00B57EB0"/>
    <w:rPr>
      <w:rFonts w:eastAsiaTheme="majorEastAsia" w:cstheme="minorHAnsi"/>
      <w:b/>
      <w:bCs/>
    </w:rPr>
  </w:style>
  <w:style w:type="character" w:customStyle="1" w:styleId="Nadpis2Char">
    <w:name w:val="Nadpis 2 Char"/>
    <w:basedOn w:val="Standardnpsmoodstavce"/>
    <w:link w:val="Nadpis2"/>
    <w:uiPriority w:val="9"/>
    <w:rsid w:val="00834722"/>
    <w:rPr>
      <w:rFonts w:eastAsiaTheme="majorEastAsia" w:cstheme="minorHAnsi"/>
    </w:rPr>
  </w:style>
  <w:style w:type="character" w:customStyle="1" w:styleId="Nadpis3Char">
    <w:name w:val="Nadpis 3 Char"/>
    <w:basedOn w:val="Standardnpsmoodstavce"/>
    <w:link w:val="Nadpis3"/>
    <w:uiPriority w:val="9"/>
    <w:rsid w:val="00834722"/>
    <w:rPr>
      <w:rFonts w:eastAsiaTheme="majorEastAsia" w:cstheme="minorHAnsi"/>
    </w:rPr>
  </w:style>
  <w:style w:type="character" w:customStyle="1" w:styleId="Nadpis4Char">
    <w:name w:val="Nadpis 4 Char"/>
    <w:basedOn w:val="Standardnpsmoodstavce"/>
    <w:link w:val="Nadpis4"/>
    <w:uiPriority w:val="9"/>
    <w:rsid w:val="00B57EB0"/>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B57EB0"/>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B57EB0"/>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B57EB0"/>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B57EB0"/>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B57EB0"/>
    <w:rPr>
      <w:rFonts w:asciiTheme="majorHAnsi" w:eastAsiaTheme="majorEastAsia" w:hAnsiTheme="majorHAnsi" w:cstheme="majorBidi"/>
      <w:i/>
      <w:iCs/>
      <w:color w:val="272727" w:themeColor="text1" w:themeTint="D8"/>
      <w:sz w:val="21"/>
      <w:szCs w:val="21"/>
    </w:rPr>
  </w:style>
  <w:style w:type="table" w:styleId="Mkatabulky">
    <w:name w:val="Table Grid"/>
    <w:basedOn w:val="Normlntabulka"/>
    <w:uiPriority w:val="39"/>
    <w:rsid w:val="00460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460510"/>
    <w:pPr>
      <w:tabs>
        <w:tab w:val="center" w:pos="4536"/>
        <w:tab w:val="right" w:pos="9072"/>
      </w:tabs>
      <w:spacing w:before="0"/>
    </w:pPr>
  </w:style>
  <w:style w:type="character" w:customStyle="1" w:styleId="ZhlavChar">
    <w:name w:val="Záhlaví Char"/>
    <w:basedOn w:val="Standardnpsmoodstavce"/>
    <w:link w:val="Zhlav"/>
    <w:uiPriority w:val="99"/>
    <w:rsid w:val="00460510"/>
  </w:style>
  <w:style w:type="paragraph" w:styleId="Zpat">
    <w:name w:val="footer"/>
    <w:basedOn w:val="Normln"/>
    <w:link w:val="ZpatChar"/>
    <w:uiPriority w:val="99"/>
    <w:unhideWhenUsed/>
    <w:rsid w:val="00460510"/>
    <w:pPr>
      <w:tabs>
        <w:tab w:val="center" w:pos="4536"/>
        <w:tab w:val="right" w:pos="9072"/>
      </w:tabs>
      <w:spacing w:before="0"/>
    </w:pPr>
  </w:style>
  <w:style w:type="character" w:customStyle="1" w:styleId="ZpatChar">
    <w:name w:val="Zápatí Char"/>
    <w:basedOn w:val="Standardnpsmoodstavce"/>
    <w:link w:val="Zpat"/>
    <w:uiPriority w:val="99"/>
    <w:rsid w:val="00460510"/>
  </w:style>
  <w:style w:type="character" w:styleId="Hypertextovodkaz">
    <w:name w:val="Hyperlink"/>
    <w:basedOn w:val="Standardnpsmoodstavce"/>
    <w:uiPriority w:val="99"/>
    <w:unhideWhenUsed/>
    <w:rsid w:val="005A0D55"/>
    <w:rPr>
      <w:color w:val="0563C1" w:themeColor="hyperlink"/>
      <w:u w:val="single"/>
    </w:rPr>
  </w:style>
  <w:style w:type="character" w:styleId="Nevyeenzmnka">
    <w:name w:val="Unresolved Mention"/>
    <w:basedOn w:val="Standardnpsmoodstavce"/>
    <w:uiPriority w:val="99"/>
    <w:semiHidden/>
    <w:unhideWhenUsed/>
    <w:rsid w:val="005A0D55"/>
    <w:rPr>
      <w:color w:val="605E5C"/>
      <w:shd w:val="clear" w:color="auto" w:fill="E1DFDD"/>
    </w:rPr>
  </w:style>
  <w:style w:type="paragraph" w:styleId="Revize">
    <w:name w:val="Revision"/>
    <w:hidden/>
    <w:uiPriority w:val="99"/>
    <w:semiHidden/>
    <w:rsid w:val="00807980"/>
    <w:pPr>
      <w:spacing w:after="0" w:line="240" w:lineRule="auto"/>
    </w:pPr>
  </w:style>
  <w:style w:type="character" w:styleId="Odkaznakoment">
    <w:name w:val="annotation reference"/>
    <w:basedOn w:val="Standardnpsmoodstavce"/>
    <w:uiPriority w:val="99"/>
    <w:semiHidden/>
    <w:unhideWhenUsed/>
    <w:rsid w:val="00296962"/>
    <w:rPr>
      <w:sz w:val="16"/>
      <w:szCs w:val="16"/>
    </w:rPr>
  </w:style>
  <w:style w:type="paragraph" w:styleId="Textkomente">
    <w:name w:val="annotation text"/>
    <w:basedOn w:val="Normln"/>
    <w:link w:val="TextkomenteChar"/>
    <w:uiPriority w:val="99"/>
    <w:unhideWhenUsed/>
    <w:rsid w:val="00296962"/>
    <w:rPr>
      <w:sz w:val="20"/>
      <w:szCs w:val="20"/>
    </w:rPr>
  </w:style>
  <w:style w:type="character" w:customStyle="1" w:styleId="TextkomenteChar">
    <w:name w:val="Text komentáře Char"/>
    <w:basedOn w:val="Standardnpsmoodstavce"/>
    <w:link w:val="Textkomente"/>
    <w:uiPriority w:val="99"/>
    <w:rsid w:val="00296962"/>
    <w:rPr>
      <w:sz w:val="20"/>
      <w:szCs w:val="20"/>
    </w:rPr>
  </w:style>
  <w:style w:type="paragraph" w:styleId="Pedmtkomente">
    <w:name w:val="annotation subject"/>
    <w:basedOn w:val="Textkomente"/>
    <w:next w:val="Textkomente"/>
    <w:link w:val="PedmtkomenteChar"/>
    <w:uiPriority w:val="99"/>
    <w:semiHidden/>
    <w:unhideWhenUsed/>
    <w:rsid w:val="00296962"/>
    <w:rPr>
      <w:b/>
      <w:bCs/>
    </w:rPr>
  </w:style>
  <w:style w:type="character" w:customStyle="1" w:styleId="PedmtkomenteChar">
    <w:name w:val="Předmět komentáře Char"/>
    <w:basedOn w:val="TextkomenteChar"/>
    <w:link w:val="Pedmtkomente"/>
    <w:uiPriority w:val="99"/>
    <w:semiHidden/>
    <w:rsid w:val="002969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tsk-praha.cz" TargetMode="External"/><Relationship Id="rId3" Type="http://schemas.openxmlformats.org/officeDocument/2006/relationships/settings" Target="settings.xml"/><Relationship Id="rId7" Type="http://schemas.openxmlformats.org/officeDocument/2006/relationships/hyperlink" Target="https://www.vodafone.cz/o-vodafonu/ke-stazen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zso.cz/csu/czso/mira_inflace"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3862</Words>
  <Characters>22790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2024-06-04T11:50:00Z</dcterms:created>
  <dcterms:modified xsi:type="dcterms:W3CDTF">2024-06-04T11:50:00Z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etDate">
    <vt:lpwstr>2024-03-25T09:09:29Z</vt:lpwstr>
  </property>
  <property fmtid="{D5CDD505-2E9C-101B-9397-08002B2CF9AE}" pid="4" name="MSIP_Label_0359f705-2ba0-454b-9cfc-6ce5bcaac040_Method">
    <vt:lpwstr>Standard</vt:lpwstr>
  </property>
  <property fmtid="{D5CDD505-2E9C-101B-9397-08002B2CF9AE}" pid="5" name="MSIP_Label_0359f705-2ba0-454b-9cfc-6ce5bcaac040_Name">
    <vt:lpwstr>0359f705-2ba0-454b-9cfc-6ce5bcaac040</vt:lpwstr>
  </property>
  <property fmtid="{D5CDD505-2E9C-101B-9397-08002B2CF9AE}" pid="6" name="MSIP_Label_0359f705-2ba0-454b-9cfc-6ce5bcaac040_SiteId">
    <vt:lpwstr>68283f3b-8487-4c86-adb3-a5228f18b893</vt:lpwstr>
  </property>
  <property fmtid="{D5CDD505-2E9C-101B-9397-08002B2CF9AE}" pid="7" name="MSIP_Label_0359f705-2ba0-454b-9cfc-6ce5bcaac040_ActionId">
    <vt:lpwstr>92621843-9bd2-44c2-ab47-565ac6292ec1</vt:lpwstr>
  </property>
  <property fmtid="{D5CDD505-2E9C-101B-9397-08002B2CF9AE}" pid="8" name="MSIP_Label_0359f705-2ba0-454b-9cfc-6ce5bcaac040_ContentBits">
    <vt:lpwstr>2</vt:lpwstr>
  </property>
</Properties>
</file>