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97E0A" w14:textId="77777777" w:rsidR="00A2005A" w:rsidRPr="0038716C" w:rsidRDefault="00A2005A" w:rsidP="00A2005A">
      <w:pPr>
        <w:jc w:val="center"/>
        <w:rPr>
          <w:b/>
          <w:bCs/>
          <w:sz w:val="28"/>
          <w:szCs w:val="28"/>
        </w:rPr>
      </w:pPr>
      <w:r w:rsidRPr="0038716C">
        <w:rPr>
          <w:b/>
          <w:bCs/>
          <w:sz w:val="28"/>
          <w:szCs w:val="28"/>
        </w:rPr>
        <w:t>SMLOUVA O PŘEVODU PODÍLU V OBCHODNÍ KORPORACI</w:t>
      </w:r>
    </w:p>
    <w:p w14:paraId="2FD4F3B7" w14:textId="77777777" w:rsidR="00A2005A" w:rsidRDefault="00A2005A" w:rsidP="00A2005A"/>
    <w:p w14:paraId="17968229" w14:textId="77777777" w:rsidR="00A2005A" w:rsidRPr="00EC56B8" w:rsidRDefault="00A2005A" w:rsidP="00A2005A">
      <w:pPr>
        <w:rPr>
          <w:sz w:val="22"/>
          <w:szCs w:val="22"/>
        </w:rPr>
      </w:pPr>
      <w:r w:rsidRPr="00EC56B8">
        <w:rPr>
          <w:sz w:val="22"/>
          <w:szCs w:val="22"/>
        </w:rPr>
        <w:t>Smluvní strany</w:t>
      </w:r>
    </w:p>
    <w:p w14:paraId="040C133C" w14:textId="77777777" w:rsidR="00A2005A" w:rsidRDefault="00A2005A" w:rsidP="00A2005A"/>
    <w:p w14:paraId="5E4AA6B2" w14:textId="77777777" w:rsidR="00A2005A" w:rsidRPr="000318A6" w:rsidRDefault="00A2005A" w:rsidP="00A2005A">
      <w:pPr>
        <w:pStyle w:val="Odstavecseseznamem"/>
        <w:ind w:left="426"/>
      </w:pPr>
    </w:p>
    <w:p w14:paraId="70E9DE34" w14:textId="73C9624D" w:rsidR="00A2005A" w:rsidRPr="000318A6" w:rsidRDefault="00703406" w:rsidP="00A2005A">
      <w:pPr>
        <w:pStyle w:val="Odstavecseseznamem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 xml:space="preserve">doc. </w:t>
      </w:r>
      <w:r w:rsidR="00A2005A" w:rsidRPr="000318A6">
        <w:rPr>
          <w:b/>
          <w:bCs/>
        </w:rPr>
        <w:t xml:space="preserve">MUDr. </w:t>
      </w:r>
      <w:r w:rsidR="00363652">
        <w:rPr>
          <w:b/>
          <w:bCs/>
        </w:rPr>
        <w:t xml:space="preserve">Roman </w:t>
      </w:r>
      <w:proofErr w:type="spellStart"/>
      <w:r w:rsidR="00363652">
        <w:rPr>
          <w:b/>
          <w:bCs/>
        </w:rPr>
        <w:t>Šmucler</w:t>
      </w:r>
      <w:proofErr w:type="spellEnd"/>
      <w:r w:rsidR="00B354E1">
        <w:rPr>
          <w:b/>
          <w:bCs/>
        </w:rPr>
        <w:t>, CSc.</w:t>
      </w:r>
      <w:r w:rsidR="00363652">
        <w:rPr>
          <w:b/>
          <w:bCs/>
        </w:rPr>
        <w:t xml:space="preserve"> </w:t>
      </w:r>
    </w:p>
    <w:p w14:paraId="56FE69D3" w14:textId="0CC1A3BF" w:rsidR="00A2005A" w:rsidRPr="000318A6" w:rsidRDefault="00B05E8B" w:rsidP="00A2005A">
      <w:pPr>
        <w:pStyle w:val="Odstavecseseznamem"/>
        <w:ind w:left="426"/>
      </w:pPr>
      <w:r>
        <w:t xml:space="preserve">nar. </w:t>
      </w:r>
      <w:r w:rsidR="00B354E1">
        <w:t>8. 7. 1969</w:t>
      </w:r>
    </w:p>
    <w:p w14:paraId="792EA415" w14:textId="522FB2EC" w:rsidR="00A2005A" w:rsidRPr="000318A6" w:rsidRDefault="00B05E8B" w:rsidP="00A2005A">
      <w:pPr>
        <w:pStyle w:val="Odstavecseseznamem"/>
        <w:ind w:left="426"/>
      </w:pPr>
      <w:r>
        <w:t xml:space="preserve">bytem </w:t>
      </w:r>
      <w:r w:rsidR="00B354E1">
        <w:t>Pohořelec 147/8, Hradčany, 118 00 Praha 1</w:t>
      </w:r>
    </w:p>
    <w:p w14:paraId="0D59B111" w14:textId="77777777" w:rsidR="00A2005A" w:rsidRPr="000318A6" w:rsidRDefault="00A2005A" w:rsidP="00A2005A">
      <w:pPr>
        <w:pStyle w:val="Odstavecseseznamem"/>
        <w:ind w:left="426"/>
      </w:pPr>
    </w:p>
    <w:p w14:paraId="44EAA155" w14:textId="77777777" w:rsidR="00A2005A" w:rsidRPr="000318A6" w:rsidRDefault="00A2005A" w:rsidP="00A2005A">
      <w:pPr>
        <w:pStyle w:val="Odstavecseseznamem"/>
        <w:ind w:left="426"/>
      </w:pPr>
      <w:r w:rsidRPr="000318A6">
        <w:t>(dále jen „</w:t>
      </w:r>
      <w:r>
        <w:rPr>
          <w:b/>
        </w:rPr>
        <w:t>Převodce</w:t>
      </w:r>
      <w:r w:rsidRPr="000318A6">
        <w:t>“) na straně jedné</w:t>
      </w:r>
    </w:p>
    <w:p w14:paraId="783C10A5" w14:textId="77777777" w:rsidR="00A2005A" w:rsidRPr="00EC56B8" w:rsidRDefault="00A2005A" w:rsidP="00A2005A">
      <w:pPr>
        <w:pStyle w:val="Bezmezer"/>
      </w:pPr>
    </w:p>
    <w:p w14:paraId="335770D2" w14:textId="77777777" w:rsidR="00A2005A" w:rsidRPr="00EC56B8" w:rsidRDefault="00A2005A" w:rsidP="00A2005A">
      <w:pPr>
        <w:rPr>
          <w:sz w:val="22"/>
          <w:szCs w:val="22"/>
        </w:rPr>
      </w:pPr>
      <w:r w:rsidRPr="00EC56B8">
        <w:rPr>
          <w:sz w:val="22"/>
          <w:szCs w:val="22"/>
        </w:rPr>
        <w:t>a</w:t>
      </w:r>
    </w:p>
    <w:p w14:paraId="3C8FEAE7" w14:textId="77777777" w:rsidR="00A2005A" w:rsidRPr="00EC56B8" w:rsidRDefault="00A2005A" w:rsidP="00A2005A">
      <w:pPr>
        <w:rPr>
          <w:sz w:val="22"/>
          <w:szCs w:val="22"/>
        </w:rPr>
      </w:pPr>
    </w:p>
    <w:p w14:paraId="783365BF" w14:textId="4770CB4E" w:rsidR="00A2005A" w:rsidRPr="00EC7CD8" w:rsidRDefault="00A2005A" w:rsidP="00A2005A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Karlovarská krajská nemocnice a.s.</w:t>
      </w:r>
      <w:r w:rsidRPr="009D5685">
        <w:rPr>
          <w:b/>
        </w:rPr>
        <w:br/>
      </w:r>
      <w:r>
        <w:t>IČO:</w:t>
      </w:r>
      <w:r>
        <w:tab/>
        <w:t>263 65 804</w:t>
      </w:r>
      <w:r w:rsidRPr="00EC7CD8">
        <w:rPr>
          <w:b/>
        </w:rPr>
        <w:br/>
      </w:r>
      <w:r>
        <w:t>se sídlem:</w:t>
      </w:r>
      <w:r>
        <w:tab/>
        <w:t>Bezručova 1190/19, 360 01 Karlovy Vary</w:t>
      </w:r>
      <w:r w:rsidRPr="00EC7CD8">
        <w:rPr>
          <w:b/>
        </w:rPr>
        <w:br/>
      </w:r>
      <w:r>
        <w:t>společnost zapsaná v obchodním rejstříku vedeném Krajským soudem v Plzni pod sp. zn. B 1205</w:t>
      </w:r>
      <w:r w:rsidRPr="00EC7CD8">
        <w:rPr>
          <w:b/>
        </w:rPr>
        <w:br/>
      </w:r>
      <w:r>
        <w:t>zastoupená:</w:t>
      </w:r>
      <w:r>
        <w:tab/>
        <w:t xml:space="preserve">MUDr. Josefem </w:t>
      </w:r>
      <w:proofErr w:type="spellStart"/>
      <w:r>
        <w:t>Märzem</w:t>
      </w:r>
      <w:proofErr w:type="spellEnd"/>
      <w:r>
        <w:t>, předsedou představenstva</w:t>
      </w:r>
      <w:r w:rsidR="000F70D9">
        <w:t>,</w:t>
      </w:r>
      <w:r>
        <w:t xml:space="preserve"> a Ing. </w:t>
      </w:r>
      <w:r w:rsidR="00A3417E">
        <w:t>Martinem Čvančarou</w:t>
      </w:r>
      <w:r>
        <w:t>,</w:t>
      </w:r>
      <w:r w:rsidR="00A3417E">
        <w:t xml:space="preserve"> MBA,</w:t>
      </w:r>
      <w:r>
        <w:t xml:space="preserve"> </w:t>
      </w:r>
      <w:r w:rsidR="00A3417E">
        <w:t>člen</w:t>
      </w:r>
      <w:r w:rsidR="00E2496A">
        <w:t>em</w:t>
      </w:r>
      <w:r w:rsidR="00A3417E">
        <w:t xml:space="preserve"> </w:t>
      </w:r>
      <w:r>
        <w:t>představenstva</w:t>
      </w:r>
    </w:p>
    <w:p w14:paraId="66D35BAD" w14:textId="77777777" w:rsidR="00A2005A" w:rsidRPr="00EC56B8" w:rsidRDefault="00A2005A" w:rsidP="00A2005A">
      <w:pPr>
        <w:ind w:firstLine="426"/>
        <w:rPr>
          <w:sz w:val="22"/>
          <w:szCs w:val="22"/>
        </w:rPr>
      </w:pPr>
      <w:r w:rsidRPr="00EC56B8">
        <w:rPr>
          <w:sz w:val="22"/>
          <w:szCs w:val="22"/>
        </w:rPr>
        <w:t>(dále jen „</w:t>
      </w:r>
      <w:r w:rsidRPr="00EC56B8">
        <w:rPr>
          <w:b/>
          <w:sz w:val="22"/>
          <w:szCs w:val="22"/>
        </w:rPr>
        <w:t>Nabyvatel</w:t>
      </w:r>
      <w:r w:rsidRPr="00EC56B8">
        <w:rPr>
          <w:sz w:val="22"/>
          <w:szCs w:val="22"/>
        </w:rPr>
        <w:t>“) na straně druhé</w:t>
      </w:r>
      <w:r w:rsidRPr="00EC56B8">
        <w:rPr>
          <w:sz w:val="22"/>
          <w:szCs w:val="22"/>
        </w:rPr>
        <w:br/>
      </w:r>
    </w:p>
    <w:p w14:paraId="5570EF76" w14:textId="77777777" w:rsidR="00A2005A" w:rsidRPr="00EC56B8" w:rsidRDefault="00A2005A" w:rsidP="00A2005A">
      <w:pPr>
        <w:jc w:val="both"/>
        <w:rPr>
          <w:sz w:val="22"/>
          <w:szCs w:val="22"/>
        </w:rPr>
      </w:pPr>
      <w:r w:rsidRPr="00EC56B8">
        <w:rPr>
          <w:sz w:val="22"/>
          <w:szCs w:val="22"/>
        </w:rPr>
        <w:t>(Převodc</w:t>
      </w:r>
      <w:r>
        <w:rPr>
          <w:sz w:val="22"/>
          <w:szCs w:val="22"/>
        </w:rPr>
        <w:t>e</w:t>
      </w:r>
      <w:r w:rsidRPr="00EC56B8">
        <w:rPr>
          <w:sz w:val="22"/>
          <w:szCs w:val="22"/>
        </w:rPr>
        <w:t xml:space="preserve"> a Nabyvatel společně dále jako „</w:t>
      </w:r>
      <w:r w:rsidRPr="00EC56B8">
        <w:rPr>
          <w:b/>
          <w:sz w:val="22"/>
          <w:szCs w:val="22"/>
        </w:rPr>
        <w:t>Smluvní strany</w:t>
      </w:r>
      <w:r w:rsidRPr="00EC56B8">
        <w:rPr>
          <w:sz w:val="22"/>
          <w:szCs w:val="22"/>
        </w:rPr>
        <w:t>“, jednotlivě jako „</w:t>
      </w:r>
      <w:r w:rsidRPr="00EC56B8">
        <w:rPr>
          <w:b/>
          <w:sz w:val="22"/>
          <w:szCs w:val="22"/>
        </w:rPr>
        <w:t>Smluvní strana</w:t>
      </w:r>
      <w:r w:rsidRPr="00EC56B8">
        <w:rPr>
          <w:sz w:val="22"/>
          <w:szCs w:val="22"/>
        </w:rPr>
        <w:t>“)</w:t>
      </w:r>
    </w:p>
    <w:p w14:paraId="689F661E" w14:textId="77777777" w:rsidR="00A2005A" w:rsidRPr="00EC56B8" w:rsidRDefault="00A2005A" w:rsidP="00A2005A">
      <w:pPr>
        <w:jc w:val="both"/>
        <w:rPr>
          <w:sz w:val="22"/>
          <w:szCs w:val="22"/>
        </w:rPr>
      </w:pPr>
    </w:p>
    <w:p w14:paraId="461D8E73" w14:textId="77777777" w:rsidR="00A2005A" w:rsidRPr="00EC56B8" w:rsidRDefault="00A2005A" w:rsidP="00A2005A">
      <w:pPr>
        <w:jc w:val="both"/>
        <w:rPr>
          <w:sz w:val="22"/>
          <w:szCs w:val="22"/>
        </w:rPr>
      </w:pPr>
      <w:r w:rsidRPr="00EC56B8">
        <w:rPr>
          <w:sz w:val="22"/>
          <w:szCs w:val="22"/>
        </w:rPr>
        <w:t>uzavřely níže uvedeného dne, měsíce a roku dle § 2079 zákona č. 89/2012 Sb., občanský zákoník (dále jen „</w:t>
      </w:r>
      <w:r w:rsidRPr="00EC56B8">
        <w:rPr>
          <w:b/>
          <w:bCs/>
          <w:sz w:val="22"/>
          <w:szCs w:val="22"/>
        </w:rPr>
        <w:t>OZ</w:t>
      </w:r>
      <w:r w:rsidRPr="00EC56B8">
        <w:rPr>
          <w:sz w:val="22"/>
          <w:szCs w:val="22"/>
        </w:rPr>
        <w:t>“) a přiměřeně dle § 208 zákona č. 90/2012 Sb., o obchodních korporacích (dále jen „</w:t>
      </w:r>
      <w:r w:rsidRPr="00EC56B8">
        <w:rPr>
          <w:b/>
          <w:sz w:val="22"/>
          <w:szCs w:val="22"/>
        </w:rPr>
        <w:t>ZOK</w:t>
      </w:r>
      <w:r w:rsidRPr="00EC56B8">
        <w:rPr>
          <w:sz w:val="22"/>
          <w:szCs w:val="22"/>
        </w:rPr>
        <w:t xml:space="preserve">“) tuto </w:t>
      </w:r>
    </w:p>
    <w:p w14:paraId="76EEADC9" w14:textId="77777777" w:rsidR="00A2005A" w:rsidRPr="00EC56B8" w:rsidRDefault="00A2005A" w:rsidP="00A2005A">
      <w:pPr>
        <w:jc w:val="both"/>
        <w:rPr>
          <w:sz w:val="22"/>
          <w:szCs w:val="22"/>
        </w:rPr>
      </w:pPr>
    </w:p>
    <w:p w14:paraId="3D8DFA52" w14:textId="77777777" w:rsidR="00A2005A" w:rsidRPr="00EC56B8" w:rsidRDefault="00A2005A" w:rsidP="00A2005A">
      <w:pPr>
        <w:jc w:val="center"/>
        <w:rPr>
          <w:sz w:val="22"/>
          <w:szCs w:val="22"/>
        </w:rPr>
      </w:pPr>
      <w:r w:rsidRPr="00EC56B8">
        <w:rPr>
          <w:b/>
          <w:sz w:val="22"/>
          <w:szCs w:val="22"/>
        </w:rPr>
        <w:t>smlouvu o převodu podílu v obchodní korporaci</w:t>
      </w:r>
    </w:p>
    <w:p w14:paraId="0AC8F0D6" w14:textId="77777777" w:rsidR="00A2005A" w:rsidRPr="00EC56B8" w:rsidRDefault="00A2005A" w:rsidP="00A2005A">
      <w:pPr>
        <w:jc w:val="center"/>
        <w:rPr>
          <w:sz w:val="22"/>
          <w:szCs w:val="22"/>
        </w:rPr>
      </w:pPr>
      <w:r w:rsidRPr="00EC56B8">
        <w:rPr>
          <w:sz w:val="22"/>
          <w:szCs w:val="22"/>
        </w:rPr>
        <w:t>(dále jen „</w:t>
      </w:r>
      <w:r w:rsidRPr="00EC56B8">
        <w:rPr>
          <w:b/>
          <w:sz w:val="22"/>
          <w:szCs w:val="22"/>
        </w:rPr>
        <w:t>Smlouva</w:t>
      </w:r>
      <w:r w:rsidRPr="00EC56B8">
        <w:rPr>
          <w:sz w:val="22"/>
          <w:szCs w:val="22"/>
        </w:rPr>
        <w:t>“) následujícího znění:</w:t>
      </w:r>
    </w:p>
    <w:p w14:paraId="59CBFB70" w14:textId="77777777" w:rsidR="00A2005A" w:rsidRDefault="00A2005A" w:rsidP="00A2005A"/>
    <w:p w14:paraId="0179CC49" w14:textId="77777777" w:rsidR="00A2005A" w:rsidRPr="00360404" w:rsidRDefault="00A2005A" w:rsidP="00A2005A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cstheme="minorHAnsi"/>
          <w:b/>
          <w:iCs/>
        </w:rPr>
      </w:pPr>
      <w:r w:rsidRPr="00360404">
        <w:rPr>
          <w:rFonts w:cstheme="minorHAnsi"/>
          <w:b/>
          <w:iCs/>
        </w:rPr>
        <w:t>Úvodní ustanovení</w:t>
      </w:r>
    </w:p>
    <w:p w14:paraId="389EC2C5" w14:textId="77777777" w:rsidR="00A2005A" w:rsidRPr="00360404" w:rsidRDefault="00A2005A" w:rsidP="00A2005A">
      <w:pPr>
        <w:pStyle w:val="Odstavecseseznamem"/>
        <w:ind w:left="426"/>
        <w:rPr>
          <w:rFonts w:cstheme="minorHAnsi"/>
          <w:b/>
          <w:iCs/>
        </w:rPr>
      </w:pPr>
    </w:p>
    <w:p w14:paraId="3DA2C686" w14:textId="0868F12C" w:rsidR="00A2005A" w:rsidRPr="00B354E1" w:rsidRDefault="00A2005A" w:rsidP="00B354E1">
      <w:pPr>
        <w:pStyle w:val="Odstavecseseznamem"/>
        <w:numPr>
          <w:ilvl w:val="0"/>
          <w:numId w:val="2"/>
        </w:numPr>
        <w:ind w:left="426" w:right="425" w:hanging="426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>Převodc</w:t>
      </w:r>
      <w:r>
        <w:rPr>
          <w:rFonts w:cstheme="minorHAnsi"/>
          <w:iCs/>
        </w:rPr>
        <w:t>e</w:t>
      </w:r>
      <w:r w:rsidRPr="00360404">
        <w:rPr>
          <w:rFonts w:cstheme="minorHAnsi"/>
          <w:iCs/>
        </w:rPr>
        <w:t xml:space="preserve"> j</w:t>
      </w:r>
      <w:r>
        <w:rPr>
          <w:rFonts w:cstheme="minorHAnsi"/>
          <w:iCs/>
        </w:rPr>
        <w:t>e</w:t>
      </w:r>
      <w:r w:rsidRPr="00360404">
        <w:rPr>
          <w:rFonts w:cstheme="minorHAnsi"/>
          <w:iCs/>
        </w:rPr>
        <w:t xml:space="preserve"> společník obchodní společnosti </w:t>
      </w:r>
      <w:r w:rsidR="00B354E1">
        <w:rPr>
          <w:rFonts w:cstheme="minorHAnsi"/>
          <w:iCs/>
        </w:rPr>
        <w:t>Onkologická ambulance s.r.o., IČO: 252 06 281, se sídlem Libušina 994/24, 360 01 Karlovy Vary</w:t>
      </w:r>
      <w:r w:rsidR="00AA0212" w:rsidRPr="00B354E1">
        <w:rPr>
          <w:rFonts w:cstheme="minorHAnsi"/>
          <w:iCs/>
        </w:rPr>
        <w:t xml:space="preserve">, </w:t>
      </w:r>
      <w:r w:rsidRPr="00B354E1">
        <w:rPr>
          <w:rFonts w:cstheme="minorHAnsi"/>
          <w:iCs/>
        </w:rPr>
        <w:t xml:space="preserve">zapsané v obchodním rejstříku vedeném Krajským soudem v Plzni pod sp. zn. C </w:t>
      </w:r>
      <w:r w:rsidR="00B354E1">
        <w:rPr>
          <w:rFonts w:cstheme="minorHAnsi"/>
          <w:iCs/>
        </w:rPr>
        <w:t>8435</w:t>
      </w:r>
      <w:r w:rsidRPr="00B354E1">
        <w:rPr>
          <w:rFonts w:cstheme="minorHAnsi"/>
          <w:iCs/>
        </w:rPr>
        <w:t xml:space="preserve"> (dále jen „</w:t>
      </w:r>
      <w:r w:rsidRPr="00B354E1">
        <w:rPr>
          <w:rFonts w:cstheme="minorHAnsi"/>
          <w:b/>
          <w:iCs/>
        </w:rPr>
        <w:t>Společnost</w:t>
      </w:r>
      <w:r w:rsidRPr="00B354E1">
        <w:rPr>
          <w:rFonts w:cstheme="minorHAnsi"/>
          <w:iCs/>
        </w:rPr>
        <w:t xml:space="preserve">“). Převodce je vlastníkem podílu ve Společnosti o velikosti </w:t>
      </w:r>
      <w:r w:rsidR="00AA0212" w:rsidRPr="00B354E1">
        <w:rPr>
          <w:rFonts w:cstheme="minorHAnsi"/>
          <w:iCs/>
        </w:rPr>
        <w:t>100</w:t>
      </w:r>
      <w:r w:rsidRPr="00B354E1">
        <w:rPr>
          <w:rFonts w:cstheme="minorHAnsi"/>
          <w:iCs/>
        </w:rPr>
        <w:t xml:space="preserve"> %, jemuž odpovídá plně splacený vklad do základního kapitálu Společnosti ve výši </w:t>
      </w:r>
      <w:r w:rsidR="00B354E1">
        <w:rPr>
          <w:rFonts w:cstheme="minorHAnsi"/>
          <w:iCs/>
        </w:rPr>
        <w:t>1</w:t>
      </w:r>
      <w:r w:rsidR="00AA0212" w:rsidRPr="00B354E1">
        <w:rPr>
          <w:rFonts w:cstheme="minorHAnsi"/>
          <w:iCs/>
        </w:rPr>
        <w:t>00 000</w:t>
      </w:r>
      <w:r w:rsidRPr="00B354E1">
        <w:rPr>
          <w:rFonts w:cstheme="minorHAnsi"/>
          <w:iCs/>
        </w:rPr>
        <w:t>,- Kč (dále jen „</w:t>
      </w:r>
      <w:r w:rsidRPr="00B354E1">
        <w:rPr>
          <w:rFonts w:cstheme="minorHAnsi"/>
          <w:b/>
          <w:bCs/>
          <w:iCs/>
        </w:rPr>
        <w:t>Podíl</w:t>
      </w:r>
      <w:r w:rsidRPr="00B354E1">
        <w:rPr>
          <w:rFonts w:cstheme="minorHAnsi"/>
          <w:iCs/>
        </w:rPr>
        <w:t xml:space="preserve">“). </w:t>
      </w:r>
    </w:p>
    <w:p w14:paraId="28A6E882" w14:textId="77777777" w:rsidR="00A2005A" w:rsidRPr="00360404" w:rsidRDefault="00A2005A" w:rsidP="00A2005A">
      <w:pPr>
        <w:pStyle w:val="Odstavecseseznamem"/>
        <w:rPr>
          <w:rFonts w:cstheme="minorHAnsi"/>
          <w:iCs/>
        </w:rPr>
      </w:pPr>
    </w:p>
    <w:p w14:paraId="2632974C" w14:textId="3CBDB3CD" w:rsidR="00A2005A" w:rsidRDefault="00A2005A" w:rsidP="00A2005A">
      <w:pPr>
        <w:pStyle w:val="Odstavecseseznamem"/>
        <w:numPr>
          <w:ilvl w:val="0"/>
          <w:numId w:val="2"/>
        </w:numPr>
        <w:ind w:left="426" w:right="425" w:hanging="426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>Převodc</w:t>
      </w:r>
      <w:r>
        <w:rPr>
          <w:rFonts w:cstheme="minorHAnsi"/>
          <w:iCs/>
        </w:rPr>
        <w:t>e</w:t>
      </w:r>
      <w:r w:rsidRPr="00360404">
        <w:rPr>
          <w:rFonts w:cstheme="minorHAnsi"/>
          <w:iCs/>
        </w:rPr>
        <w:t xml:space="preserve"> prohlašuj</w:t>
      </w:r>
      <w:r>
        <w:rPr>
          <w:rFonts w:cstheme="minorHAnsi"/>
          <w:iCs/>
        </w:rPr>
        <w:t>e</w:t>
      </w:r>
      <w:r w:rsidRPr="00360404">
        <w:rPr>
          <w:rFonts w:cstheme="minorHAnsi"/>
          <w:iCs/>
        </w:rPr>
        <w:t>, že touto Smlouvou převádí na Nabyvatele</w:t>
      </w:r>
      <w:r>
        <w:rPr>
          <w:rFonts w:cstheme="minorHAnsi"/>
          <w:iCs/>
        </w:rPr>
        <w:t xml:space="preserve"> svůj</w:t>
      </w:r>
      <w:r w:rsidRPr="00360404">
        <w:rPr>
          <w:rFonts w:cstheme="minorHAnsi"/>
          <w:iCs/>
        </w:rPr>
        <w:t xml:space="preserve"> Podíl</w:t>
      </w:r>
      <w:r w:rsidR="00BD6542">
        <w:rPr>
          <w:rFonts w:cstheme="minorHAnsi"/>
          <w:iCs/>
        </w:rPr>
        <w:t>, a to ke dni 31. 5. 2024 (dále jen „</w:t>
      </w:r>
      <w:r w:rsidR="00BD6542" w:rsidRPr="00AE5F74">
        <w:rPr>
          <w:rFonts w:cstheme="minorHAnsi"/>
          <w:b/>
          <w:bCs/>
          <w:iCs/>
        </w:rPr>
        <w:t>Den převodu</w:t>
      </w:r>
      <w:r w:rsidR="00BD6542">
        <w:rPr>
          <w:rFonts w:cstheme="minorHAnsi"/>
          <w:iCs/>
        </w:rPr>
        <w:t>“).</w:t>
      </w:r>
    </w:p>
    <w:p w14:paraId="2C9173F1" w14:textId="77777777" w:rsidR="00BD6542" w:rsidRPr="00AE5F74" w:rsidRDefault="00BD6542" w:rsidP="00AE5F74">
      <w:pPr>
        <w:ind w:right="425"/>
        <w:jc w:val="both"/>
        <w:rPr>
          <w:rFonts w:cstheme="minorHAnsi"/>
          <w:b/>
          <w:iCs/>
        </w:rPr>
      </w:pPr>
    </w:p>
    <w:p w14:paraId="7DE310CD" w14:textId="77777777" w:rsidR="00A2005A" w:rsidRPr="00360404" w:rsidRDefault="00A2005A" w:rsidP="00A2005A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cstheme="minorHAnsi"/>
          <w:b/>
          <w:iCs/>
        </w:rPr>
      </w:pPr>
      <w:r w:rsidRPr="00360404">
        <w:rPr>
          <w:rFonts w:cstheme="minorHAnsi"/>
          <w:b/>
          <w:iCs/>
        </w:rPr>
        <w:t>Předmět smlouvy</w:t>
      </w:r>
    </w:p>
    <w:p w14:paraId="0B0892A5" w14:textId="77777777" w:rsidR="00A2005A" w:rsidRPr="00360404" w:rsidRDefault="00A2005A" w:rsidP="00A2005A">
      <w:pPr>
        <w:ind w:left="426"/>
        <w:jc w:val="center"/>
        <w:rPr>
          <w:rFonts w:cstheme="minorHAnsi"/>
          <w:b/>
          <w:iCs/>
        </w:rPr>
      </w:pPr>
    </w:p>
    <w:p w14:paraId="62EE7551" w14:textId="77777777" w:rsidR="00A2005A" w:rsidRDefault="00A2005A" w:rsidP="00A2005A">
      <w:pPr>
        <w:pStyle w:val="Odstavecseseznamem"/>
        <w:numPr>
          <w:ilvl w:val="0"/>
          <w:numId w:val="3"/>
        </w:numPr>
        <w:ind w:left="426" w:right="425" w:hanging="426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>Předmětem této Smlouvy je závazek Převodc</w:t>
      </w:r>
      <w:r w:rsidR="007A538B">
        <w:rPr>
          <w:rFonts w:cstheme="minorHAnsi"/>
          <w:iCs/>
        </w:rPr>
        <w:t>e</w:t>
      </w:r>
      <w:r w:rsidRPr="00360404">
        <w:rPr>
          <w:rFonts w:cstheme="minorHAnsi"/>
          <w:iCs/>
        </w:rPr>
        <w:t xml:space="preserve"> převést Podíl do výlučného vlastnictví Nabyvatele a závazek Nabyvatele Podíl</w:t>
      </w:r>
      <w:r w:rsidR="007A538B">
        <w:rPr>
          <w:rFonts w:cstheme="minorHAnsi"/>
          <w:iCs/>
        </w:rPr>
        <w:t xml:space="preserve"> </w:t>
      </w:r>
      <w:r w:rsidRPr="00360404">
        <w:rPr>
          <w:rFonts w:cstheme="minorHAnsi"/>
          <w:iCs/>
        </w:rPr>
        <w:t>do svého výlučného vlastnictví přijmout a zaplatit za ně</w:t>
      </w:r>
      <w:r w:rsidR="007A538B">
        <w:rPr>
          <w:rFonts w:cstheme="minorHAnsi"/>
          <w:iCs/>
        </w:rPr>
        <w:t>j</w:t>
      </w:r>
      <w:r w:rsidRPr="00360404">
        <w:rPr>
          <w:rFonts w:cstheme="minorHAnsi"/>
          <w:iCs/>
        </w:rPr>
        <w:t xml:space="preserve"> kupní cenu dle čl. III této Smlouvy. </w:t>
      </w:r>
      <w:r w:rsidRPr="00360404">
        <w:rPr>
          <w:rFonts w:cstheme="minorHAnsi"/>
          <w:iCs/>
        </w:rPr>
        <w:tab/>
      </w:r>
      <w:r w:rsidRPr="00360404">
        <w:rPr>
          <w:rFonts w:cstheme="minorHAnsi"/>
          <w:iCs/>
        </w:rPr>
        <w:br/>
      </w:r>
    </w:p>
    <w:p w14:paraId="6AEC4544" w14:textId="77777777" w:rsidR="00F53D9B" w:rsidRDefault="00F53D9B" w:rsidP="00F53D9B">
      <w:pPr>
        <w:ind w:right="425"/>
        <w:jc w:val="both"/>
        <w:rPr>
          <w:rFonts w:cstheme="minorHAnsi"/>
          <w:b/>
          <w:iCs/>
        </w:rPr>
      </w:pPr>
    </w:p>
    <w:p w14:paraId="42978018" w14:textId="77777777" w:rsidR="00F53D9B" w:rsidRPr="00F53D9B" w:rsidRDefault="00F53D9B" w:rsidP="00F53D9B">
      <w:pPr>
        <w:ind w:right="425"/>
        <w:jc w:val="both"/>
        <w:rPr>
          <w:rFonts w:cstheme="minorHAnsi"/>
          <w:b/>
          <w:iCs/>
        </w:rPr>
      </w:pPr>
    </w:p>
    <w:p w14:paraId="3D43508F" w14:textId="77777777" w:rsidR="00996E9F" w:rsidRDefault="00996E9F" w:rsidP="00996E9F">
      <w:pPr>
        <w:jc w:val="center"/>
        <w:rPr>
          <w:rFonts w:cstheme="minorHAnsi"/>
          <w:b/>
          <w:iCs/>
        </w:rPr>
      </w:pPr>
    </w:p>
    <w:p w14:paraId="015E98F2" w14:textId="57E28E45" w:rsidR="003E513F" w:rsidRDefault="003E513F" w:rsidP="00391CAF">
      <w:pPr>
        <w:pStyle w:val="Odstavecseseznamem"/>
        <w:numPr>
          <w:ilvl w:val="0"/>
          <w:numId w:val="3"/>
        </w:numPr>
        <w:ind w:left="426" w:right="425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Ke dni podpisu této Smlouvy probíhá řízení </w:t>
      </w:r>
      <w:r w:rsidR="00450581" w:rsidRPr="00450581">
        <w:rPr>
          <w:rFonts w:cstheme="minorHAnsi"/>
          <w:iCs/>
        </w:rPr>
        <w:t>Katastrální</w:t>
      </w:r>
      <w:r w:rsidR="00450581">
        <w:rPr>
          <w:rFonts w:cstheme="minorHAnsi"/>
          <w:iCs/>
        </w:rPr>
        <w:t>ho</w:t>
      </w:r>
      <w:r w:rsidR="00450581" w:rsidRPr="00450581">
        <w:rPr>
          <w:rFonts w:cstheme="minorHAnsi"/>
          <w:iCs/>
        </w:rPr>
        <w:t xml:space="preserve"> úřad</w:t>
      </w:r>
      <w:r w:rsidR="00450581">
        <w:rPr>
          <w:rFonts w:cstheme="minorHAnsi"/>
          <w:iCs/>
        </w:rPr>
        <w:t>u</w:t>
      </w:r>
      <w:r w:rsidR="00450581" w:rsidRPr="00450581">
        <w:rPr>
          <w:rFonts w:cstheme="minorHAnsi"/>
          <w:iCs/>
        </w:rPr>
        <w:t xml:space="preserve"> pro Karlovarský kraj, Katastrální pracoviště Karlovy Vary</w:t>
      </w:r>
      <w:r w:rsidR="00450581">
        <w:rPr>
          <w:rFonts w:cstheme="minorHAnsi"/>
          <w:iCs/>
        </w:rPr>
        <w:t>,</w:t>
      </w:r>
      <w:r w:rsidR="00450581" w:rsidRPr="00450581">
        <w:rPr>
          <w:rFonts w:cstheme="minorHAnsi"/>
          <w:iCs/>
        </w:rPr>
        <w:t xml:space="preserve"> </w:t>
      </w:r>
      <w:r w:rsidR="00450581">
        <w:rPr>
          <w:rFonts w:cstheme="minorHAnsi"/>
          <w:iCs/>
        </w:rPr>
        <w:t>sp. zn. V-3477/2024</w:t>
      </w:r>
      <w:r>
        <w:rPr>
          <w:rFonts w:cstheme="minorHAnsi"/>
          <w:iCs/>
        </w:rPr>
        <w:t xml:space="preserve"> o zápisu vlastnického práva k nemovitostem </w:t>
      </w:r>
      <w:proofErr w:type="spellStart"/>
      <w:r w:rsidR="00450581">
        <w:rPr>
          <w:rFonts w:cstheme="minorHAnsi"/>
          <w:iCs/>
        </w:rPr>
        <w:t>parc</w:t>
      </w:r>
      <w:proofErr w:type="spellEnd"/>
      <w:r w:rsidR="00450581">
        <w:rPr>
          <w:rFonts w:cstheme="minorHAnsi"/>
          <w:iCs/>
        </w:rPr>
        <w:t xml:space="preserve">. č. 614, </w:t>
      </w:r>
      <w:proofErr w:type="spellStart"/>
      <w:r w:rsidR="00450581">
        <w:rPr>
          <w:rFonts w:cstheme="minorHAnsi"/>
          <w:iCs/>
        </w:rPr>
        <w:t>parc</w:t>
      </w:r>
      <w:proofErr w:type="spellEnd"/>
      <w:r w:rsidR="00450581">
        <w:rPr>
          <w:rFonts w:cstheme="minorHAnsi"/>
          <w:iCs/>
        </w:rPr>
        <w:t xml:space="preserve">. č. 617 a </w:t>
      </w:r>
      <w:proofErr w:type="spellStart"/>
      <w:r w:rsidR="00450581">
        <w:rPr>
          <w:rFonts w:cstheme="minorHAnsi"/>
          <w:iCs/>
        </w:rPr>
        <w:t>parc</w:t>
      </w:r>
      <w:proofErr w:type="spellEnd"/>
      <w:r w:rsidR="00450581">
        <w:rPr>
          <w:rFonts w:cstheme="minorHAnsi"/>
          <w:iCs/>
        </w:rPr>
        <w:t xml:space="preserve">. č. 618, v k. </w:t>
      </w:r>
      <w:proofErr w:type="spellStart"/>
      <w:r w:rsidR="00450581">
        <w:rPr>
          <w:rFonts w:cstheme="minorHAnsi"/>
          <w:iCs/>
        </w:rPr>
        <w:t>ú.</w:t>
      </w:r>
      <w:proofErr w:type="spellEnd"/>
      <w:r w:rsidR="00450581">
        <w:rPr>
          <w:rFonts w:cstheme="minorHAnsi"/>
          <w:iCs/>
        </w:rPr>
        <w:t xml:space="preserve"> Karlovy Vary, evidovaných na LV č. 2957</w:t>
      </w:r>
      <w:r w:rsidR="008C7BBD">
        <w:rPr>
          <w:rFonts w:cstheme="minorHAnsi"/>
          <w:iCs/>
        </w:rPr>
        <w:t xml:space="preserve"> (dále jen „</w:t>
      </w:r>
      <w:r w:rsidR="008C7BBD" w:rsidRPr="00AE5F74">
        <w:rPr>
          <w:rFonts w:cstheme="minorHAnsi"/>
          <w:b/>
          <w:bCs/>
          <w:iCs/>
        </w:rPr>
        <w:t>Nemovitosti</w:t>
      </w:r>
      <w:r w:rsidR="008C7BBD">
        <w:rPr>
          <w:rFonts w:cstheme="minorHAnsi"/>
          <w:iCs/>
        </w:rPr>
        <w:t>“)</w:t>
      </w:r>
      <w:r w:rsidR="00450581">
        <w:rPr>
          <w:rFonts w:cstheme="minorHAnsi"/>
          <w:iCs/>
        </w:rPr>
        <w:t xml:space="preserve">, ve prospěch společnosti Paula </w:t>
      </w:r>
      <w:proofErr w:type="spellStart"/>
      <w:r w:rsidR="00450581">
        <w:rPr>
          <w:rFonts w:cstheme="minorHAnsi"/>
          <w:iCs/>
        </w:rPr>
        <w:t>Knoll</w:t>
      </w:r>
      <w:proofErr w:type="spellEnd"/>
      <w:r w:rsidR="00450581">
        <w:rPr>
          <w:rFonts w:cstheme="minorHAnsi"/>
          <w:iCs/>
        </w:rPr>
        <w:t xml:space="preserve">, s.r.o., IČO: </w:t>
      </w:r>
      <w:r w:rsidR="00450581" w:rsidRPr="00450581">
        <w:rPr>
          <w:rFonts w:cstheme="minorHAnsi"/>
          <w:iCs/>
        </w:rPr>
        <w:t>21545456</w:t>
      </w:r>
      <w:r w:rsidR="00450581">
        <w:rPr>
          <w:rFonts w:cstheme="minorHAnsi"/>
          <w:iCs/>
        </w:rPr>
        <w:t xml:space="preserve">, se sídlem </w:t>
      </w:r>
      <w:r w:rsidR="00450581" w:rsidRPr="00450581">
        <w:rPr>
          <w:rFonts w:cstheme="minorHAnsi"/>
          <w:iCs/>
        </w:rPr>
        <w:t>Libušina 994/24, 360 01 Karlovy Vary</w:t>
      </w:r>
      <w:r w:rsidR="00687327">
        <w:rPr>
          <w:rFonts w:cstheme="minorHAnsi"/>
          <w:iCs/>
        </w:rPr>
        <w:t xml:space="preserve"> (dále jen „</w:t>
      </w:r>
      <w:r w:rsidR="00687327" w:rsidRPr="00AE5F74">
        <w:rPr>
          <w:rFonts w:cstheme="minorHAnsi"/>
          <w:b/>
          <w:bCs/>
          <w:iCs/>
        </w:rPr>
        <w:t xml:space="preserve">Paula </w:t>
      </w:r>
      <w:proofErr w:type="spellStart"/>
      <w:r w:rsidR="00687327" w:rsidRPr="00AE5F74">
        <w:rPr>
          <w:rFonts w:cstheme="minorHAnsi"/>
          <w:b/>
          <w:bCs/>
          <w:iCs/>
        </w:rPr>
        <w:t>Knoll</w:t>
      </w:r>
      <w:proofErr w:type="spellEnd"/>
      <w:r w:rsidR="00687327" w:rsidRPr="00AE5F74">
        <w:rPr>
          <w:rFonts w:cstheme="minorHAnsi"/>
          <w:b/>
          <w:bCs/>
          <w:iCs/>
        </w:rPr>
        <w:t>, s.r.o.</w:t>
      </w:r>
      <w:r w:rsidR="00687327">
        <w:rPr>
          <w:rFonts w:cstheme="minorHAnsi"/>
          <w:iCs/>
        </w:rPr>
        <w:t>“)</w:t>
      </w:r>
      <w:r w:rsidR="00450581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="00687327">
        <w:rPr>
          <w:rFonts w:cstheme="minorHAnsi"/>
          <w:iCs/>
        </w:rPr>
        <w:t xml:space="preserve">který podala jako navrhovatel </w:t>
      </w:r>
      <w:r>
        <w:rPr>
          <w:rFonts w:cstheme="minorHAnsi"/>
          <w:iCs/>
        </w:rPr>
        <w:t xml:space="preserve">Společnost </w:t>
      </w:r>
      <w:r w:rsidR="00687327">
        <w:rPr>
          <w:rFonts w:cstheme="minorHAnsi"/>
          <w:iCs/>
        </w:rPr>
        <w:t>z důvodu n</w:t>
      </w:r>
      <w:r w:rsidR="00C414D1">
        <w:rPr>
          <w:rFonts w:cstheme="minorHAnsi"/>
          <w:iCs/>
        </w:rPr>
        <w:t>a</w:t>
      </w:r>
      <w:r w:rsidR="00687327">
        <w:rPr>
          <w:rFonts w:cstheme="minorHAnsi"/>
          <w:iCs/>
        </w:rPr>
        <w:t>bytí vlastnických práv</w:t>
      </w:r>
      <w:r w:rsidR="00C414D1">
        <w:rPr>
          <w:rFonts w:cstheme="minorHAnsi"/>
          <w:iCs/>
        </w:rPr>
        <w:t xml:space="preserve"> </w:t>
      </w:r>
      <w:r w:rsidR="0021023B">
        <w:rPr>
          <w:rFonts w:cstheme="minorHAnsi"/>
          <w:iCs/>
        </w:rPr>
        <w:t xml:space="preserve">k Nemovitostem </w:t>
      </w:r>
      <w:r w:rsidR="00C414D1">
        <w:rPr>
          <w:rFonts w:cstheme="minorHAnsi"/>
          <w:iCs/>
        </w:rPr>
        <w:t xml:space="preserve">společností Paula </w:t>
      </w:r>
      <w:proofErr w:type="spellStart"/>
      <w:r w:rsidR="00C414D1">
        <w:rPr>
          <w:rFonts w:cstheme="minorHAnsi"/>
          <w:iCs/>
        </w:rPr>
        <w:t>Knoll</w:t>
      </w:r>
      <w:proofErr w:type="spellEnd"/>
      <w:r w:rsidR="00C414D1">
        <w:rPr>
          <w:rFonts w:cstheme="minorHAnsi"/>
          <w:iCs/>
        </w:rPr>
        <w:t xml:space="preserve">, s.r.o. v důsledku účinnosti </w:t>
      </w:r>
      <w:r w:rsidR="00C414D1" w:rsidRPr="00C414D1">
        <w:rPr>
          <w:rFonts w:cstheme="minorHAnsi"/>
          <w:iCs/>
        </w:rPr>
        <w:t xml:space="preserve">rozdělení </w:t>
      </w:r>
      <w:r w:rsidR="00C414D1">
        <w:rPr>
          <w:rFonts w:cstheme="minorHAnsi"/>
          <w:iCs/>
        </w:rPr>
        <w:t>Společnosti</w:t>
      </w:r>
      <w:r w:rsidR="00C414D1" w:rsidRPr="00C414D1">
        <w:rPr>
          <w:rFonts w:cstheme="minorHAnsi"/>
          <w:iCs/>
        </w:rPr>
        <w:t xml:space="preserve"> formou odštěpení se vznikem nástupnické společnosti</w:t>
      </w:r>
      <w:r w:rsidR="008D0874">
        <w:rPr>
          <w:rFonts w:cstheme="minorHAnsi"/>
          <w:iCs/>
        </w:rPr>
        <w:t xml:space="preserve"> </w:t>
      </w:r>
      <w:r w:rsidR="00C414D1" w:rsidRPr="00C414D1">
        <w:rPr>
          <w:rFonts w:cstheme="minorHAnsi"/>
          <w:iCs/>
        </w:rPr>
        <w:t xml:space="preserve">Paula </w:t>
      </w:r>
      <w:proofErr w:type="spellStart"/>
      <w:r w:rsidR="00C414D1" w:rsidRPr="00C414D1">
        <w:rPr>
          <w:rFonts w:cstheme="minorHAnsi"/>
          <w:iCs/>
        </w:rPr>
        <w:t>Knoll</w:t>
      </w:r>
      <w:proofErr w:type="spellEnd"/>
      <w:r w:rsidR="00C414D1" w:rsidRPr="00C414D1">
        <w:rPr>
          <w:rFonts w:cstheme="minorHAnsi"/>
          <w:iCs/>
        </w:rPr>
        <w:t>, s.r.o.,</w:t>
      </w:r>
      <w:r w:rsidR="008D0874">
        <w:rPr>
          <w:rFonts w:cstheme="minorHAnsi"/>
          <w:iCs/>
        </w:rPr>
        <w:t xml:space="preserve"> na níž</w:t>
      </w:r>
      <w:r w:rsidR="00C414D1" w:rsidRPr="00C414D1">
        <w:rPr>
          <w:rFonts w:cstheme="minorHAnsi"/>
          <w:iCs/>
        </w:rPr>
        <w:t xml:space="preserve"> přešla odštěpená část jmění </w:t>
      </w:r>
      <w:r w:rsidR="008D0874">
        <w:rPr>
          <w:rFonts w:cstheme="minorHAnsi"/>
          <w:iCs/>
        </w:rPr>
        <w:t>S</w:t>
      </w:r>
      <w:r w:rsidR="00C414D1" w:rsidRPr="00C414D1">
        <w:rPr>
          <w:rFonts w:cstheme="minorHAnsi"/>
          <w:iCs/>
        </w:rPr>
        <w:t xml:space="preserve">polečnosti </w:t>
      </w:r>
      <w:r w:rsidR="008D0874">
        <w:rPr>
          <w:rFonts w:cstheme="minorHAnsi"/>
          <w:iCs/>
        </w:rPr>
        <w:t>u</w:t>
      </w:r>
      <w:r w:rsidR="00C414D1" w:rsidRPr="00C414D1">
        <w:rPr>
          <w:rFonts w:cstheme="minorHAnsi"/>
          <w:iCs/>
        </w:rPr>
        <w:t>veden</w:t>
      </w:r>
      <w:r w:rsidR="008D0874">
        <w:rPr>
          <w:rFonts w:cstheme="minorHAnsi"/>
          <w:iCs/>
        </w:rPr>
        <w:t>á</w:t>
      </w:r>
      <w:r w:rsidR="00C414D1" w:rsidRPr="00C414D1">
        <w:rPr>
          <w:rFonts w:cstheme="minorHAnsi"/>
          <w:iCs/>
        </w:rPr>
        <w:t xml:space="preserve"> v projektu rozdělení ze dne 1.</w:t>
      </w:r>
      <w:r w:rsidR="008D0874">
        <w:rPr>
          <w:rFonts w:cstheme="minorHAnsi"/>
          <w:iCs/>
        </w:rPr>
        <w:t xml:space="preserve"> </w:t>
      </w:r>
      <w:r w:rsidR="00C414D1" w:rsidRPr="00C414D1">
        <w:rPr>
          <w:rFonts w:cstheme="minorHAnsi"/>
          <w:iCs/>
        </w:rPr>
        <w:t>3.</w:t>
      </w:r>
      <w:r w:rsidR="008D0874">
        <w:rPr>
          <w:rFonts w:cstheme="minorHAnsi"/>
          <w:iCs/>
        </w:rPr>
        <w:t xml:space="preserve"> </w:t>
      </w:r>
      <w:r w:rsidR="00C414D1" w:rsidRPr="00C414D1">
        <w:rPr>
          <w:rFonts w:cstheme="minorHAnsi"/>
          <w:iCs/>
        </w:rPr>
        <w:t>2024</w:t>
      </w:r>
      <w:r w:rsidR="008D0874">
        <w:rPr>
          <w:rFonts w:cstheme="minorHAnsi"/>
          <w:iCs/>
        </w:rPr>
        <w:t>. Smluvní strany se zavazují poskytnout si veškerou součinnost k tomu, aby zápis vlastnického práva dle předchozí věty byl úspěšně proveden a v případě jeho zamítnutí či zastavení řízení z důvodu jakýchkoli vad návrhu na vklad či jeho příloh Smluvní strany zajistí, aby byl podán nový návrh na vklad, v němž budou tyto vady opraveny.</w:t>
      </w:r>
    </w:p>
    <w:p w14:paraId="1F0E4D3A" w14:textId="77777777" w:rsidR="00400579" w:rsidRPr="00400579" w:rsidRDefault="00400579" w:rsidP="00AE5F74">
      <w:pPr>
        <w:pStyle w:val="Odstavecseseznamem"/>
        <w:rPr>
          <w:rFonts w:cstheme="minorHAnsi"/>
          <w:iCs/>
        </w:rPr>
      </w:pPr>
    </w:p>
    <w:p w14:paraId="0439235D" w14:textId="08E17B3C" w:rsidR="00400579" w:rsidRPr="001C7872" w:rsidRDefault="008C7BBD" w:rsidP="00AE5F74">
      <w:pPr>
        <w:pStyle w:val="Odstavecseseznamem"/>
        <w:numPr>
          <w:ilvl w:val="0"/>
          <w:numId w:val="3"/>
        </w:numPr>
        <w:ind w:left="426" w:right="425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>V důsledku odštěpení dle předchozího odstavce došlo k přechodu práv a povinností souvisejících s</w:t>
      </w:r>
      <w:r w:rsidR="00D30F19">
        <w:rPr>
          <w:rFonts w:cstheme="minorHAnsi"/>
          <w:iCs/>
        </w:rPr>
        <w:t xml:space="preserve"> nájmem Nemovitostí třetími osobami na společnost Paula </w:t>
      </w:r>
      <w:proofErr w:type="spellStart"/>
      <w:r w:rsidR="00D30F19">
        <w:rPr>
          <w:rFonts w:cstheme="minorHAnsi"/>
          <w:iCs/>
        </w:rPr>
        <w:t>Knoll</w:t>
      </w:r>
      <w:proofErr w:type="spellEnd"/>
      <w:r w:rsidR="00D30F19">
        <w:rPr>
          <w:rFonts w:cstheme="minorHAnsi"/>
          <w:iCs/>
        </w:rPr>
        <w:t>, s.r.o., jakožto nového vlastníka Nemovitostí ve smyslu § 2221 odst. 1 OZ.</w:t>
      </w:r>
      <w:r>
        <w:rPr>
          <w:rFonts w:cstheme="minorHAnsi"/>
          <w:iCs/>
        </w:rPr>
        <w:t xml:space="preserve"> </w:t>
      </w:r>
      <w:r w:rsidR="00642E30">
        <w:rPr>
          <w:rFonts w:cstheme="minorHAnsi"/>
          <w:iCs/>
        </w:rPr>
        <w:t>Veškeré další závazky, které přímo souvisejí s</w:t>
      </w:r>
      <w:r w:rsidR="00D03EFD">
        <w:rPr>
          <w:rFonts w:cstheme="minorHAnsi"/>
          <w:iCs/>
        </w:rPr>
        <w:t xml:space="preserve">e správou, údržbou či </w:t>
      </w:r>
      <w:r w:rsidR="00584A94">
        <w:rPr>
          <w:rFonts w:cstheme="minorHAnsi"/>
          <w:iCs/>
        </w:rPr>
        <w:t>užíváním</w:t>
      </w:r>
      <w:r w:rsidR="00D03EFD">
        <w:rPr>
          <w:rFonts w:cstheme="minorHAnsi"/>
          <w:iCs/>
        </w:rPr>
        <w:t xml:space="preserve"> </w:t>
      </w:r>
      <w:r w:rsidR="00642E30">
        <w:rPr>
          <w:rFonts w:cstheme="minorHAnsi"/>
          <w:iCs/>
        </w:rPr>
        <w:t>Nemovitost</w:t>
      </w:r>
      <w:r w:rsidR="00D03EFD">
        <w:rPr>
          <w:rFonts w:cstheme="minorHAnsi"/>
          <w:iCs/>
        </w:rPr>
        <w:t xml:space="preserve">í, se Smluvní strany zavazují převést ze Společnosti na společnost Paula </w:t>
      </w:r>
      <w:proofErr w:type="spellStart"/>
      <w:r w:rsidR="00D03EFD">
        <w:rPr>
          <w:rFonts w:cstheme="minorHAnsi"/>
          <w:iCs/>
        </w:rPr>
        <w:t>Knoll</w:t>
      </w:r>
      <w:proofErr w:type="spellEnd"/>
      <w:r w:rsidR="00D03EFD">
        <w:rPr>
          <w:rFonts w:cstheme="minorHAnsi"/>
          <w:iCs/>
        </w:rPr>
        <w:t>, s.r.o.</w:t>
      </w:r>
      <w:r w:rsidR="00820A6A">
        <w:rPr>
          <w:rFonts w:cstheme="minorHAnsi"/>
          <w:iCs/>
        </w:rPr>
        <w:t>, nebo je ukončit</w:t>
      </w:r>
      <w:r w:rsidR="00D03EFD">
        <w:rPr>
          <w:rFonts w:cstheme="minorHAnsi"/>
          <w:iCs/>
        </w:rPr>
        <w:t xml:space="preserve">, tj. zejména </w:t>
      </w:r>
      <w:r w:rsidR="00881984">
        <w:rPr>
          <w:rFonts w:cstheme="minorHAnsi"/>
          <w:iCs/>
        </w:rPr>
        <w:t>smlouvu o zajištění reklamy ze dne 2. 1. 2019, smlouvu o sdružených službách dodávky elektřiny s</w:t>
      </w:r>
      <w:r w:rsidR="00881984" w:rsidRPr="00881984">
        <w:t xml:space="preserve"> </w:t>
      </w:r>
      <w:r w:rsidR="00881984" w:rsidRPr="00881984">
        <w:rPr>
          <w:rFonts w:cstheme="minorHAnsi"/>
          <w:iCs/>
        </w:rPr>
        <w:t>E.ON Energie, a.s.</w:t>
      </w:r>
      <w:r w:rsidR="00881984">
        <w:rPr>
          <w:rFonts w:cstheme="minorHAnsi"/>
          <w:iCs/>
        </w:rPr>
        <w:t xml:space="preserve"> ze dne 16. 10. 2018, smlouvu o sdružených službách dodávky plynu s </w:t>
      </w:r>
      <w:r w:rsidR="00881984" w:rsidRPr="00881984">
        <w:rPr>
          <w:rFonts w:cstheme="minorHAnsi"/>
          <w:iCs/>
        </w:rPr>
        <w:t>První česká energie a.s.</w:t>
      </w:r>
      <w:r w:rsidR="00881984">
        <w:rPr>
          <w:rFonts w:cstheme="minorHAnsi"/>
          <w:iCs/>
        </w:rPr>
        <w:t xml:space="preserve"> ze dne 30. 8. 2021, smlouvu o provádění úklidových prací a dalších souvisejících činností s paní Marcelou Trnkovou ze dne 1. 4. 2013 a smlouvu </w:t>
      </w:r>
      <w:r w:rsidR="003C10B8">
        <w:rPr>
          <w:rFonts w:cstheme="minorHAnsi"/>
          <w:iCs/>
        </w:rPr>
        <w:t>o ochranných bezpečnostních službách pultu centralizované ochrany se SAFEGUARD SERVICE, a.s. ze dne 1. 10. 2015.</w:t>
      </w:r>
    </w:p>
    <w:p w14:paraId="2A12A593" w14:textId="77777777" w:rsidR="00996E9F" w:rsidRDefault="00996E9F" w:rsidP="00996E9F">
      <w:pPr>
        <w:jc w:val="center"/>
        <w:rPr>
          <w:rFonts w:cstheme="minorHAnsi"/>
          <w:b/>
          <w:iCs/>
        </w:rPr>
      </w:pPr>
    </w:p>
    <w:p w14:paraId="69943A40" w14:textId="77777777" w:rsidR="00996E9F" w:rsidRPr="00AE5F74" w:rsidRDefault="00996E9F" w:rsidP="00AE5F74">
      <w:pPr>
        <w:jc w:val="center"/>
        <w:rPr>
          <w:rFonts w:cstheme="minorHAnsi"/>
          <w:b/>
          <w:iCs/>
        </w:rPr>
      </w:pPr>
    </w:p>
    <w:p w14:paraId="71179929" w14:textId="114409CD" w:rsidR="00A2005A" w:rsidRPr="00360404" w:rsidRDefault="00A2005A" w:rsidP="00A2005A">
      <w:pPr>
        <w:pStyle w:val="Odstavecseseznamem"/>
        <w:numPr>
          <w:ilvl w:val="0"/>
          <w:numId w:val="8"/>
        </w:numPr>
        <w:ind w:left="426" w:hanging="426"/>
        <w:jc w:val="center"/>
        <w:rPr>
          <w:rFonts w:cstheme="minorHAnsi"/>
          <w:b/>
          <w:iCs/>
        </w:rPr>
      </w:pPr>
      <w:r w:rsidRPr="00360404">
        <w:rPr>
          <w:rFonts w:cstheme="minorHAnsi"/>
          <w:b/>
          <w:iCs/>
        </w:rPr>
        <w:t>Kupní cena</w:t>
      </w:r>
    </w:p>
    <w:p w14:paraId="315BB9F3" w14:textId="77777777" w:rsidR="00A2005A" w:rsidRPr="00360404" w:rsidRDefault="00A2005A" w:rsidP="00A2005A">
      <w:pPr>
        <w:pStyle w:val="Odstavecseseznamem"/>
        <w:ind w:left="1080"/>
        <w:rPr>
          <w:rFonts w:cstheme="minorHAnsi"/>
          <w:b/>
          <w:iCs/>
        </w:rPr>
      </w:pPr>
    </w:p>
    <w:p w14:paraId="686F8D46" w14:textId="366BA5FB" w:rsidR="00AE5F74" w:rsidRPr="00012ADF" w:rsidRDefault="00A2005A">
      <w:pPr>
        <w:pStyle w:val="Odstavecseseznamem"/>
        <w:numPr>
          <w:ilvl w:val="0"/>
          <w:numId w:val="4"/>
        </w:numPr>
        <w:ind w:left="426" w:right="425" w:hanging="426"/>
        <w:jc w:val="both"/>
        <w:rPr>
          <w:rFonts w:cstheme="minorHAnsi"/>
          <w:b/>
          <w:iCs/>
        </w:rPr>
      </w:pPr>
      <w:r w:rsidRPr="00457BA3">
        <w:rPr>
          <w:rFonts w:cstheme="minorHAnsi"/>
          <w:iCs/>
        </w:rPr>
        <w:t xml:space="preserve">Smluvní strany </w:t>
      </w:r>
      <w:r w:rsidR="002B379A">
        <w:rPr>
          <w:rFonts w:cstheme="minorHAnsi"/>
          <w:iCs/>
        </w:rPr>
        <w:t xml:space="preserve">si </w:t>
      </w:r>
      <w:r w:rsidRPr="00457BA3">
        <w:rPr>
          <w:rFonts w:cstheme="minorHAnsi"/>
          <w:iCs/>
        </w:rPr>
        <w:t>sjednávají, že Podíl se převádí za</w:t>
      </w:r>
      <w:r w:rsidR="00925B0A" w:rsidRPr="00457BA3">
        <w:rPr>
          <w:rFonts w:cstheme="minorHAnsi"/>
          <w:iCs/>
        </w:rPr>
        <w:t xml:space="preserve"> </w:t>
      </w:r>
      <w:r w:rsidR="001865FF" w:rsidRPr="00457BA3">
        <w:rPr>
          <w:rFonts w:cstheme="minorHAnsi"/>
          <w:iCs/>
        </w:rPr>
        <w:t>k</w:t>
      </w:r>
      <w:r w:rsidRPr="00457BA3">
        <w:rPr>
          <w:rFonts w:cstheme="minorHAnsi"/>
          <w:iCs/>
        </w:rPr>
        <w:t>upní cen</w:t>
      </w:r>
      <w:r w:rsidR="00D62758" w:rsidRPr="00457BA3">
        <w:rPr>
          <w:rFonts w:cstheme="minorHAnsi"/>
          <w:iCs/>
        </w:rPr>
        <w:t>u</w:t>
      </w:r>
      <w:r w:rsidR="001865FF" w:rsidRPr="00457BA3">
        <w:rPr>
          <w:rFonts w:cstheme="minorHAnsi"/>
          <w:iCs/>
        </w:rPr>
        <w:t>, která</w:t>
      </w:r>
      <w:r w:rsidR="00AE5F74">
        <w:rPr>
          <w:rFonts w:cstheme="minorHAnsi"/>
          <w:iCs/>
        </w:rPr>
        <w:t xml:space="preserve"> se skládá z:</w:t>
      </w:r>
    </w:p>
    <w:p w14:paraId="0E33B5CF" w14:textId="0F47DD06" w:rsidR="00AE5F74" w:rsidRPr="00012ADF" w:rsidRDefault="00AE5F74" w:rsidP="00AE5F74">
      <w:pPr>
        <w:pStyle w:val="Odstavecseseznamem"/>
        <w:numPr>
          <w:ilvl w:val="1"/>
          <w:numId w:val="4"/>
        </w:numPr>
        <w:ind w:right="425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ceny podílu</w:t>
      </w:r>
      <w:r w:rsidR="001865FF" w:rsidRPr="00457BA3">
        <w:rPr>
          <w:rFonts w:cstheme="minorHAnsi"/>
          <w:iCs/>
        </w:rPr>
        <w:t xml:space="preserve"> ve výši </w:t>
      </w:r>
      <w:r w:rsidR="00A0732B" w:rsidRPr="00012ADF">
        <w:rPr>
          <w:rFonts w:cstheme="minorHAnsi"/>
          <w:iCs/>
        </w:rPr>
        <w:t>500</w:t>
      </w:r>
      <w:r w:rsidR="008D188B" w:rsidRPr="00012ADF">
        <w:rPr>
          <w:rFonts w:cstheme="minorHAnsi"/>
          <w:iCs/>
        </w:rPr>
        <w:t> </w:t>
      </w:r>
      <w:r w:rsidR="00457BA3" w:rsidRPr="00012ADF">
        <w:rPr>
          <w:rFonts w:cstheme="minorHAnsi"/>
          <w:iCs/>
        </w:rPr>
        <w:t>000</w:t>
      </w:r>
      <w:r w:rsidR="008D188B" w:rsidRPr="00012ADF">
        <w:rPr>
          <w:rFonts w:cstheme="minorHAnsi"/>
          <w:iCs/>
        </w:rPr>
        <w:t xml:space="preserve"> </w:t>
      </w:r>
      <w:r w:rsidR="001865FF" w:rsidRPr="00012ADF">
        <w:rPr>
          <w:rFonts w:cstheme="minorHAnsi"/>
          <w:iCs/>
        </w:rPr>
        <w:t>Kč</w:t>
      </w:r>
      <w:r w:rsidR="001865FF" w:rsidRPr="001478FA">
        <w:rPr>
          <w:rFonts w:cstheme="minorHAnsi"/>
          <w:iCs/>
        </w:rPr>
        <w:t xml:space="preserve"> (slovy: </w:t>
      </w:r>
      <w:r w:rsidR="00A0732B" w:rsidRPr="00012ADF">
        <w:rPr>
          <w:rFonts w:cstheme="minorHAnsi"/>
          <w:iCs/>
        </w:rPr>
        <w:t>pět set</w:t>
      </w:r>
      <w:r w:rsidR="001865FF" w:rsidRPr="00012ADF">
        <w:rPr>
          <w:rFonts w:cstheme="minorHAnsi"/>
          <w:iCs/>
        </w:rPr>
        <w:t xml:space="preserve"> </w:t>
      </w:r>
      <w:r w:rsidR="00457BA3" w:rsidRPr="00012ADF">
        <w:rPr>
          <w:rFonts w:cstheme="minorHAnsi"/>
          <w:iCs/>
        </w:rPr>
        <w:t xml:space="preserve">tisíc </w:t>
      </w:r>
      <w:r w:rsidR="001865FF" w:rsidRPr="00012ADF">
        <w:rPr>
          <w:rFonts w:cstheme="minorHAnsi"/>
          <w:iCs/>
        </w:rPr>
        <w:t>korun českých</w:t>
      </w:r>
      <w:r w:rsidR="001865FF" w:rsidRPr="001478FA">
        <w:rPr>
          <w:rFonts w:cstheme="minorHAnsi"/>
          <w:iCs/>
        </w:rPr>
        <w:t>)</w:t>
      </w:r>
      <w:r w:rsidR="005F1A10">
        <w:rPr>
          <w:rFonts w:cstheme="minorHAnsi"/>
          <w:iCs/>
        </w:rPr>
        <w:t>,</w:t>
      </w:r>
      <w:r w:rsidR="001865FF" w:rsidRPr="001478FA">
        <w:rPr>
          <w:rFonts w:cstheme="minorHAnsi"/>
          <w:iCs/>
        </w:rPr>
        <w:t xml:space="preserve"> </w:t>
      </w:r>
    </w:p>
    <w:p w14:paraId="223FB104" w14:textId="64BB0972" w:rsidR="00AE5F74" w:rsidRPr="00E30FD8" w:rsidRDefault="00AE5F74" w:rsidP="00AE5F74">
      <w:pPr>
        <w:pStyle w:val="Odstavecseseznamem"/>
        <w:numPr>
          <w:ilvl w:val="1"/>
          <w:numId w:val="4"/>
        </w:numPr>
        <w:ind w:right="425"/>
        <w:jc w:val="both"/>
        <w:rPr>
          <w:rFonts w:cstheme="minorHAnsi"/>
          <w:bCs/>
          <w:iCs/>
        </w:rPr>
      </w:pPr>
      <w:r w:rsidRPr="00012ADF">
        <w:rPr>
          <w:rFonts w:cstheme="minorHAnsi"/>
          <w:bCs/>
          <w:iCs/>
        </w:rPr>
        <w:t>ceny</w:t>
      </w:r>
      <w:r w:rsidRPr="001478FA">
        <w:rPr>
          <w:rFonts w:cstheme="minorHAnsi"/>
          <w:bCs/>
          <w:iCs/>
        </w:rPr>
        <w:t xml:space="preserve"> za finanční prostředky uložené na bankovním účtu Společnosti ve výši 100 000,- Kč</w:t>
      </w:r>
      <w:r w:rsidR="001478FA" w:rsidRPr="001478FA">
        <w:rPr>
          <w:rFonts w:cstheme="minorHAnsi"/>
          <w:bCs/>
          <w:iCs/>
        </w:rPr>
        <w:t xml:space="preserve"> </w:t>
      </w:r>
      <w:r w:rsidR="001478FA" w:rsidRPr="001478FA">
        <w:rPr>
          <w:rFonts w:cstheme="minorHAnsi"/>
          <w:iCs/>
        </w:rPr>
        <w:t xml:space="preserve">(slovy: </w:t>
      </w:r>
      <w:r w:rsidR="001478FA" w:rsidRPr="00012ADF">
        <w:rPr>
          <w:rFonts w:cstheme="minorHAnsi"/>
          <w:iCs/>
        </w:rPr>
        <w:t>sto tisíc korun českých</w:t>
      </w:r>
      <w:r w:rsidR="001478FA" w:rsidRPr="001478FA">
        <w:rPr>
          <w:rFonts w:cstheme="minorHAnsi"/>
          <w:iCs/>
        </w:rPr>
        <w:t>)</w:t>
      </w:r>
      <w:r w:rsidR="005F1A10">
        <w:rPr>
          <w:rFonts w:cstheme="minorHAnsi"/>
          <w:iCs/>
        </w:rPr>
        <w:t>,</w:t>
      </w:r>
    </w:p>
    <w:p w14:paraId="523C2B9E" w14:textId="7685A128" w:rsidR="00012ADF" w:rsidRPr="001478FA" w:rsidRDefault="005F1A10" w:rsidP="00AE5F74">
      <w:pPr>
        <w:pStyle w:val="Odstavecseseznamem"/>
        <w:numPr>
          <w:ilvl w:val="1"/>
          <w:numId w:val="4"/>
        </w:numPr>
        <w:ind w:right="425"/>
        <w:jc w:val="both"/>
        <w:rPr>
          <w:rFonts w:cstheme="minorHAnsi"/>
          <w:bCs/>
          <w:iCs/>
        </w:rPr>
      </w:pPr>
      <w:r w:rsidRPr="005F1A10">
        <w:rPr>
          <w:rFonts w:cstheme="minorHAnsi"/>
          <w:bCs/>
          <w:iCs/>
        </w:rPr>
        <w:t>cen</w:t>
      </w:r>
      <w:r w:rsidR="0036615F">
        <w:rPr>
          <w:rFonts w:cstheme="minorHAnsi"/>
          <w:bCs/>
          <w:iCs/>
        </w:rPr>
        <w:t>y</w:t>
      </w:r>
      <w:r w:rsidRPr="005F1A10">
        <w:rPr>
          <w:rFonts w:cstheme="minorHAnsi"/>
          <w:bCs/>
          <w:iCs/>
        </w:rPr>
        <w:t xml:space="preserve"> za léky dle fyzické inventury zásob Společnosti provedené ke Dni převodu ve výši dle jejich evidované hodnoty,</w:t>
      </w:r>
    </w:p>
    <w:p w14:paraId="60769C66" w14:textId="77777777" w:rsidR="001478FA" w:rsidRPr="001478FA" w:rsidRDefault="001478FA" w:rsidP="00AE5F74">
      <w:pPr>
        <w:pStyle w:val="Odstavecseseznamem"/>
        <w:ind w:left="1866" w:right="425"/>
        <w:jc w:val="both"/>
        <w:rPr>
          <w:rFonts w:cstheme="minorHAnsi"/>
          <w:iCs/>
        </w:rPr>
      </w:pPr>
    </w:p>
    <w:p w14:paraId="40CCFC64" w14:textId="6D18836B" w:rsidR="00457BA3" w:rsidRPr="001478FA" w:rsidRDefault="002B379A" w:rsidP="00012ADF">
      <w:pPr>
        <w:pStyle w:val="Odstavecseseznamem"/>
        <w:ind w:left="1866" w:right="425"/>
        <w:jc w:val="both"/>
        <w:rPr>
          <w:rFonts w:cstheme="minorHAnsi"/>
          <w:b/>
          <w:iCs/>
        </w:rPr>
      </w:pPr>
      <w:r w:rsidRPr="001478FA">
        <w:rPr>
          <w:rFonts w:cstheme="minorHAnsi"/>
          <w:iCs/>
        </w:rPr>
        <w:t>(dále také jako „</w:t>
      </w:r>
      <w:r w:rsidRPr="001478FA">
        <w:rPr>
          <w:rFonts w:cstheme="minorHAnsi"/>
          <w:b/>
          <w:iCs/>
        </w:rPr>
        <w:t>Kupní cena</w:t>
      </w:r>
      <w:r w:rsidRPr="001478FA">
        <w:rPr>
          <w:rFonts w:cstheme="minorHAnsi"/>
          <w:iCs/>
        </w:rPr>
        <w:t>“).</w:t>
      </w:r>
    </w:p>
    <w:p w14:paraId="1DA96613" w14:textId="77777777" w:rsidR="00457BA3" w:rsidRPr="001478FA" w:rsidRDefault="00457BA3" w:rsidP="00AE5F74">
      <w:pPr>
        <w:pStyle w:val="Odstavecseseznamem"/>
        <w:ind w:left="426" w:right="425"/>
        <w:jc w:val="both"/>
        <w:rPr>
          <w:rFonts w:cstheme="minorHAnsi"/>
          <w:b/>
          <w:iCs/>
        </w:rPr>
      </w:pPr>
    </w:p>
    <w:p w14:paraId="5FA0563C" w14:textId="11A618F6" w:rsidR="00D04D1F" w:rsidRPr="001478FA" w:rsidRDefault="00D04D1F" w:rsidP="00AE5F74">
      <w:pPr>
        <w:pStyle w:val="Odstavecseseznamem"/>
        <w:ind w:left="851" w:right="425"/>
        <w:jc w:val="both"/>
        <w:rPr>
          <w:rFonts w:cstheme="minorHAnsi"/>
          <w:bCs/>
          <w:iCs/>
        </w:rPr>
      </w:pPr>
    </w:p>
    <w:p w14:paraId="22EC4586" w14:textId="1D46D378" w:rsidR="00AA2F07" w:rsidRPr="00F07891" w:rsidRDefault="00AA2F07" w:rsidP="00AA2F07">
      <w:pPr>
        <w:pStyle w:val="Odstavecseseznamem"/>
        <w:numPr>
          <w:ilvl w:val="0"/>
          <w:numId w:val="4"/>
        </w:numPr>
        <w:ind w:left="426" w:right="425" w:hanging="426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>Nabyvatel se zavazuje Kupní cenu</w:t>
      </w:r>
      <w:r>
        <w:rPr>
          <w:rFonts w:cstheme="minorHAnsi"/>
          <w:iCs/>
        </w:rPr>
        <w:t xml:space="preserve"> uhradit </w:t>
      </w:r>
      <w:r w:rsidRPr="00F07891">
        <w:rPr>
          <w:rFonts w:cstheme="minorHAnsi"/>
          <w:iCs/>
        </w:rPr>
        <w:t xml:space="preserve">nejpozději do </w:t>
      </w:r>
      <w:r>
        <w:rPr>
          <w:rFonts w:cstheme="minorHAnsi"/>
          <w:iCs/>
        </w:rPr>
        <w:t>10</w:t>
      </w:r>
      <w:r w:rsidRPr="00F07891">
        <w:rPr>
          <w:rFonts w:cstheme="minorHAnsi"/>
          <w:iCs/>
        </w:rPr>
        <w:t xml:space="preserve"> </w:t>
      </w:r>
      <w:r>
        <w:rPr>
          <w:rFonts w:cstheme="minorHAnsi"/>
          <w:iCs/>
        </w:rPr>
        <w:t>pracov</w:t>
      </w:r>
      <w:r w:rsidRPr="00F07891">
        <w:rPr>
          <w:rFonts w:cstheme="minorHAnsi"/>
          <w:iCs/>
        </w:rPr>
        <w:t xml:space="preserve">ních dnů ode </w:t>
      </w:r>
      <w:r w:rsidR="002923BD">
        <w:rPr>
          <w:rFonts w:cstheme="minorHAnsi"/>
          <w:iCs/>
        </w:rPr>
        <w:t>Dne převodu</w:t>
      </w:r>
      <w:r w:rsidRPr="00F07891">
        <w:rPr>
          <w:rFonts w:cstheme="minorHAnsi"/>
          <w:iCs/>
        </w:rPr>
        <w:t xml:space="preserve">, a </w:t>
      </w:r>
      <w:r>
        <w:rPr>
          <w:rFonts w:cstheme="minorHAnsi"/>
          <w:iCs/>
        </w:rPr>
        <w:t>to na bankovní</w:t>
      </w:r>
      <w:r w:rsidRPr="00F07891">
        <w:rPr>
          <w:rFonts w:cstheme="minorHAnsi"/>
          <w:iCs/>
        </w:rPr>
        <w:t xml:space="preserve"> účet převodce č</w:t>
      </w:r>
      <w:r w:rsidRPr="00F07891">
        <w:rPr>
          <w:rFonts w:cstheme="minorHAnsi"/>
          <w:iCs/>
          <w:color w:val="000000" w:themeColor="text1"/>
        </w:rPr>
        <w:t>.</w:t>
      </w:r>
      <w:r w:rsidRPr="00F07891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 w:rsidRPr="00AA2F07">
        <w:rPr>
          <w:rFonts w:cstheme="minorHAnsi"/>
          <w:iCs/>
          <w:color w:val="000000" w:themeColor="text1"/>
          <w:shd w:val="clear" w:color="auto" w:fill="FFFFFF"/>
        </w:rPr>
        <w:t>27-3559060227/0100</w:t>
      </w:r>
      <w:r w:rsidRPr="00F07891">
        <w:rPr>
          <w:rFonts w:cstheme="minorHAnsi"/>
          <w:iCs/>
          <w:color w:val="000000" w:themeColor="text1"/>
        </w:rPr>
        <w:t xml:space="preserve">, </w:t>
      </w:r>
      <w:r w:rsidRPr="00F07891">
        <w:rPr>
          <w:rFonts w:cstheme="minorHAnsi"/>
          <w:iCs/>
        </w:rPr>
        <w:t xml:space="preserve">vedený u </w:t>
      </w:r>
      <w:r>
        <w:rPr>
          <w:rFonts w:cstheme="minorHAnsi"/>
          <w:iCs/>
        </w:rPr>
        <w:t>Komerční banky</w:t>
      </w:r>
      <w:r w:rsidRPr="00F07891">
        <w:rPr>
          <w:rFonts w:cstheme="minorHAnsi"/>
          <w:iCs/>
        </w:rPr>
        <w:t>, a.s.</w:t>
      </w:r>
    </w:p>
    <w:p w14:paraId="3EDEF688" w14:textId="77777777" w:rsidR="001478FA" w:rsidRPr="00AE5F74" w:rsidRDefault="001478FA" w:rsidP="00012ADF">
      <w:pPr>
        <w:pStyle w:val="Odstavecseseznamem"/>
        <w:ind w:left="426" w:right="425"/>
        <w:jc w:val="both"/>
        <w:rPr>
          <w:rFonts w:cstheme="minorHAnsi"/>
          <w:iCs/>
        </w:rPr>
      </w:pPr>
    </w:p>
    <w:p w14:paraId="19C0796E" w14:textId="77777777" w:rsidR="00FC0444" w:rsidRDefault="001D6971" w:rsidP="00FC0444">
      <w:pPr>
        <w:pStyle w:val="Odstavecseseznamem"/>
        <w:numPr>
          <w:ilvl w:val="0"/>
          <w:numId w:val="4"/>
        </w:numPr>
        <w:ind w:left="426" w:right="425" w:hanging="426"/>
        <w:jc w:val="both"/>
        <w:rPr>
          <w:rFonts w:cstheme="minorHAnsi"/>
          <w:bCs/>
          <w:iCs/>
        </w:rPr>
      </w:pPr>
      <w:r w:rsidRPr="001D6971">
        <w:rPr>
          <w:rFonts w:cstheme="minorHAnsi"/>
          <w:bCs/>
          <w:iCs/>
        </w:rPr>
        <w:t xml:space="preserve">Smluvní strany sjednávají, že závazky a pohledávky Společnosti (tj. zejména pohledávky a závazky vzniklé z titulu mezd za měsíc květen </w:t>
      </w:r>
      <w:r w:rsidR="00596E00">
        <w:rPr>
          <w:rFonts w:cstheme="minorHAnsi"/>
          <w:bCs/>
          <w:iCs/>
        </w:rPr>
        <w:t xml:space="preserve">roku </w:t>
      </w:r>
      <w:r w:rsidRPr="001D6971">
        <w:rPr>
          <w:rFonts w:cstheme="minorHAnsi"/>
          <w:bCs/>
          <w:iCs/>
        </w:rPr>
        <w:t>2024</w:t>
      </w:r>
      <w:r w:rsidR="00596E00">
        <w:rPr>
          <w:rFonts w:cstheme="minorHAnsi"/>
          <w:bCs/>
          <w:iCs/>
        </w:rPr>
        <w:t xml:space="preserve">) </w:t>
      </w:r>
      <w:r w:rsidRPr="001D6971">
        <w:rPr>
          <w:rFonts w:cstheme="minorHAnsi"/>
          <w:bCs/>
          <w:iCs/>
        </w:rPr>
        <w:t xml:space="preserve">vzniklé z činnosti </w:t>
      </w:r>
      <w:r w:rsidR="000C7A8D">
        <w:rPr>
          <w:rFonts w:cstheme="minorHAnsi"/>
          <w:bCs/>
          <w:iCs/>
        </w:rPr>
        <w:t xml:space="preserve">Společnosti </w:t>
      </w:r>
      <w:r w:rsidRPr="001D6971">
        <w:rPr>
          <w:rFonts w:cstheme="minorHAnsi"/>
          <w:bCs/>
          <w:iCs/>
        </w:rPr>
        <w:t xml:space="preserve">do Dne převodu, budou Společností vyúčtovány </w:t>
      </w:r>
      <w:r w:rsidR="00FC0444">
        <w:rPr>
          <w:rFonts w:cstheme="minorHAnsi"/>
          <w:bCs/>
          <w:iCs/>
        </w:rPr>
        <w:t>do 3 měsíců ode Dne převodu. P</w:t>
      </w:r>
      <w:r w:rsidR="00FC0444" w:rsidRPr="001D6971">
        <w:rPr>
          <w:rFonts w:cstheme="minorHAnsi"/>
          <w:bCs/>
          <w:iCs/>
        </w:rPr>
        <w:t xml:space="preserve">řípadné přeplatky či nedoplatky z těchto závazků jdou ku prospěchu </w:t>
      </w:r>
      <w:r w:rsidR="00FC0444">
        <w:rPr>
          <w:rFonts w:cstheme="minorHAnsi"/>
          <w:bCs/>
          <w:iCs/>
        </w:rPr>
        <w:t xml:space="preserve">či k tíži </w:t>
      </w:r>
      <w:r w:rsidR="00FC0444" w:rsidRPr="001D6971">
        <w:rPr>
          <w:rFonts w:cstheme="minorHAnsi"/>
          <w:bCs/>
          <w:iCs/>
        </w:rPr>
        <w:t xml:space="preserve">Převodce. </w:t>
      </w:r>
    </w:p>
    <w:p w14:paraId="6023BDE5" w14:textId="77777777" w:rsidR="00FC0444" w:rsidRDefault="00FC0444" w:rsidP="00012ADF">
      <w:pPr>
        <w:pStyle w:val="Odstavecseseznamem"/>
        <w:ind w:left="426" w:right="425"/>
        <w:jc w:val="both"/>
        <w:rPr>
          <w:rFonts w:cstheme="minorHAnsi"/>
          <w:bCs/>
          <w:iCs/>
        </w:rPr>
      </w:pPr>
    </w:p>
    <w:p w14:paraId="39E52250" w14:textId="652517EB" w:rsidR="00FC0444" w:rsidRPr="00FC0444" w:rsidRDefault="00FC0444" w:rsidP="00FC0444">
      <w:pPr>
        <w:pStyle w:val="Odstavecseseznamem"/>
        <w:numPr>
          <w:ilvl w:val="0"/>
          <w:numId w:val="4"/>
        </w:numPr>
        <w:ind w:left="426" w:right="425" w:hanging="426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Smluvní strany sjednávají, že pokud se po vyúčtování provedeném dle čl. 3.4. této Smlouvy objeví další závazky a pohledávky vzniklé z činnosti Společnosti do Dne převodu, které strany dosud mezi sebou nevypořádali, provede Společnost jejich vyúčtování </w:t>
      </w:r>
      <w:r w:rsidRPr="001D6971">
        <w:rPr>
          <w:rFonts w:cstheme="minorHAnsi"/>
          <w:bCs/>
          <w:iCs/>
        </w:rPr>
        <w:t xml:space="preserve">bezodkladně </w:t>
      </w:r>
      <w:r>
        <w:rPr>
          <w:rFonts w:cstheme="minorHAnsi"/>
          <w:bCs/>
          <w:iCs/>
        </w:rPr>
        <w:t xml:space="preserve">(nejpozději do 10 dnů) </w:t>
      </w:r>
      <w:r w:rsidRPr="001D6971">
        <w:rPr>
          <w:rFonts w:cstheme="minorHAnsi"/>
          <w:bCs/>
          <w:iCs/>
        </w:rPr>
        <w:t>poté, co k tomu dostane potřebné podklady od třetích subjektů</w:t>
      </w:r>
      <w:r>
        <w:rPr>
          <w:rFonts w:cstheme="minorHAnsi"/>
          <w:bCs/>
          <w:iCs/>
        </w:rPr>
        <w:t>. P</w:t>
      </w:r>
      <w:r w:rsidRPr="001D6971">
        <w:rPr>
          <w:rFonts w:cstheme="minorHAnsi"/>
          <w:bCs/>
          <w:iCs/>
        </w:rPr>
        <w:t xml:space="preserve">řípadné přeplatky či nedoplatky z těchto závazků jdou ku prospěchu </w:t>
      </w:r>
      <w:r>
        <w:rPr>
          <w:rFonts w:cstheme="minorHAnsi"/>
          <w:bCs/>
          <w:iCs/>
        </w:rPr>
        <w:t xml:space="preserve">či k tíži </w:t>
      </w:r>
      <w:r w:rsidRPr="001D6971">
        <w:rPr>
          <w:rFonts w:cstheme="minorHAnsi"/>
          <w:bCs/>
          <w:iCs/>
        </w:rPr>
        <w:t xml:space="preserve">Převodce. </w:t>
      </w:r>
      <w:r w:rsidRPr="00FC0444">
        <w:rPr>
          <w:rFonts w:cstheme="minorHAnsi"/>
          <w:bCs/>
          <w:iCs/>
        </w:rPr>
        <w:t>Pro zamezení pochybností Smluvní strany uvádějí, že se Nabyvatel zejména zavazuje odevzdat Převodci v plné výši jakékoli přeplatky od zdravotních pojišťoven, související s poskytováním zdravotních služeb za období předcházející Dni převodu, pokud vyplynou z ročního vyúčtování odchylně oproti měsíčním zálohám za toto období, a Převodce se zavazuje nahradit Nabyvateli v plné výši jakékoli nedoplatky nebo platby vzniklé v důsledku revizní činnosti zdravotní pojišťovny, pokud vzniknou souvislosti s poskytováním zdravotních služeb za období předcházející Dni převodu.</w:t>
      </w:r>
    </w:p>
    <w:p w14:paraId="27EC7DEF" w14:textId="77777777" w:rsidR="00315AA5" w:rsidRPr="00315AA5" w:rsidRDefault="00315AA5" w:rsidP="00315AA5">
      <w:pPr>
        <w:pStyle w:val="Odstavecseseznamem"/>
        <w:rPr>
          <w:rFonts w:cstheme="minorHAnsi"/>
          <w:bCs/>
          <w:iCs/>
        </w:rPr>
      </w:pPr>
    </w:p>
    <w:p w14:paraId="723C0719" w14:textId="77777777" w:rsidR="00A2005A" w:rsidRPr="00360404" w:rsidRDefault="00A2005A" w:rsidP="00A2005A">
      <w:pPr>
        <w:pStyle w:val="Odstavecseseznamem"/>
        <w:numPr>
          <w:ilvl w:val="0"/>
          <w:numId w:val="8"/>
        </w:numPr>
        <w:ind w:left="426" w:hanging="426"/>
        <w:jc w:val="center"/>
        <w:rPr>
          <w:rFonts w:cstheme="minorHAnsi"/>
          <w:b/>
          <w:iCs/>
        </w:rPr>
      </w:pPr>
      <w:r w:rsidRPr="00360404">
        <w:rPr>
          <w:rFonts w:cstheme="minorHAnsi"/>
          <w:b/>
          <w:iCs/>
        </w:rPr>
        <w:t>Prohlášení převodc</w:t>
      </w:r>
      <w:r w:rsidR="00E738E9">
        <w:rPr>
          <w:rFonts w:cstheme="minorHAnsi"/>
          <w:b/>
          <w:iCs/>
        </w:rPr>
        <w:t>e</w:t>
      </w:r>
    </w:p>
    <w:p w14:paraId="03E9426C" w14:textId="77777777" w:rsidR="00A2005A" w:rsidRPr="00360404" w:rsidRDefault="00A2005A" w:rsidP="00A2005A">
      <w:pPr>
        <w:pStyle w:val="Odstavecseseznamem"/>
        <w:ind w:left="1080"/>
        <w:rPr>
          <w:rFonts w:cstheme="minorHAnsi"/>
          <w:b/>
          <w:iCs/>
        </w:rPr>
      </w:pPr>
    </w:p>
    <w:p w14:paraId="26A5D1EC" w14:textId="77777777" w:rsidR="00A2005A" w:rsidRPr="00146535" w:rsidRDefault="00E738E9" w:rsidP="00A2005A">
      <w:pPr>
        <w:pStyle w:val="Odstavecseseznamem"/>
        <w:numPr>
          <w:ilvl w:val="1"/>
          <w:numId w:val="10"/>
        </w:numPr>
        <w:ind w:left="426" w:right="425" w:hanging="426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Převodce</w:t>
      </w:r>
      <w:r w:rsidR="00A2005A" w:rsidRPr="00146535">
        <w:rPr>
          <w:rFonts w:cstheme="minorHAnsi"/>
          <w:iCs/>
        </w:rPr>
        <w:t xml:space="preserve"> prohlašuje, že:</w:t>
      </w:r>
    </w:p>
    <w:p w14:paraId="4273166A" w14:textId="77777777" w:rsidR="00A2005A" w:rsidRPr="00360404" w:rsidRDefault="00A2005A" w:rsidP="00A2005A">
      <w:pPr>
        <w:pStyle w:val="Odstavecseseznamem"/>
        <w:ind w:left="851" w:right="425"/>
        <w:jc w:val="both"/>
        <w:rPr>
          <w:rFonts w:cstheme="minorHAnsi"/>
          <w:b/>
          <w:iCs/>
        </w:rPr>
      </w:pPr>
    </w:p>
    <w:p w14:paraId="542FA584" w14:textId="77777777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 w:rsidRPr="00360404">
        <w:rPr>
          <w:rFonts w:cstheme="minorHAnsi"/>
          <w:bCs/>
          <w:iCs/>
        </w:rPr>
        <w:t>má plné a ničím neomezené právo uzavřít tuto Smlouvu;</w:t>
      </w:r>
    </w:p>
    <w:p w14:paraId="42ED9DF5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Cs/>
          <w:iCs/>
        </w:rPr>
      </w:pPr>
    </w:p>
    <w:p w14:paraId="30D19426" w14:textId="698268E3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 w:rsidRPr="00360404">
        <w:rPr>
          <w:rFonts w:cstheme="minorHAnsi"/>
          <w:bCs/>
          <w:iCs/>
        </w:rPr>
        <w:t>je schopen plnit své povinnosti dle této Smlouvy v souladu s jejími ustanoveními</w:t>
      </w:r>
      <w:r w:rsidRPr="00820A6A">
        <w:rPr>
          <w:rFonts w:cstheme="minorHAnsi"/>
          <w:bCs/>
          <w:iCs/>
        </w:rPr>
        <w:t xml:space="preserve">, </w:t>
      </w:r>
      <w:r w:rsidR="00EA7D8C" w:rsidRPr="00820A6A">
        <w:rPr>
          <w:rFonts w:cstheme="minorHAnsi"/>
          <w:bCs/>
          <w:iCs/>
        </w:rPr>
        <w:t xml:space="preserve">si </w:t>
      </w:r>
      <w:r w:rsidR="000C7A8D" w:rsidRPr="00012ADF">
        <w:rPr>
          <w:rFonts w:cstheme="minorHAnsi"/>
          <w:bCs/>
          <w:iCs/>
        </w:rPr>
        <w:t>ne</w:t>
      </w:r>
      <w:r w:rsidR="00A26950" w:rsidRPr="00012ADF">
        <w:rPr>
          <w:rFonts w:cstheme="minorHAnsi"/>
          <w:bCs/>
          <w:iCs/>
        </w:rPr>
        <w:t>ní</w:t>
      </w:r>
      <w:r w:rsidR="000C7A8D" w:rsidRPr="00012ADF">
        <w:rPr>
          <w:rFonts w:cstheme="minorHAnsi"/>
          <w:bCs/>
          <w:iCs/>
        </w:rPr>
        <w:t xml:space="preserve"> </w:t>
      </w:r>
      <w:r w:rsidR="00EA7D8C" w:rsidRPr="00820A6A">
        <w:rPr>
          <w:rFonts w:cstheme="minorHAnsi"/>
          <w:bCs/>
          <w:iCs/>
        </w:rPr>
        <w:t>vědom</w:t>
      </w:r>
      <w:r w:rsidR="000C7A8D" w:rsidRPr="00012ADF">
        <w:rPr>
          <w:rFonts w:cstheme="minorHAnsi"/>
          <w:bCs/>
          <w:iCs/>
        </w:rPr>
        <w:t>, nebo ne</w:t>
      </w:r>
      <w:r w:rsidR="00A26950" w:rsidRPr="00012ADF">
        <w:rPr>
          <w:rFonts w:cstheme="minorHAnsi"/>
          <w:bCs/>
          <w:iCs/>
        </w:rPr>
        <w:t>mohl</w:t>
      </w:r>
      <w:r w:rsidR="000C7A8D" w:rsidRPr="00012ADF">
        <w:rPr>
          <w:rFonts w:cstheme="minorHAnsi"/>
          <w:bCs/>
          <w:iCs/>
        </w:rPr>
        <w:t xml:space="preserve"> být vědom</w:t>
      </w:r>
      <w:r w:rsidR="00EA7D8C" w:rsidRPr="00820A6A">
        <w:rPr>
          <w:rFonts w:cstheme="minorHAnsi"/>
          <w:bCs/>
          <w:iCs/>
        </w:rPr>
        <w:t xml:space="preserve"> toho, že by byl</w:t>
      </w:r>
      <w:r w:rsidRPr="00820A6A">
        <w:rPr>
          <w:rFonts w:cstheme="minorHAnsi"/>
          <w:bCs/>
          <w:iCs/>
        </w:rPr>
        <w:t xml:space="preserve"> v úpadku, hrozícím úpadk</w:t>
      </w:r>
      <w:r w:rsidRPr="00360404">
        <w:rPr>
          <w:rFonts w:cstheme="minorHAnsi"/>
          <w:bCs/>
          <w:iCs/>
        </w:rPr>
        <w:t xml:space="preserve">u ani </w:t>
      </w:r>
      <w:r w:rsidR="00EA7D8C">
        <w:rPr>
          <w:rFonts w:cstheme="minorHAnsi"/>
          <w:bCs/>
          <w:iCs/>
        </w:rPr>
        <w:t xml:space="preserve">že by </w:t>
      </w:r>
      <w:r w:rsidRPr="00360404">
        <w:rPr>
          <w:rFonts w:cstheme="minorHAnsi"/>
          <w:bCs/>
          <w:iCs/>
        </w:rPr>
        <w:t xml:space="preserve">proti němu </w:t>
      </w:r>
      <w:r w:rsidR="00EA7D8C">
        <w:rPr>
          <w:rFonts w:cstheme="minorHAnsi"/>
          <w:bCs/>
          <w:iCs/>
        </w:rPr>
        <w:t>bylo</w:t>
      </w:r>
      <w:r w:rsidR="00EA7D8C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vedeno insolvenční řízení či exekuční řízení </w:t>
      </w:r>
      <w:r w:rsidR="00EA7D8C">
        <w:rPr>
          <w:rFonts w:cstheme="minorHAnsi"/>
          <w:bCs/>
          <w:iCs/>
        </w:rPr>
        <w:t>nebo že nastala</w:t>
      </w:r>
      <w:r w:rsidRPr="00360404">
        <w:rPr>
          <w:rFonts w:cstheme="minorHAnsi"/>
          <w:bCs/>
          <w:iCs/>
        </w:rPr>
        <w:t xml:space="preserve"> </w:t>
      </w:r>
      <w:r w:rsidR="00EA7D8C">
        <w:rPr>
          <w:rFonts w:cstheme="minorHAnsi"/>
          <w:bCs/>
          <w:iCs/>
        </w:rPr>
        <w:t>jakákoli</w:t>
      </w:r>
      <w:r w:rsidR="00596E00">
        <w:rPr>
          <w:rFonts w:cstheme="minorHAnsi"/>
          <w:bCs/>
          <w:iCs/>
        </w:rPr>
        <w:t xml:space="preserve"> jiná</w:t>
      </w:r>
      <w:r w:rsidR="00EA7D8C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okolnost, která by měla nebo mohla mít za následek neplatnost či neúčinnost právního jednání;</w:t>
      </w:r>
    </w:p>
    <w:p w14:paraId="732D4EF7" w14:textId="77777777" w:rsidR="00A2005A" w:rsidRPr="00360404" w:rsidRDefault="00A2005A" w:rsidP="00A2005A">
      <w:pPr>
        <w:pStyle w:val="Odstavecseseznamem"/>
        <w:rPr>
          <w:rFonts w:cstheme="minorHAnsi"/>
          <w:bCs/>
          <w:iCs/>
        </w:rPr>
      </w:pPr>
    </w:p>
    <w:p w14:paraId="2C3B5FC7" w14:textId="05BBA03F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 w:rsidRPr="00360404">
        <w:rPr>
          <w:rFonts w:cstheme="minorHAnsi"/>
          <w:bCs/>
          <w:iCs/>
        </w:rPr>
        <w:t>veškeré informace a podklady týkající se Společnosti</w:t>
      </w:r>
      <w:r w:rsidRPr="00F53D9B">
        <w:rPr>
          <w:rFonts w:cstheme="minorHAnsi"/>
          <w:bCs/>
          <w:iCs/>
        </w:rPr>
        <w:t>, které Převodc</w:t>
      </w:r>
      <w:r w:rsidR="00E738E9" w:rsidRPr="00F53D9B">
        <w:rPr>
          <w:rFonts w:cstheme="minorHAnsi"/>
          <w:bCs/>
          <w:iCs/>
        </w:rPr>
        <w:t>e</w:t>
      </w:r>
      <w:r w:rsidRPr="00F53D9B">
        <w:rPr>
          <w:rFonts w:cstheme="minorHAnsi"/>
          <w:bCs/>
          <w:iCs/>
        </w:rPr>
        <w:t xml:space="preserve"> Nabyvateli poskytl do </w:t>
      </w:r>
      <w:r w:rsidR="00412D38">
        <w:rPr>
          <w:rFonts w:cstheme="minorHAnsi"/>
          <w:bCs/>
          <w:iCs/>
        </w:rPr>
        <w:t>Dne převodu</w:t>
      </w:r>
      <w:r w:rsidR="00BD6542" w:rsidRPr="00F53D9B">
        <w:rPr>
          <w:rFonts w:cstheme="minorHAnsi"/>
          <w:bCs/>
          <w:iCs/>
        </w:rPr>
        <w:t xml:space="preserve"> </w:t>
      </w:r>
      <w:r w:rsidRPr="00F53D9B">
        <w:rPr>
          <w:rFonts w:cstheme="minorHAnsi"/>
          <w:bCs/>
          <w:iCs/>
        </w:rPr>
        <w:t>(včetně) a jejichž seznam tvoří Přílohu č. 1 této Smlouvy</w:t>
      </w:r>
      <w:r>
        <w:rPr>
          <w:rFonts w:cstheme="minorHAnsi"/>
          <w:bCs/>
          <w:iCs/>
        </w:rPr>
        <w:t>,</w:t>
      </w:r>
      <w:r w:rsidRPr="00360404">
        <w:rPr>
          <w:rFonts w:cstheme="minorHAnsi"/>
          <w:bCs/>
          <w:iCs/>
        </w:rPr>
        <w:t xml:space="preserve"> jsou pravdivé, úplné a nejsou zavádějící a představují veškeré informace</w:t>
      </w:r>
      <w:r w:rsidR="00EA7D8C">
        <w:rPr>
          <w:rFonts w:cstheme="minorHAnsi"/>
          <w:bCs/>
          <w:iCs/>
        </w:rPr>
        <w:t xml:space="preserve"> významné pro účely této Smlouvy</w:t>
      </w:r>
      <w:r w:rsidRPr="00360404">
        <w:rPr>
          <w:rFonts w:cstheme="minorHAnsi"/>
          <w:bCs/>
          <w:iCs/>
        </w:rPr>
        <w:t xml:space="preserve"> týkající se Společnosti, které měl Převodc</w:t>
      </w:r>
      <w:r w:rsidR="00E738E9">
        <w:rPr>
          <w:rFonts w:cstheme="minorHAnsi"/>
          <w:bCs/>
          <w:iCs/>
        </w:rPr>
        <w:t>e</w:t>
      </w:r>
      <w:r w:rsidRPr="00360404">
        <w:rPr>
          <w:rFonts w:cstheme="minorHAnsi"/>
          <w:bCs/>
          <w:iCs/>
        </w:rPr>
        <w:t xml:space="preserve"> k tomuto dat</w:t>
      </w:r>
      <w:r w:rsidR="00E738E9">
        <w:rPr>
          <w:rFonts w:cstheme="minorHAnsi"/>
          <w:bCs/>
          <w:iCs/>
        </w:rPr>
        <w:t>u k dispozici, přičemž Převodce</w:t>
      </w:r>
      <w:r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nezamlčel Nabyvateli žádné významné skutečnosti, </w:t>
      </w:r>
      <w:r w:rsidR="00EA7D8C" w:rsidRPr="00360404">
        <w:rPr>
          <w:rFonts w:cstheme="minorHAnsi"/>
          <w:bCs/>
          <w:iCs/>
        </w:rPr>
        <w:t>které se</w:t>
      </w:r>
      <w:r w:rsidR="00EA7D8C">
        <w:rPr>
          <w:rFonts w:cstheme="minorHAnsi"/>
          <w:bCs/>
          <w:iCs/>
        </w:rPr>
        <w:t xml:space="preserve"> týkají</w:t>
      </w:r>
      <w:r w:rsidR="00EA7D8C" w:rsidRPr="00360404">
        <w:rPr>
          <w:rFonts w:cstheme="minorHAnsi"/>
          <w:bCs/>
          <w:iCs/>
        </w:rPr>
        <w:t xml:space="preserve"> Společnosti </w:t>
      </w:r>
      <w:r w:rsidR="00EA7D8C">
        <w:rPr>
          <w:rFonts w:cstheme="minorHAnsi"/>
          <w:bCs/>
          <w:iCs/>
        </w:rPr>
        <w:t>nebo jeho práv a povinností ke Společnosti</w:t>
      </w:r>
      <w:r w:rsidRPr="00360404">
        <w:rPr>
          <w:rFonts w:cstheme="minorHAnsi"/>
          <w:bCs/>
          <w:iCs/>
        </w:rPr>
        <w:t>;</w:t>
      </w:r>
    </w:p>
    <w:p w14:paraId="7CD62D7B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3F9BBFDE" w14:textId="4EC7E95C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>Podíl</w:t>
      </w:r>
      <w:r>
        <w:rPr>
          <w:rFonts w:cstheme="minorHAnsi"/>
          <w:iCs/>
        </w:rPr>
        <w:t xml:space="preserve"> není</w:t>
      </w:r>
      <w:r w:rsidRPr="00360404">
        <w:rPr>
          <w:rFonts w:cstheme="minorHAnsi"/>
          <w:iCs/>
        </w:rPr>
        <w:t xml:space="preserve"> zatížen žádnými právy třetích osob, zejména právem zástavním nebo právem předkupním, </w:t>
      </w:r>
      <w:r>
        <w:rPr>
          <w:rFonts w:cstheme="minorHAnsi"/>
          <w:iCs/>
        </w:rPr>
        <w:t xml:space="preserve">a </w:t>
      </w:r>
      <w:r w:rsidRPr="00360404">
        <w:rPr>
          <w:rFonts w:cstheme="minorHAnsi"/>
          <w:iCs/>
        </w:rPr>
        <w:t xml:space="preserve">vůči Společnosti </w:t>
      </w:r>
      <w:r>
        <w:rPr>
          <w:rFonts w:cstheme="minorHAnsi"/>
          <w:iCs/>
        </w:rPr>
        <w:t xml:space="preserve">není </w:t>
      </w:r>
      <w:r w:rsidRPr="00360404">
        <w:rPr>
          <w:rFonts w:cstheme="minorHAnsi"/>
          <w:iCs/>
        </w:rPr>
        <w:t xml:space="preserve">vedeno exekuční ani insolvenční řízení a </w:t>
      </w:r>
      <w:r w:rsidR="00E738E9">
        <w:rPr>
          <w:rFonts w:cstheme="minorHAnsi"/>
          <w:iCs/>
        </w:rPr>
        <w:t xml:space="preserve">Převodci </w:t>
      </w:r>
      <w:r w:rsidRPr="00360404">
        <w:rPr>
          <w:rFonts w:cstheme="minorHAnsi"/>
          <w:iCs/>
        </w:rPr>
        <w:t>nejsou známy žádné dluhy Společnosti ani jiné vady Podílu</w:t>
      </w:r>
      <w:r w:rsidR="00EA7D8C" w:rsidRPr="00EA7D8C">
        <w:rPr>
          <w:rFonts w:cstheme="minorHAnsi"/>
          <w:iCs/>
        </w:rPr>
        <w:t xml:space="preserve"> </w:t>
      </w:r>
      <w:r w:rsidR="00EA7D8C">
        <w:rPr>
          <w:rFonts w:cstheme="minorHAnsi"/>
          <w:iCs/>
        </w:rPr>
        <w:t>s výjimkou dluhů Společnosti a případných vad Podílu, o kterých Převodce informoval Nabyvatele a jsou uvedeny v seznamu tvořícím Přílohu č.1</w:t>
      </w:r>
      <w:r w:rsidRPr="00360404">
        <w:rPr>
          <w:rFonts w:cstheme="minorHAnsi"/>
          <w:iCs/>
        </w:rPr>
        <w:t>;</w:t>
      </w:r>
    </w:p>
    <w:p w14:paraId="551C8EF9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43A5D2CE" w14:textId="67C92D13" w:rsidR="00A2005A" w:rsidRDefault="005D3668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AE5F74">
        <w:rPr>
          <w:rFonts w:cstheme="minorHAnsi"/>
          <w:iCs/>
        </w:rPr>
        <w:t>Podíl není součástí</w:t>
      </w:r>
      <w:r w:rsidR="00983F74" w:rsidRPr="00AE5F74">
        <w:rPr>
          <w:rFonts w:cstheme="minorHAnsi"/>
          <w:iCs/>
        </w:rPr>
        <w:t xml:space="preserve"> </w:t>
      </w:r>
      <w:r w:rsidRPr="00AE5F74">
        <w:rPr>
          <w:rFonts w:cstheme="minorHAnsi"/>
          <w:iCs/>
        </w:rPr>
        <w:t xml:space="preserve">společného </w:t>
      </w:r>
      <w:r w:rsidR="00983F74" w:rsidRPr="00AE5F74">
        <w:rPr>
          <w:rFonts w:cstheme="minorHAnsi"/>
          <w:iCs/>
        </w:rPr>
        <w:t>jmění manželů</w:t>
      </w:r>
      <w:r w:rsidRPr="00AE5F74">
        <w:rPr>
          <w:rFonts w:cstheme="minorHAnsi"/>
          <w:iCs/>
        </w:rPr>
        <w:t xml:space="preserve"> Převodce</w:t>
      </w:r>
      <w:r w:rsidR="00983F74" w:rsidRPr="00AE5F74">
        <w:rPr>
          <w:rFonts w:cstheme="minorHAnsi"/>
          <w:iCs/>
        </w:rPr>
        <w:t>;</w:t>
      </w:r>
    </w:p>
    <w:p w14:paraId="12A94AA7" w14:textId="77777777" w:rsidR="00BD6542" w:rsidRPr="00AE5F74" w:rsidRDefault="00BD6542" w:rsidP="00AE5F74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4B94F556" w14:textId="33501A0F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 xml:space="preserve">ke </w:t>
      </w:r>
      <w:r w:rsidR="00412D38">
        <w:rPr>
          <w:rFonts w:cstheme="minorHAnsi"/>
          <w:iCs/>
        </w:rPr>
        <w:t>D</w:t>
      </w:r>
      <w:r w:rsidR="00412D38" w:rsidRPr="00360404">
        <w:rPr>
          <w:rFonts w:cstheme="minorHAnsi"/>
          <w:iCs/>
        </w:rPr>
        <w:t xml:space="preserve">ni </w:t>
      </w:r>
      <w:r w:rsidR="00412D38">
        <w:rPr>
          <w:rFonts w:cstheme="minorHAnsi"/>
          <w:bCs/>
          <w:iCs/>
        </w:rPr>
        <w:t>převodu</w:t>
      </w:r>
      <w:r w:rsidR="00412D38" w:rsidRPr="00360404">
        <w:rPr>
          <w:rFonts w:cstheme="minorHAnsi"/>
          <w:iCs/>
        </w:rPr>
        <w:t xml:space="preserve"> </w:t>
      </w:r>
      <w:r w:rsidRPr="00360404">
        <w:rPr>
          <w:rFonts w:cstheme="minorHAnsi"/>
          <w:iCs/>
        </w:rPr>
        <w:t>(včetně) nebyla Společnost smluvní stranou žádné smlouvy o tichém společenství;</w:t>
      </w:r>
    </w:p>
    <w:p w14:paraId="2C94CF8A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6FE5BE47" w14:textId="44751B91" w:rsidR="008A07D7" w:rsidRPr="008A07D7" w:rsidRDefault="00A2005A" w:rsidP="008A07D7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 w:rsidRPr="00360404">
        <w:rPr>
          <w:rFonts w:cstheme="minorHAnsi"/>
          <w:bCs/>
          <w:iCs/>
        </w:rPr>
        <w:t>ohledně Podílu</w:t>
      </w:r>
      <w:r w:rsidR="00E738E9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neučinil žádné právní jednání, které by jakýmkoliv způsobem </w:t>
      </w:r>
      <w:r w:rsidRPr="008A07D7">
        <w:rPr>
          <w:rFonts w:cstheme="minorHAnsi"/>
          <w:bCs/>
          <w:iCs/>
        </w:rPr>
        <w:t xml:space="preserve">negativně ovlivnilo </w:t>
      </w:r>
      <w:r w:rsidR="00EA7D8C">
        <w:rPr>
          <w:rFonts w:cstheme="minorHAnsi"/>
          <w:bCs/>
          <w:iCs/>
        </w:rPr>
        <w:t>nabytí podílu</w:t>
      </w:r>
      <w:r w:rsidRPr="008A07D7">
        <w:rPr>
          <w:rFonts w:cstheme="minorHAnsi"/>
          <w:bCs/>
          <w:iCs/>
        </w:rPr>
        <w:t xml:space="preserve"> Nabyvatele</w:t>
      </w:r>
      <w:r w:rsidR="00EA7D8C">
        <w:rPr>
          <w:rFonts w:cstheme="minorHAnsi"/>
          <w:bCs/>
          <w:iCs/>
        </w:rPr>
        <w:t>m</w:t>
      </w:r>
      <w:r w:rsidRPr="008A07D7">
        <w:rPr>
          <w:rFonts w:cstheme="minorHAnsi"/>
          <w:bCs/>
          <w:iCs/>
        </w:rPr>
        <w:t xml:space="preserve"> dle této Smlouvy, zejména že neuzavřel žádnou smlouvu o smlouvě budoucí ve věci možného nakládání s Podíl</w:t>
      </w:r>
      <w:r w:rsidR="00E738E9" w:rsidRPr="008A07D7">
        <w:rPr>
          <w:rFonts w:cstheme="minorHAnsi"/>
          <w:bCs/>
          <w:iCs/>
        </w:rPr>
        <w:t>em</w:t>
      </w:r>
      <w:r w:rsidRPr="008A07D7">
        <w:rPr>
          <w:rFonts w:cstheme="minorHAnsi"/>
          <w:bCs/>
          <w:iCs/>
        </w:rPr>
        <w:t>;</w:t>
      </w:r>
      <w:r w:rsidRPr="008A07D7">
        <w:rPr>
          <w:rFonts w:cstheme="minorHAnsi"/>
          <w:bCs/>
          <w:iCs/>
        </w:rPr>
        <w:tab/>
      </w:r>
    </w:p>
    <w:p w14:paraId="5BC192B1" w14:textId="77777777" w:rsidR="008A07D7" w:rsidRPr="008A07D7" w:rsidRDefault="008A07D7" w:rsidP="008A07D7">
      <w:pPr>
        <w:pStyle w:val="Odstavecseseznamem"/>
        <w:rPr>
          <w:rFonts w:cstheme="minorHAnsi"/>
          <w:bCs/>
          <w:iCs/>
        </w:rPr>
      </w:pPr>
    </w:p>
    <w:p w14:paraId="4B26B618" w14:textId="01AD2F3B" w:rsidR="00056238" w:rsidRPr="00AE5F74" w:rsidRDefault="009B4FC0" w:rsidP="00056238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 w:rsidRPr="008A07D7">
        <w:rPr>
          <w:rFonts w:cstheme="minorHAnsi"/>
          <w:bCs/>
          <w:iCs/>
        </w:rPr>
        <w:t xml:space="preserve">Společnost do </w:t>
      </w:r>
      <w:r w:rsidR="00412D38">
        <w:rPr>
          <w:rFonts w:cstheme="minorHAnsi"/>
          <w:bCs/>
          <w:iCs/>
        </w:rPr>
        <w:t>D</w:t>
      </w:r>
      <w:r w:rsidR="00412D38" w:rsidRPr="008A07D7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8A07D7">
        <w:rPr>
          <w:rFonts w:cstheme="minorHAnsi"/>
          <w:bCs/>
          <w:iCs/>
        </w:rPr>
        <w:t xml:space="preserve"> </w:t>
      </w:r>
      <w:r w:rsidRPr="008A07D7">
        <w:rPr>
          <w:rFonts w:cstheme="minorHAnsi"/>
          <w:bCs/>
          <w:iCs/>
        </w:rPr>
        <w:t>(včetně) nebyla smluvní stranou žádné platné a účinné smlouvy, zejména smlouvy nájemní, leasingové, dodavatelské, zprostředkovatelské, úvěrové a pojistné</w:t>
      </w:r>
      <w:r w:rsidR="00056238">
        <w:rPr>
          <w:rFonts w:cstheme="minorHAnsi"/>
          <w:bCs/>
          <w:iCs/>
        </w:rPr>
        <w:t>,</w:t>
      </w:r>
      <w:r w:rsidRPr="008A07D7">
        <w:rPr>
          <w:rFonts w:cstheme="minorHAnsi"/>
          <w:bCs/>
          <w:iCs/>
        </w:rPr>
        <w:t xml:space="preserve"> </w:t>
      </w:r>
      <w:r w:rsidR="00056238">
        <w:rPr>
          <w:rFonts w:cstheme="minorHAnsi"/>
          <w:iCs/>
        </w:rPr>
        <w:t>s výjimkou smluv, o kterých Převodce informoval Nabyvatele a jsou uvedeny v seznamu tvořícím Přílohu č.1</w:t>
      </w:r>
    </w:p>
    <w:p w14:paraId="272484DF" w14:textId="77777777" w:rsidR="00056238" w:rsidRPr="00AE5F74" w:rsidRDefault="00056238" w:rsidP="00AE5F74">
      <w:pPr>
        <w:pStyle w:val="Odstavecseseznamem"/>
        <w:rPr>
          <w:rFonts w:cstheme="minorHAnsi"/>
          <w:bCs/>
          <w:iCs/>
        </w:rPr>
      </w:pPr>
    </w:p>
    <w:p w14:paraId="796AA3A1" w14:textId="1256A4DC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 xml:space="preserve">převodu </w:t>
      </w:r>
      <w:r>
        <w:rPr>
          <w:rFonts w:cstheme="minorHAnsi"/>
          <w:bCs/>
          <w:iCs/>
        </w:rPr>
        <w:t>(včetně</w:t>
      </w:r>
      <w:r w:rsidR="00412D38">
        <w:rPr>
          <w:rFonts w:cstheme="minorHAnsi"/>
          <w:bCs/>
          <w:iCs/>
        </w:rPr>
        <w:t>)</w:t>
      </w:r>
      <w:r w:rsidRPr="00360404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není </w:t>
      </w:r>
      <w:r w:rsidRPr="00360404">
        <w:rPr>
          <w:rFonts w:cstheme="minorHAnsi"/>
          <w:bCs/>
          <w:iCs/>
        </w:rPr>
        <w:t>v jakémkoliv smluvním vztahu s účetními, daňovými nebo právními poradci a</w:t>
      </w:r>
      <w:r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žádná osoba nebyla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0F73DB">
        <w:rPr>
          <w:rFonts w:cstheme="minorHAnsi"/>
          <w:bCs/>
          <w:iCs/>
        </w:rPr>
        <w:t xml:space="preserve"> </w:t>
      </w:r>
      <w:r w:rsidRPr="000F73DB">
        <w:rPr>
          <w:rFonts w:cstheme="minorHAnsi"/>
          <w:bCs/>
          <w:iCs/>
        </w:rPr>
        <w:t>(</w:t>
      </w:r>
      <w:r w:rsidRPr="00360404">
        <w:rPr>
          <w:rFonts w:cstheme="minorHAnsi"/>
          <w:bCs/>
          <w:iCs/>
        </w:rPr>
        <w:t>včetně) oprávněna za Společnost jednat; tím není dotčeno oprávnění jednatele, případně jednatelů Společnosti</w:t>
      </w:r>
      <w:r w:rsidR="00056238" w:rsidRPr="00056238">
        <w:rPr>
          <w:rFonts w:cstheme="minorHAnsi"/>
          <w:bCs/>
          <w:iCs/>
        </w:rPr>
        <w:t xml:space="preserve"> </w:t>
      </w:r>
      <w:r w:rsidR="00056238">
        <w:rPr>
          <w:rFonts w:cstheme="minorHAnsi"/>
          <w:bCs/>
          <w:iCs/>
        </w:rPr>
        <w:t>a dalších osob, jejichž oprávnění jednat za Společnost vyplývá přímo ze zákona</w:t>
      </w:r>
      <w:r w:rsidRPr="00360404">
        <w:rPr>
          <w:rFonts w:cstheme="minorHAnsi"/>
          <w:bCs/>
          <w:iCs/>
        </w:rPr>
        <w:t xml:space="preserve">; Převodce výslovně prohlašuje, že nevystavil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 xml:space="preserve">převodu </w:t>
      </w:r>
      <w:r w:rsidRPr="00360404">
        <w:rPr>
          <w:rFonts w:cstheme="minorHAnsi"/>
          <w:bCs/>
          <w:iCs/>
        </w:rPr>
        <w:t>(včetně) žádnou plnou moc pro své zastupování;</w:t>
      </w:r>
    </w:p>
    <w:p w14:paraId="0B144051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472FA93E" w14:textId="791FA0C9" w:rsidR="00056238" w:rsidRPr="00AE5F74" w:rsidRDefault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(včetně) nebyla smluvní stranou žádné smlouvy uzavřené dle zákona č. 262/2006 Sb., zákoník práce, ani neměla žádné jiné pracovněprávní závazky</w:t>
      </w:r>
      <w:r w:rsidR="00056238">
        <w:rPr>
          <w:rFonts w:cstheme="minorHAnsi"/>
          <w:bCs/>
          <w:iCs/>
        </w:rPr>
        <w:t>,</w:t>
      </w:r>
      <w:r w:rsidR="00056238" w:rsidRPr="00056238">
        <w:rPr>
          <w:rFonts w:cstheme="minorHAnsi"/>
          <w:iCs/>
        </w:rPr>
        <w:t xml:space="preserve"> </w:t>
      </w:r>
      <w:r w:rsidR="00056238">
        <w:rPr>
          <w:rFonts w:cstheme="minorHAnsi"/>
          <w:iCs/>
        </w:rPr>
        <w:t>s výjimkou smluv, o kterých Převodce informoval Nabyvatele a jsou uvedeny v seznamu tvořícím Přílohu č.1.</w:t>
      </w:r>
    </w:p>
    <w:p w14:paraId="22F41B66" w14:textId="6083C1BE" w:rsidR="00A2005A" w:rsidRPr="00360404" w:rsidRDefault="00A2005A" w:rsidP="00AE5F74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09CBE5D5" w14:textId="4B325237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</w:t>
      </w:r>
      <w:r>
        <w:rPr>
          <w:rFonts w:cstheme="minorHAnsi"/>
          <w:bCs/>
          <w:iCs/>
        </w:rPr>
        <w:t xml:space="preserve">ke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>n</w:t>
      </w:r>
      <w:r w:rsidR="00412D38">
        <w:rPr>
          <w:rFonts w:cstheme="minorHAnsi"/>
          <w:bCs/>
          <w:iCs/>
        </w:rPr>
        <w:t>i převodu</w:t>
      </w:r>
      <w:r w:rsidR="00412D38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(včetně) </w:t>
      </w:r>
      <w:r>
        <w:rPr>
          <w:rFonts w:cstheme="minorHAnsi"/>
          <w:bCs/>
          <w:iCs/>
        </w:rPr>
        <w:t xml:space="preserve">disponuje platným </w:t>
      </w:r>
      <w:r w:rsidRPr="00360404">
        <w:rPr>
          <w:rFonts w:cstheme="minorHAnsi"/>
          <w:bCs/>
          <w:iCs/>
        </w:rPr>
        <w:t>oprávnění</w:t>
      </w:r>
      <w:r>
        <w:rPr>
          <w:rFonts w:cstheme="minorHAnsi"/>
          <w:bCs/>
          <w:iCs/>
        </w:rPr>
        <w:t>m k poskytování zdravotních služeb dle ust. § 15 a násl. zákona č. 372/2011 Sb., o zdravotních službách a podmínkách jejich poskytování,</w:t>
      </w:r>
      <w:r w:rsidRPr="00360404">
        <w:rPr>
          <w:rFonts w:cstheme="minorHAnsi"/>
          <w:bCs/>
          <w:iCs/>
        </w:rPr>
        <w:t xml:space="preserve"> potřebné k výkonu své činnosti</w:t>
      </w:r>
      <w:r>
        <w:rPr>
          <w:rFonts w:cstheme="minorHAnsi"/>
          <w:bCs/>
          <w:iCs/>
        </w:rPr>
        <w:t xml:space="preserve">. Oprávnění dle předchozí věty je uděleno v rozsahu </w:t>
      </w:r>
      <w:r w:rsidR="008A07D7">
        <w:rPr>
          <w:rFonts w:cstheme="minorHAnsi"/>
          <w:bCs/>
          <w:iCs/>
        </w:rPr>
        <w:t xml:space="preserve">ambulantní formy péče, obor </w:t>
      </w:r>
      <w:r w:rsidR="00B354E1">
        <w:rPr>
          <w:rFonts w:cstheme="minorHAnsi"/>
          <w:bCs/>
          <w:iCs/>
        </w:rPr>
        <w:t>klinická onkologie.</w:t>
      </w:r>
    </w:p>
    <w:p w14:paraId="6E3CE4AF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311DF247" w14:textId="1CD986FC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>mu nejsou známy žádné informace o tom, že by existoval jakýkoliv nárok třetí osoby vůči Společnosti, zejména nárok na náhradu újmy</w:t>
      </w:r>
      <w:r w:rsidR="00056238" w:rsidRPr="00056238">
        <w:rPr>
          <w:rFonts w:cstheme="minorHAnsi"/>
          <w:bCs/>
          <w:iCs/>
        </w:rPr>
        <w:t xml:space="preserve"> </w:t>
      </w:r>
      <w:r w:rsidR="00056238">
        <w:rPr>
          <w:rFonts w:cstheme="minorHAnsi"/>
          <w:bCs/>
          <w:iCs/>
        </w:rPr>
        <w:t>s výjimkou nároků,</w:t>
      </w:r>
      <w:r w:rsidR="00056238" w:rsidRPr="008A2BC9">
        <w:rPr>
          <w:rFonts w:cstheme="minorHAnsi"/>
          <w:iCs/>
        </w:rPr>
        <w:t xml:space="preserve"> </w:t>
      </w:r>
      <w:r w:rsidR="00056238">
        <w:rPr>
          <w:rFonts w:cstheme="minorHAnsi"/>
          <w:iCs/>
        </w:rPr>
        <w:t>o kterých Převodce informoval Nabyvatele a vyplývají ze skutečností uvedených v seznamu tvořícím Přílohu č.1</w:t>
      </w:r>
      <w:r w:rsidRPr="00360404">
        <w:rPr>
          <w:rFonts w:cstheme="minorHAnsi"/>
          <w:bCs/>
          <w:iCs/>
        </w:rPr>
        <w:t xml:space="preserve">; </w:t>
      </w:r>
    </w:p>
    <w:p w14:paraId="64E46C6D" w14:textId="77777777" w:rsidR="00A2005A" w:rsidRPr="00360404" w:rsidRDefault="00A2005A" w:rsidP="00A2005A">
      <w:pPr>
        <w:pStyle w:val="Odstavecseseznamem"/>
        <w:rPr>
          <w:rFonts w:cstheme="minorHAnsi"/>
          <w:bCs/>
          <w:iCs/>
        </w:rPr>
      </w:pPr>
    </w:p>
    <w:p w14:paraId="2A207B40" w14:textId="2FFD330F" w:rsidR="00A2005A" w:rsidRPr="00360404" w:rsidRDefault="000C7A8D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>
        <w:rPr>
          <w:rFonts w:cstheme="minorHAnsi"/>
          <w:bCs/>
          <w:iCs/>
        </w:rPr>
        <w:t>Převodce si není, nebo ne</w:t>
      </w:r>
      <w:r w:rsidR="00A26950">
        <w:rPr>
          <w:rFonts w:cstheme="minorHAnsi"/>
          <w:bCs/>
          <w:iCs/>
        </w:rPr>
        <w:t>mohl</w:t>
      </w:r>
      <w:r>
        <w:rPr>
          <w:rFonts w:cstheme="minorHAnsi"/>
          <w:bCs/>
          <w:iCs/>
        </w:rPr>
        <w:t xml:space="preserve"> být vědom,</w:t>
      </w:r>
      <w:r w:rsidR="00A26950">
        <w:rPr>
          <w:rFonts w:cstheme="minorHAnsi"/>
          <w:bCs/>
          <w:iCs/>
        </w:rPr>
        <w:t xml:space="preserve"> že</w:t>
      </w:r>
      <w:r w:rsidR="00056238">
        <w:rPr>
          <w:rFonts w:cstheme="minorHAnsi"/>
          <w:bCs/>
          <w:iCs/>
        </w:rPr>
        <w:t xml:space="preserve"> </w:t>
      </w:r>
      <w:r w:rsidR="00EB41B8">
        <w:rPr>
          <w:rFonts w:cstheme="minorHAnsi"/>
          <w:bCs/>
          <w:iCs/>
        </w:rPr>
        <w:t xml:space="preserve">by </w:t>
      </w:r>
      <w:r w:rsidR="00A2005A" w:rsidRPr="00360404">
        <w:rPr>
          <w:rFonts w:cstheme="minorHAnsi"/>
          <w:bCs/>
          <w:iCs/>
        </w:rPr>
        <w:t xml:space="preserve">Společnost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byla účastníkem soudního </w:t>
      </w:r>
      <w:r w:rsidR="00EB41B8">
        <w:rPr>
          <w:rFonts w:cstheme="minorHAnsi"/>
          <w:bCs/>
          <w:iCs/>
        </w:rPr>
        <w:t>nebo</w:t>
      </w:r>
      <w:r w:rsidR="00A2005A" w:rsidRPr="00360404">
        <w:rPr>
          <w:rFonts w:cstheme="minorHAnsi"/>
          <w:bCs/>
          <w:iCs/>
        </w:rPr>
        <w:t xml:space="preserve"> rozhodčího řízení, </w:t>
      </w:r>
      <w:r w:rsidR="00EB41B8">
        <w:rPr>
          <w:rFonts w:cstheme="minorHAnsi"/>
          <w:bCs/>
          <w:iCs/>
        </w:rPr>
        <w:t>nebo jakéhokoliv</w:t>
      </w:r>
      <w:r w:rsidR="00EB41B8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>jiného řízení předcházejícího soudnímu řízení ani přestupkového řízení ani objektem trestního vyšetřování a Převodci není</w:t>
      </w:r>
      <w:r w:rsidR="00EB41B8">
        <w:rPr>
          <w:rFonts w:cstheme="minorHAnsi"/>
          <w:bCs/>
          <w:iCs/>
        </w:rPr>
        <w:t xml:space="preserve"> a nemohla být</w:t>
      </w:r>
      <w:r w:rsidR="00A2005A" w:rsidRPr="00360404">
        <w:rPr>
          <w:rFonts w:cstheme="minorHAnsi"/>
          <w:bCs/>
          <w:iCs/>
        </w:rPr>
        <w:t xml:space="preserve"> známa žádná skutečnost odůvodňující zahájení takových řízení;</w:t>
      </w:r>
    </w:p>
    <w:p w14:paraId="3B24FE12" w14:textId="77777777" w:rsidR="00A2005A" w:rsidRPr="00360404" w:rsidRDefault="00A2005A" w:rsidP="00A2005A">
      <w:pPr>
        <w:pStyle w:val="Odstavecseseznamem"/>
        <w:rPr>
          <w:rFonts w:cstheme="minorHAnsi"/>
          <w:bCs/>
          <w:iCs/>
        </w:rPr>
      </w:pPr>
    </w:p>
    <w:p w14:paraId="1533DEBF" w14:textId="729036B4" w:rsidR="00A2005A" w:rsidRPr="00360404" w:rsidRDefault="00A26950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>
        <w:rPr>
          <w:rFonts w:cstheme="minorHAnsi"/>
          <w:bCs/>
          <w:iCs/>
        </w:rPr>
        <w:t>Převodce si není, nebo nemohl být vědom, že</w:t>
      </w:r>
      <w:r w:rsidR="00056238">
        <w:rPr>
          <w:rFonts w:cstheme="minorHAnsi"/>
          <w:bCs/>
          <w:iCs/>
        </w:rPr>
        <w:t xml:space="preserve"> </w:t>
      </w:r>
      <w:r w:rsidR="00EB41B8">
        <w:rPr>
          <w:rFonts w:cstheme="minorHAnsi"/>
          <w:bCs/>
          <w:iCs/>
        </w:rPr>
        <w:t xml:space="preserve">by </w:t>
      </w:r>
      <w:r w:rsidR="00A2005A" w:rsidRPr="00360404">
        <w:rPr>
          <w:rFonts w:cstheme="minorHAnsi"/>
          <w:bCs/>
          <w:iCs/>
        </w:rPr>
        <w:t xml:space="preserve">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byl dán důvod </w:t>
      </w:r>
      <w:r w:rsidR="00EB41B8">
        <w:rPr>
          <w:rFonts w:cstheme="minorHAnsi"/>
          <w:bCs/>
          <w:iCs/>
        </w:rPr>
        <w:t>či</w:t>
      </w:r>
      <w:r w:rsidR="00A2005A" w:rsidRPr="00360404">
        <w:rPr>
          <w:rFonts w:cstheme="minorHAnsi"/>
          <w:bCs/>
          <w:iCs/>
        </w:rPr>
        <w:t xml:space="preserve"> existovala příčina k zahájení exekučního řízení, řízení o výkonu rozhodnutí či jiného obdobného řízení, ve kterém by Společnost vystupovala jako povinný;</w:t>
      </w:r>
      <w:r w:rsidR="00A2005A" w:rsidRPr="00360404">
        <w:rPr>
          <w:rFonts w:cstheme="minorHAnsi"/>
          <w:bCs/>
          <w:iCs/>
        </w:rPr>
        <w:tab/>
      </w:r>
      <w:r w:rsidR="00A2005A" w:rsidRPr="00360404">
        <w:rPr>
          <w:rFonts w:cstheme="minorHAnsi"/>
          <w:bCs/>
          <w:iCs/>
        </w:rPr>
        <w:br/>
      </w:r>
    </w:p>
    <w:p w14:paraId="01F4EF93" w14:textId="29CAA5DC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(včetně) nebyla vlastníkem žádného nemovitého ani movitého majetku vyjma:</w:t>
      </w:r>
    </w:p>
    <w:p w14:paraId="2C9797FF" w14:textId="239591CA" w:rsidR="00A2005A" w:rsidRPr="00074F9B" w:rsidRDefault="00A2005A" w:rsidP="00A20531">
      <w:pPr>
        <w:pStyle w:val="Odstavecseseznamem"/>
        <w:numPr>
          <w:ilvl w:val="0"/>
          <w:numId w:val="7"/>
        </w:numPr>
        <w:ind w:left="1701" w:right="425" w:hanging="425"/>
        <w:jc w:val="both"/>
        <w:rPr>
          <w:rFonts w:cstheme="minorHAnsi"/>
          <w:bCs/>
          <w:iCs/>
        </w:rPr>
      </w:pPr>
      <w:r w:rsidRPr="00360404">
        <w:rPr>
          <w:rFonts w:cstheme="minorHAnsi"/>
          <w:bCs/>
          <w:iCs/>
        </w:rPr>
        <w:t xml:space="preserve">finančních prostředků uložených na bankovním účtu č. </w:t>
      </w:r>
      <w:r w:rsidR="002923BD" w:rsidRPr="002923BD">
        <w:rPr>
          <w:rFonts w:cstheme="minorHAnsi"/>
          <w:bCs/>
          <w:iCs/>
        </w:rPr>
        <w:t>78-2508570257/0100</w:t>
      </w:r>
      <w:r w:rsidR="002923BD" w:rsidRPr="002923BD" w:rsidDel="002923BD">
        <w:rPr>
          <w:rFonts w:cstheme="minorHAnsi"/>
          <w:bCs/>
          <w:iCs/>
          <w:highlight w:val="yellow"/>
        </w:rPr>
        <w:t xml:space="preserve"> </w:t>
      </w:r>
      <w:r w:rsidR="008F7F4E" w:rsidRPr="004F3EB3">
        <w:rPr>
          <w:rFonts w:cstheme="minorHAnsi"/>
          <w:bCs/>
          <w:iCs/>
        </w:rPr>
        <w:t xml:space="preserve">vedeném u </w:t>
      </w:r>
      <w:r w:rsidR="002923BD">
        <w:rPr>
          <w:rFonts w:cstheme="minorHAnsi"/>
          <w:bCs/>
          <w:iCs/>
        </w:rPr>
        <w:t xml:space="preserve">Komerční banky, </w:t>
      </w:r>
      <w:r w:rsidR="008F7F4E" w:rsidRPr="004F3EB3">
        <w:rPr>
          <w:rFonts w:cstheme="minorHAnsi"/>
          <w:bCs/>
          <w:iCs/>
        </w:rPr>
        <w:t>a.s.</w:t>
      </w:r>
      <w:r w:rsidR="004F3EB3">
        <w:rPr>
          <w:rFonts w:cstheme="minorHAnsi"/>
          <w:bCs/>
          <w:iCs/>
        </w:rPr>
        <w:t>, na kterém se k</w:t>
      </w:r>
      <w:r w:rsidR="00596E00">
        <w:rPr>
          <w:rFonts w:cstheme="minorHAnsi"/>
          <w:bCs/>
          <w:iCs/>
        </w:rPr>
        <w:t>e Dni převodu</w:t>
      </w:r>
      <w:r w:rsidR="004F3EB3">
        <w:rPr>
          <w:rFonts w:cstheme="minorHAnsi"/>
          <w:bCs/>
          <w:iCs/>
        </w:rPr>
        <w:t xml:space="preserve"> bude nacházet částka ve výši </w:t>
      </w:r>
      <w:r w:rsidR="00596E00" w:rsidRPr="00012ADF">
        <w:rPr>
          <w:rFonts w:cstheme="minorHAnsi"/>
          <w:bCs/>
          <w:iCs/>
        </w:rPr>
        <w:t>100 000,- Kč</w:t>
      </w:r>
      <w:r w:rsidR="00A20531" w:rsidRPr="00596E00">
        <w:rPr>
          <w:rFonts w:cstheme="minorHAnsi"/>
          <w:bCs/>
          <w:iCs/>
        </w:rPr>
        <w:t xml:space="preserve"> </w:t>
      </w:r>
      <w:r w:rsidR="004F3EB3" w:rsidRPr="00596E00">
        <w:rPr>
          <w:rFonts w:cstheme="minorHAnsi"/>
          <w:bCs/>
          <w:iCs/>
        </w:rPr>
        <w:t xml:space="preserve">(slovy: </w:t>
      </w:r>
      <w:r w:rsidR="00596E00" w:rsidRPr="00012ADF">
        <w:rPr>
          <w:rFonts w:cstheme="minorHAnsi"/>
          <w:bCs/>
          <w:iCs/>
        </w:rPr>
        <w:t>sto tisíc korun českých)</w:t>
      </w:r>
      <w:r w:rsidR="002923BD">
        <w:rPr>
          <w:rFonts w:cstheme="minorHAnsi"/>
          <w:bCs/>
          <w:iCs/>
        </w:rPr>
        <w:t>,</w:t>
      </w:r>
      <w:r w:rsidR="004F3EB3" w:rsidRPr="00A20531">
        <w:rPr>
          <w:rFonts w:cstheme="minorHAnsi"/>
          <w:bCs/>
          <w:iCs/>
        </w:rPr>
        <w:t xml:space="preserve"> </w:t>
      </w:r>
    </w:p>
    <w:p w14:paraId="0A0D66AA" w14:textId="5E49B738" w:rsidR="008365F3" w:rsidRDefault="008365F3" w:rsidP="00074F9B">
      <w:pPr>
        <w:pStyle w:val="Odstavecseseznamem"/>
        <w:numPr>
          <w:ilvl w:val="0"/>
          <w:numId w:val="7"/>
        </w:numPr>
        <w:spacing w:after="0"/>
        <w:ind w:left="1701" w:right="425" w:hanging="425"/>
        <w:jc w:val="both"/>
        <w:rPr>
          <w:rFonts w:cstheme="minorHAnsi"/>
          <w:bCs/>
          <w:iCs/>
        </w:rPr>
      </w:pPr>
      <w:r w:rsidRPr="008365F3">
        <w:rPr>
          <w:rFonts w:cstheme="minorHAnsi"/>
          <w:bCs/>
          <w:iCs/>
        </w:rPr>
        <w:t xml:space="preserve">léků dle </w:t>
      </w:r>
      <w:r w:rsidR="00EE3DF8">
        <w:rPr>
          <w:rFonts w:cstheme="minorHAnsi"/>
          <w:bCs/>
          <w:iCs/>
        </w:rPr>
        <w:t>fyzické inventury</w:t>
      </w:r>
      <w:r w:rsidRPr="008365F3">
        <w:rPr>
          <w:rFonts w:cstheme="minorHAnsi"/>
          <w:bCs/>
          <w:iCs/>
        </w:rPr>
        <w:t xml:space="preserve"> zásob</w:t>
      </w:r>
      <w:r w:rsidR="00911AE4">
        <w:rPr>
          <w:rFonts w:cstheme="minorHAnsi"/>
          <w:bCs/>
          <w:iCs/>
        </w:rPr>
        <w:t xml:space="preserve"> provedené</w:t>
      </w:r>
      <w:r w:rsidRPr="008365F3">
        <w:rPr>
          <w:rFonts w:cstheme="minorHAnsi"/>
          <w:bCs/>
          <w:iCs/>
        </w:rPr>
        <w:t xml:space="preserve"> ke Dni převodu</w:t>
      </w:r>
      <w:r>
        <w:rPr>
          <w:rFonts w:cstheme="minorHAnsi"/>
          <w:bCs/>
          <w:iCs/>
        </w:rPr>
        <w:t>;</w:t>
      </w:r>
    </w:p>
    <w:p w14:paraId="64412719" w14:textId="15CF8E65" w:rsidR="00056238" w:rsidRPr="00074F9B" w:rsidRDefault="002923BD" w:rsidP="00074F9B">
      <w:pPr>
        <w:ind w:left="1276" w:right="425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  <w:sz w:val="22"/>
          <w:szCs w:val="22"/>
        </w:rPr>
        <w:t>Prohlášením dle tohoto odstavce</w:t>
      </w:r>
      <w:r w:rsidRPr="00074F9B">
        <w:rPr>
          <w:rFonts w:cstheme="minorHAnsi"/>
          <w:bCs/>
          <w:iCs/>
          <w:sz w:val="22"/>
          <w:szCs w:val="22"/>
        </w:rPr>
        <w:t xml:space="preserve"> nejsou dotčeny skutečnosti </w:t>
      </w:r>
      <w:r>
        <w:rPr>
          <w:rFonts w:cstheme="minorHAnsi"/>
          <w:bCs/>
          <w:iCs/>
          <w:sz w:val="22"/>
          <w:szCs w:val="22"/>
        </w:rPr>
        <w:t>vyplývající</w:t>
      </w:r>
      <w:r w:rsidR="00056238" w:rsidRPr="00074F9B">
        <w:rPr>
          <w:rFonts w:cstheme="minorHAnsi"/>
          <w:bCs/>
          <w:iCs/>
          <w:sz w:val="22"/>
          <w:szCs w:val="22"/>
        </w:rPr>
        <w:t xml:space="preserve"> z </w:t>
      </w:r>
      <w:r>
        <w:rPr>
          <w:rFonts w:cstheme="minorHAnsi"/>
          <w:bCs/>
          <w:iCs/>
          <w:sz w:val="22"/>
          <w:szCs w:val="22"/>
        </w:rPr>
        <w:t>dokumentů</w:t>
      </w:r>
      <w:r w:rsidRPr="00074F9B">
        <w:rPr>
          <w:rFonts w:cstheme="minorHAnsi"/>
          <w:bCs/>
          <w:iCs/>
          <w:sz w:val="22"/>
          <w:szCs w:val="22"/>
        </w:rPr>
        <w:t xml:space="preserve"> </w:t>
      </w:r>
      <w:r w:rsidR="00056238" w:rsidRPr="00074F9B">
        <w:rPr>
          <w:rFonts w:cstheme="minorHAnsi"/>
          <w:bCs/>
          <w:iCs/>
          <w:sz w:val="22"/>
          <w:szCs w:val="22"/>
        </w:rPr>
        <w:t>uvedených v seznamu tvořícím Přílohu č.1.</w:t>
      </w:r>
    </w:p>
    <w:p w14:paraId="2392FDC7" w14:textId="28B23804" w:rsidR="00A2005A" w:rsidRPr="008365F3" w:rsidRDefault="00C53789" w:rsidP="00AE5F74">
      <w:pPr>
        <w:pStyle w:val="Odstavecseseznamem"/>
        <w:rPr>
          <w:b/>
        </w:rPr>
      </w:pPr>
      <w:r w:rsidRPr="008365F3">
        <w:rPr>
          <w:rFonts w:cstheme="minorHAnsi"/>
          <w:bCs/>
          <w:iCs/>
        </w:rPr>
        <w:t xml:space="preserve"> </w:t>
      </w:r>
    </w:p>
    <w:p w14:paraId="591E8CAA" w14:textId="24F7DC66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do </w:t>
      </w:r>
      <w:r w:rsidR="00412D38">
        <w:rPr>
          <w:rFonts w:cstheme="minorHAnsi"/>
          <w:bCs/>
          <w:iCs/>
        </w:rPr>
        <w:t>D</w:t>
      </w:r>
      <w:r w:rsidR="00412D38" w:rsidRPr="00360404">
        <w:rPr>
          <w:rFonts w:cstheme="minorHAnsi"/>
          <w:bCs/>
          <w:iCs/>
        </w:rPr>
        <w:t xml:space="preserve">ne </w:t>
      </w:r>
      <w:r w:rsidR="00412D38">
        <w:rPr>
          <w:rFonts w:cstheme="minorHAnsi"/>
          <w:bCs/>
          <w:iCs/>
        </w:rPr>
        <w:t>převodu</w:t>
      </w:r>
      <w:r w:rsidR="00412D38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(včetně) neměla žádná práva plynoucí z duševního vlastnictví včetně software, zejména licencí, patentů, ochranných známek atp.;</w:t>
      </w:r>
    </w:p>
    <w:p w14:paraId="040739A4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243B00ED" w14:textId="509C5C73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Nabyvateli před </w:t>
      </w:r>
      <w:r w:rsidR="007D29A4">
        <w:rPr>
          <w:rFonts w:cstheme="minorHAnsi"/>
          <w:bCs/>
          <w:iCs/>
        </w:rPr>
        <w:t>Dnem převodu</w:t>
      </w:r>
      <w:r w:rsidR="00A20531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(včetně) předložil veškeré podklady týkající se daňových povinností Společnosti včetně informací o veškerých daňových nedoplatcích, přičemž tyto podklady jsou úplné a pravdivé; účetní závěrky, rozvahy a výkazy zisků a ztrát Společnosti uložené ve sbírce listin obchodního rejstříku byly zpracovány v souladu s účetními standardy; </w:t>
      </w:r>
      <w:r w:rsidR="00A26950">
        <w:rPr>
          <w:rFonts w:cstheme="minorHAnsi"/>
          <w:bCs/>
          <w:iCs/>
        </w:rPr>
        <w:t>Převodce si není, nebo nemohl být vědom, že</w:t>
      </w:r>
      <w:r w:rsidR="00056238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 xml:space="preserve">vůči Společnosti probíhá postup k odstranění pochybností </w:t>
      </w:r>
      <w:r w:rsidR="00EB41B8">
        <w:rPr>
          <w:rFonts w:cstheme="minorHAnsi"/>
          <w:bCs/>
          <w:iCs/>
        </w:rPr>
        <w:t>či</w:t>
      </w:r>
      <w:r w:rsidRPr="00360404">
        <w:rPr>
          <w:rFonts w:cstheme="minorHAnsi"/>
          <w:bCs/>
          <w:iCs/>
        </w:rPr>
        <w:t xml:space="preserve"> daňová kontrola;</w:t>
      </w:r>
    </w:p>
    <w:p w14:paraId="069F4E5B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288DACC3" w14:textId="6557C06A" w:rsidR="00A2005A" w:rsidRPr="00360404" w:rsidRDefault="00A26950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>
        <w:rPr>
          <w:rFonts w:cstheme="minorHAnsi"/>
          <w:bCs/>
          <w:iCs/>
        </w:rPr>
        <w:t>Převodce si není, nebo nemohl být vědom, že</w:t>
      </w:r>
      <w:r w:rsidR="00056238">
        <w:rPr>
          <w:rFonts w:cstheme="minorHAnsi"/>
          <w:bCs/>
          <w:iCs/>
        </w:rPr>
        <w:t xml:space="preserve"> </w:t>
      </w:r>
      <w:r w:rsidR="00EB41B8">
        <w:rPr>
          <w:rFonts w:cstheme="minorHAnsi"/>
          <w:bCs/>
          <w:iCs/>
        </w:rPr>
        <w:t xml:space="preserve">by </w:t>
      </w:r>
      <w:r w:rsidR="00A2005A" w:rsidRPr="00360404">
        <w:rPr>
          <w:rFonts w:cstheme="minorHAnsi"/>
          <w:bCs/>
          <w:iCs/>
        </w:rPr>
        <w:t xml:space="preserve">Společnost do </w:t>
      </w:r>
      <w:r w:rsidR="007D29A4">
        <w:rPr>
          <w:rFonts w:cstheme="minorHAnsi"/>
          <w:bCs/>
          <w:iCs/>
        </w:rPr>
        <w:t>D</w:t>
      </w:r>
      <w:r w:rsidR="007D29A4" w:rsidRPr="00360404">
        <w:rPr>
          <w:rFonts w:cstheme="minorHAnsi"/>
          <w:bCs/>
          <w:iCs/>
        </w:rPr>
        <w:t xml:space="preserve">ne </w:t>
      </w:r>
      <w:r w:rsidR="007D29A4">
        <w:rPr>
          <w:rFonts w:cstheme="minorHAnsi"/>
          <w:bCs/>
          <w:iCs/>
        </w:rPr>
        <w:t>převodu</w:t>
      </w:r>
      <w:r w:rsidR="007D29A4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vydala </w:t>
      </w:r>
      <w:r w:rsidR="00EB41B8">
        <w:rPr>
          <w:rFonts w:cstheme="minorHAnsi"/>
          <w:bCs/>
          <w:iCs/>
        </w:rPr>
        <w:t xml:space="preserve">jakékoliv </w:t>
      </w:r>
      <w:r w:rsidR="00A2005A" w:rsidRPr="00360404">
        <w:rPr>
          <w:rFonts w:cstheme="minorHAnsi"/>
          <w:bCs/>
          <w:iCs/>
        </w:rPr>
        <w:t xml:space="preserve">kmenové listy </w:t>
      </w:r>
      <w:r w:rsidR="00EB41B8">
        <w:rPr>
          <w:rFonts w:cstheme="minorHAnsi"/>
          <w:bCs/>
          <w:iCs/>
        </w:rPr>
        <w:t>či</w:t>
      </w:r>
      <w:r w:rsidR="00A2005A" w:rsidRPr="00360404">
        <w:rPr>
          <w:rFonts w:cstheme="minorHAnsi"/>
          <w:bCs/>
          <w:iCs/>
        </w:rPr>
        <w:t xml:space="preserve"> jiné cenné papíry, </w:t>
      </w:r>
      <w:r w:rsidR="00EB41B8">
        <w:rPr>
          <w:rFonts w:cstheme="minorHAnsi"/>
          <w:bCs/>
          <w:iCs/>
        </w:rPr>
        <w:t xml:space="preserve">že by </w:t>
      </w:r>
      <w:r w:rsidR="00A2005A" w:rsidRPr="00360404">
        <w:rPr>
          <w:rFonts w:cstheme="minorHAnsi"/>
          <w:bCs/>
          <w:iCs/>
        </w:rPr>
        <w:t xml:space="preserve">Společnost vystavila, akceptovala </w:t>
      </w:r>
      <w:r w:rsidR="00EB41B8">
        <w:rPr>
          <w:rFonts w:cstheme="minorHAnsi"/>
          <w:bCs/>
          <w:iCs/>
        </w:rPr>
        <w:t xml:space="preserve">či </w:t>
      </w:r>
      <w:r w:rsidR="00A2005A" w:rsidRPr="00360404">
        <w:rPr>
          <w:rFonts w:cstheme="minorHAnsi"/>
          <w:bCs/>
          <w:iCs/>
        </w:rPr>
        <w:t xml:space="preserve">avalovala </w:t>
      </w:r>
      <w:r w:rsidR="00EB41B8">
        <w:rPr>
          <w:rFonts w:cstheme="minorHAnsi"/>
          <w:bCs/>
          <w:iCs/>
        </w:rPr>
        <w:t>jakoukoliv</w:t>
      </w:r>
      <w:r w:rsidR="00EB41B8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směnku </w:t>
      </w:r>
      <w:r w:rsidR="00EB41B8">
        <w:rPr>
          <w:rFonts w:cstheme="minorHAnsi"/>
          <w:bCs/>
          <w:iCs/>
        </w:rPr>
        <w:t>či</w:t>
      </w:r>
      <w:r w:rsidR="00A2005A" w:rsidRPr="00360404">
        <w:rPr>
          <w:rFonts w:cstheme="minorHAnsi"/>
          <w:bCs/>
          <w:iCs/>
        </w:rPr>
        <w:t xml:space="preserve"> podepsala </w:t>
      </w:r>
      <w:r w:rsidR="00EB41B8">
        <w:rPr>
          <w:rFonts w:cstheme="minorHAnsi"/>
          <w:bCs/>
          <w:iCs/>
        </w:rPr>
        <w:t>jakoukoliv</w:t>
      </w:r>
      <w:r w:rsidR="00A2005A" w:rsidRPr="00360404">
        <w:rPr>
          <w:rFonts w:cstheme="minorHAnsi"/>
          <w:bCs/>
          <w:iCs/>
        </w:rPr>
        <w:t xml:space="preserve"> blankosměnku, poskytla jakékoliv ručení, slib odškodnění </w:t>
      </w:r>
      <w:r w:rsidR="00EB41B8">
        <w:rPr>
          <w:rFonts w:cstheme="minorHAnsi"/>
          <w:bCs/>
          <w:iCs/>
        </w:rPr>
        <w:t>či</w:t>
      </w:r>
      <w:r w:rsidR="00A2005A" w:rsidRPr="00360404">
        <w:rPr>
          <w:rFonts w:cstheme="minorHAnsi"/>
          <w:bCs/>
          <w:iCs/>
        </w:rPr>
        <w:t xml:space="preserve"> jinou formu zajištění za závazky třetích osob, převzala cizí dluh </w:t>
      </w:r>
      <w:r w:rsidR="00EB41B8">
        <w:rPr>
          <w:rFonts w:cstheme="minorHAnsi"/>
          <w:bCs/>
          <w:iCs/>
        </w:rPr>
        <w:t>či</w:t>
      </w:r>
      <w:r w:rsidR="00A2005A" w:rsidRPr="00360404">
        <w:rPr>
          <w:rFonts w:cstheme="minorHAnsi"/>
          <w:bCs/>
          <w:iCs/>
        </w:rPr>
        <w:t xml:space="preserve"> k</w:t>
      </w:r>
      <w:r w:rsidR="00EB41B8">
        <w:rPr>
          <w:rFonts w:cstheme="minorHAnsi"/>
          <w:bCs/>
          <w:iCs/>
        </w:rPr>
        <w:t xml:space="preserve"> jakémukoliv </w:t>
      </w:r>
      <w:r w:rsidR="00A2005A" w:rsidRPr="00360404">
        <w:rPr>
          <w:rFonts w:cstheme="minorHAnsi"/>
          <w:bCs/>
          <w:iCs/>
        </w:rPr>
        <w:t xml:space="preserve">přistoupila; Společnost </w:t>
      </w:r>
      <w:r w:rsidR="00A2005A">
        <w:rPr>
          <w:rFonts w:cstheme="minorHAnsi"/>
          <w:bCs/>
          <w:iCs/>
        </w:rPr>
        <w:t xml:space="preserve">nemá </w:t>
      </w:r>
      <w:r w:rsidR="00A2005A" w:rsidRPr="00360404">
        <w:rPr>
          <w:rFonts w:cstheme="minorHAnsi"/>
          <w:bCs/>
          <w:iCs/>
        </w:rPr>
        <w:t xml:space="preserve">do </w:t>
      </w:r>
      <w:r w:rsidR="007D29A4">
        <w:rPr>
          <w:rFonts w:cstheme="minorHAnsi"/>
          <w:bCs/>
          <w:iCs/>
        </w:rPr>
        <w:t>D</w:t>
      </w:r>
      <w:r w:rsidR="007D29A4" w:rsidRPr="00360404">
        <w:rPr>
          <w:rFonts w:cstheme="minorHAnsi"/>
          <w:bCs/>
          <w:iCs/>
        </w:rPr>
        <w:t xml:space="preserve">ne </w:t>
      </w:r>
      <w:r w:rsidR="007D29A4">
        <w:rPr>
          <w:rFonts w:cstheme="minorHAnsi"/>
          <w:bCs/>
          <w:iCs/>
        </w:rPr>
        <w:t>převodu</w:t>
      </w:r>
      <w:r w:rsidR="007D29A4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>(včetně) žádné podrozvahové závazky;</w:t>
      </w:r>
      <w:r w:rsidR="00A2005A" w:rsidRPr="00360404">
        <w:rPr>
          <w:rFonts w:cstheme="minorHAnsi"/>
          <w:bCs/>
          <w:iCs/>
        </w:rPr>
        <w:br/>
      </w:r>
    </w:p>
    <w:p w14:paraId="5E29750D" w14:textId="59EB1764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do </w:t>
      </w:r>
      <w:r w:rsidR="007D29A4">
        <w:rPr>
          <w:rFonts w:cstheme="minorHAnsi"/>
          <w:bCs/>
          <w:iCs/>
        </w:rPr>
        <w:t>D</w:t>
      </w:r>
      <w:r w:rsidR="007D29A4" w:rsidRPr="00360404">
        <w:rPr>
          <w:rFonts w:cstheme="minorHAnsi"/>
          <w:bCs/>
          <w:iCs/>
        </w:rPr>
        <w:t>ne</w:t>
      </w:r>
      <w:r w:rsidR="007D29A4">
        <w:rPr>
          <w:rFonts w:cstheme="minorHAnsi"/>
          <w:bCs/>
          <w:iCs/>
        </w:rPr>
        <w:t xml:space="preserve"> převodu</w:t>
      </w:r>
      <w:r w:rsidR="007D29A4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(včetně) nebyla příjemcem jakýchkoliv veřejných prostředků, subvencí či dotací ani nepodala žádost o jakékoliv příspěvky z veřejných prostředků, subvence či dotace;</w:t>
      </w:r>
    </w:p>
    <w:p w14:paraId="777C671C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7A8C92E2" w14:textId="7AC51ADB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ze strany Společnosti do </w:t>
      </w:r>
      <w:r w:rsidR="007D29A4">
        <w:rPr>
          <w:rFonts w:cstheme="minorHAnsi"/>
          <w:bCs/>
          <w:iCs/>
        </w:rPr>
        <w:t>D</w:t>
      </w:r>
      <w:r w:rsidR="007D29A4" w:rsidRPr="00360404">
        <w:rPr>
          <w:rFonts w:cstheme="minorHAnsi"/>
          <w:bCs/>
          <w:iCs/>
        </w:rPr>
        <w:t>ne</w:t>
      </w:r>
      <w:r w:rsidR="007D29A4">
        <w:rPr>
          <w:rFonts w:cstheme="minorHAnsi"/>
          <w:bCs/>
          <w:iCs/>
        </w:rPr>
        <w:t xml:space="preserve"> převodu</w:t>
      </w:r>
      <w:r w:rsidR="007D29A4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(včetně) neexistovaly žádné nezaplacené daně, pokuty, poplatky, sankce či úroky z prodlení uložené jakýmkoliv orgánem veřejné správy, které by byla Společnost z jakéhokoli důvodu povinna zaplatit;</w:t>
      </w:r>
    </w:p>
    <w:p w14:paraId="7DEBCFB9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5A8CF480" w14:textId="192DAB4E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 xml:space="preserve">Společnost do </w:t>
      </w:r>
      <w:r w:rsidR="007D29A4">
        <w:rPr>
          <w:rFonts w:cstheme="minorHAnsi"/>
          <w:bCs/>
          <w:iCs/>
        </w:rPr>
        <w:t>D</w:t>
      </w:r>
      <w:r w:rsidR="007D29A4" w:rsidRPr="00360404">
        <w:rPr>
          <w:rFonts w:cstheme="minorHAnsi"/>
          <w:bCs/>
          <w:iCs/>
        </w:rPr>
        <w:t>ne</w:t>
      </w:r>
      <w:r w:rsidR="007D29A4">
        <w:rPr>
          <w:rFonts w:cstheme="minorHAnsi"/>
          <w:bCs/>
          <w:iCs/>
        </w:rPr>
        <w:t xml:space="preserve"> převodu</w:t>
      </w:r>
      <w:r w:rsidR="007D29A4" w:rsidRPr="00360404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(včetně) neměla žádnou účast na jakékoliv korporaci se sídlem v České republice nebo v zahraničí;</w:t>
      </w:r>
      <w:r w:rsidRPr="00360404">
        <w:rPr>
          <w:rFonts w:cstheme="minorHAnsi"/>
          <w:bCs/>
          <w:iCs/>
        </w:rPr>
        <w:tab/>
      </w:r>
      <w:r w:rsidRPr="00360404">
        <w:rPr>
          <w:rFonts w:cstheme="minorHAnsi"/>
          <w:bCs/>
          <w:iCs/>
        </w:rPr>
        <w:br/>
      </w:r>
    </w:p>
    <w:p w14:paraId="6C8CBBEC" w14:textId="326B3A04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>Převodce nebude činit žádná jednání, která by jakkoliv snižovala hodnotu Podíl</w:t>
      </w:r>
      <w:r w:rsidR="00E738E9">
        <w:rPr>
          <w:rFonts w:cstheme="minorHAnsi"/>
          <w:bCs/>
          <w:iCs/>
        </w:rPr>
        <w:t>u</w:t>
      </w:r>
      <w:r w:rsidRPr="00360404">
        <w:rPr>
          <w:rFonts w:cstheme="minorHAnsi"/>
          <w:bCs/>
          <w:iCs/>
        </w:rPr>
        <w:t xml:space="preserve"> nebo Společnosti nebo která by mohla snížení hodnoty Podíl</w:t>
      </w:r>
      <w:r w:rsidR="00E738E9">
        <w:rPr>
          <w:rFonts w:cstheme="minorHAnsi"/>
          <w:bCs/>
          <w:iCs/>
        </w:rPr>
        <w:t>u</w:t>
      </w:r>
      <w:r w:rsidRPr="00360404">
        <w:rPr>
          <w:rFonts w:cstheme="minorHAnsi"/>
          <w:bCs/>
          <w:iCs/>
        </w:rPr>
        <w:t xml:space="preserve"> nebo Společnosti </w:t>
      </w:r>
      <w:r w:rsidR="00056238">
        <w:rPr>
          <w:rFonts w:cstheme="minorHAnsi"/>
          <w:bCs/>
          <w:iCs/>
        </w:rPr>
        <w:t xml:space="preserve">přímo </w:t>
      </w:r>
      <w:r w:rsidRPr="00360404">
        <w:rPr>
          <w:rFonts w:cstheme="minorHAnsi"/>
          <w:bCs/>
          <w:iCs/>
        </w:rPr>
        <w:t>zapříčinit;</w:t>
      </w:r>
    </w:p>
    <w:p w14:paraId="6E123C60" w14:textId="77777777" w:rsidR="00A2005A" w:rsidRPr="00360404" w:rsidRDefault="00A2005A" w:rsidP="00A2005A">
      <w:pPr>
        <w:pStyle w:val="Odstavecseseznamem"/>
        <w:ind w:left="1276" w:right="425"/>
        <w:jc w:val="both"/>
        <w:rPr>
          <w:rFonts w:cstheme="minorHAnsi"/>
          <w:b/>
          <w:iCs/>
        </w:rPr>
      </w:pPr>
    </w:p>
    <w:p w14:paraId="4CA32197" w14:textId="16502CDC" w:rsidR="00A2005A" w:rsidRPr="0036040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 w:rsidRPr="00360404">
        <w:rPr>
          <w:rFonts w:cstheme="minorHAnsi"/>
          <w:bCs/>
          <w:iCs/>
        </w:rPr>
        <w:t>Převodce před uzavřením této Smlouvy sdělil Nabyvateli veškeré</w:t>
      </w:r>
      <w:r w:rsidR="00056238">
        <w:rPr>
          <w:rFonts w:cstheme="minorHAnsi"/>
          <w:bCs/>
          <w:iCs/>
        </w:rPr>
        <w:t xml:space="preserve"> podstatné</w:t>
      </w:r>
      <w:r w:rsidRPr="00360404">
        <w:rPr>
          <w:rFonts w:cstheme="minorHAnsi"/>
          <w:bCs/>
          <w:iCs/>
        </w:rPr>
        <w:t xml:space="preserve"> skutečnosti, které mu jsou</w:t>
      </w:r>
      <w:r w:rsidR="00056238">
        <w:rPr>
          <w:rFonts w:cstheme="minorHAnsi"/>
          <w:bCs/>
          <w:iCs/>
        </w:rPr>
        <w:t xml:space="preserve"> </w:t>
      </w:r>
      <w:r w:rsidRPr="00360404">
        <w:rPr>
          <w:rFonts w:cstheme="minorHAnsi"/>
          <w:bCs/>
          <w:iCs/>
        </w:rPr>
        <w:t>známy a které mají nebo mohou mít vliv na hodnotu Podíl</w:t>
      </w:r>
      <w:r w:rsidR="00E738E9">
        <w:rPr>
          <w:rFonts w:cstheme="minorHAnsi"/>
          <w:bCs/>
          <w:iCs/>
        </w:rPr>
        <w:t>u</w:t>
      </w:r>
      <w:r w:rsidRPr="00360404">
        <w:rPr>
          <w:rFonts w:cstheme="minorHAnsi"/>
          <w:bCs/>
          <w:iCs/>
        </w:rPr>
        <w:t xml:space="preserve"> nebo Společnosti nebo které by pro Nabyvatele mohly být při uzavírání této Smlouvy podstatné;</w:t>
      </w:r>
      <w:bookmarkStart w:id="0" w:name="_Ref113543178"/>
    </w:p>
    <w:p w14:paraId="294C7B4B" w14:textId="77777777" w:rsidR="00A2005A" w:rsidRPr="00360404" w:rsidRDefault="00A2005A" w:rsidP="00A2005A">
      <w:pPr>
        <w:pStyle w:val="Odstavecseseznamem"/>
        <w:ind w:right="425"/>
        <w:rPr>
          <w:rFonts w:cstheme="minorHAnsi"/>
          <w:bCs/>
          <w:iCs/>
        </w:rPr>
      </w:pPr>
    </w:p>
    <w:p w14:paraId="7622B320" w14:textId="2FB515B3" w:rsidR="00A2005A" w:rsidRPr="00360404" w:rsidRDefault="00A26950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>
        <w:rPr>
          <w:rFonts w:cstheme="minorHAnsi"/>
          <w:bCs/>
          <w:iCs/>
        </w:rPr>
        <w:t xml:space="preserve">Převodce si není, nebo nemohl být vědom, že </w:t>
      </w:r>
      <w:r w:rsidR="00EB41B8">
        <w:rPr>
          <w:rFonts w:cstheme="minorHAnsi"/>
          <w:bCs/>
          <w:iCs/>
        </w:rPr>
        <w:t xml:space="preserve">by </w:t>
      </w:r>
      <w:r w:rsidR="00A2005A" w:rsidRPr="00360404">
        <w:rPr>
          <w:rFonts w:cstheme="minorHAnsi"/>
          <w:bCs/>
          <w:iCs/>
        </w:rPr>
        <w:t xml:space="preserve">do </w:t>
      </w:r>
      <w:r w:rsidR="00C919DE">
        <w:rPr>
          <w:rFonts w:cstheme="minorHAnsi"/>
          <w:bCs/>
          <w:iCs/>
        </w:rPr>
        <w:t>D</w:t>
      </w:r>
      <w:r w:rsidR="00C919DE" w:rsidRPr="00360404">
        <w:rPr>
          <w:rFonts w:cstheme="minorHAnsi"/>
          <w:bCs/>
          <w:iCs/>
        </w:rPr>
        <w:t xml:space="preserve">ne </w:t>
      </w:r>
      <w:r w:rsidR="00C919DE">
        <w:rPr>
          <w:rFonts w:cstheme="minorHAnsi"/>
          <w:bCs/>
          <w:iCs/>
        </w:rPr>
        <w:t>převodu</w:t>
      </w:r>
      <w:r w:rsidR="00C919DE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došlo k protiprávnímu jednání Společnosti, z něhož by existoval doposud vymahatelný (tj. nepromlčený, </w:t>
      </w:r>
      <w:proofErr w:type="spellStart"/>
      <w:r w:rsidR="00A2005A" w:rsidRPr="00360404">
        <w:rPr>
          <w:rFonts w:cstheme="minorHAnsi"/>
          <w:bCs/>
          <w:iCs/>
        </w:rPr>
        <w:t>neprekludovaný</w:t>
      </w:r>
      <w:proofErr w:type="spellEnd"/>
      <w:r w:rsidR="00A2005A" w:rsidRPr="00360404">
        <w:rPr>
          <w:rFonts w:cstheme="minorHAnsi"/>
          <w:bCs/>
          <w:iCs/>
        </w:rPr>
        <w:t xml:space="preserve">) veřejnoprávní postih. </w:t>
      </w:r>
      <w:r w:rsidR="00EB41B8">
        <w:rPr>
          <w:rFonts w:cstheme="minorHAnsi"/>
          <w:bCs/>
          <w:iCs/>
        </w:rPr>
        <w:t xml:space="preserve">Převodce si není, nebo nemohl být vědom, že by </w:t>
      </w:r>
      <w:r w:rsidR="00A2005A" w:rsidRPr="00360404">
        <w:rPr>
          <w:rFonts w:cstheme="minorHAnsi"/>
          <w:bCs/>
          <w:iCs/>
        </w:rPr>
        <w:t xml:space="preserve">ke </w:t>
      </w:r>
      <w:r w:rsidR="00C919DE">
        <w:rPr>
          <w:rFonts w:cstheme="minorHAnsi"/>
          <w:bCs/>
          <w:iCs/>
        </w:rPr>
        <w:t>D</w:t>
      </w:r>
      <w:r w:rsidR="00C919DE" w:rsidRPr="00360404">
        <w:rPr>
          <w:rFonts w:cstheme="minorHAnsi"/>
          <w:bCs/>
          <w:iCs/>
        </w:rPr>
        <w:t>ni</w:t>
      </w:r>
      <w:r w:rsidR="00C919DE">
        <w:rPr>
          <w:rFonts w:cstheme="minorHAnsi"/>
          <w:bCs/>
          <w:iCs/>
        </w:rPr>
        <w:t xml:space="preserve"> převodu</w:t>
      </w:r>
      <w:r w:rsidR="00C919DE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existovaly </w:t>
      </w:r>
      <w:r w:rsidR="00EB41B8">
        <w:rPr>
          <w:rFonts w:cstheme="minorHAnsi"/>
          <w:bCs/>
          <w:iCs/>
        </w:rPr>
        <w:t>jakékoliv</w:t>
      </w:r>
      <w:r w:rsidR="00A2005A" w:rsidRPr="00360404">
        <w:rPr>
          <w:rFonts w:cstheme="minorHAnsi"/>
          <w:bCs/>
          <w:iCs/>
        </w:rPr>
        <w:t xml:space="preserve"> jiné skutečnosti, pro které by hrozilo Společnosti uložení jakýchkoliv pokut, poplatků, sankcí či úroků z prodlení dle předchozí věty;</w:t>
      </w:r>
      <w:bookmarkEnd w:id="0"/>
    </w:p>
    <w:p w14:paraId="2C3ECC63" w14:textId="77777777" w:rsidR="00A2005A" w:rsidRPr="00360404" w:rsidRDefault="00A2005A" w:rsidP="00A2005A">
      <w:pPr>
        <w:pStyle w:val="Odstavecseseznamem"/>
        <w:ind w:right="425"/>
        <w:rPr>
          <w:rFonts w:cstheme="minorHAnsi"/>
          <w:bCs/>
          <w:iCs/>
        </w:rPr>
      </w:pPr>
    </w:p>
    <w:p w14:paraId="0033ABE3" w14:textId="4EDA1960" w:rsidR="00A2005A" w:rsidRPr="00AE1A24" w:rsidRDefault="00EB41B8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>
        <w:rPr>
          <w:rFonts w:cstheme="minorHAnsi"/>
          <w:bCs/>
          <w:iCs/>
        </w:rPr>
        <w:t xml:space="preserve">Převodce si není, nebo nemohl být vědom, že by </w:t>
      </w:r>
      <w:r w:rsidR="00A2005A" w:rsidRPr="00360404">
        <w:rPr>
          <w:rFonts w:cstheme="minorHAnsi"/>
          <w:bCs/>
          <w:iCs/>
        </w:rPr>
        <w:t xml:space="preserve">Společnost do </w:t>
      </w:r>
      <w:r w:rsidR="008B0DD8">
        <w:rPr>
          <w:rFonts w:cstheme="minorHAnsi"/>
          <w:bCs/>
          <w:iCs/>
        </w:rPr>
        <w:t>D</w:t>
      </w:r>
      <w:r w:rsidR="008B0DD8" w:rsidRPr="00360404">
        <w:rPr>
          <w:rFonts w:cstheme="minorHAnsi"/>
          <w:bCs/>
          <w:iCs/>
        </w:rPr>
        <w:t xml:space="preserve">ne </w:t>
      </w:r>
      <w:r w:rsidR="008B0DD8">
        <w:rPr>
          <w:rFonts w:cstheme="minorHAnsi"/>
          <w:bCs/>
          <w:iCs/>
        </w:rPr>
        <w:t>převodu</w:t>
      </w:r>
      <w:r w:rsidR="008B0DD8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porušila </w:t>
      </w:r>
      <w:r>
        <w:rPr>
          <w:rFonts w:cstheme="minorHAnsi"/>
          <w:bCs/>
          <w:iCs/>
        </w:rPr>
        <w:t>jakýkoliv</w:t>
      </w:r>
      <w:r w:rsidR="00A2005A" w:rsidRPr="00360404">
        <w:rPr>
          <w:rFonts w:cstheme="minorHAnsi"/>
          <w:bCs/>
          <w:iCs/>
        </w:rPr>
        <w:t xml:space="preserve"> předpis a porušila podstatným způsobem </w:t>
      </w:r>
      <w:r>
        <w:rPr>
          <w:rFonts w:cstheme="minorHAnsi"/>
          <w:bCs/>
          <w:iCs/>
        </w:rPr>
        <w:t>jakékoliv</w:t>
      </w:r>
      <w:r w:rsidR="00A2005A" w:rsidRPr="00360404">
        <w:rPr>
          <w:rFonts w:cstheme="minorHAnsi"/>
          <w:bCs/>
          <w:iCs/>
        </w:rPr>
        <w:t xml:space="preserve"> soudní, správní či jiné rozhodnutí orgánů veřejné moci či rozhodčí nález; </w:t>
      </w:r>
    </w:p>
    <w:p w14:paraId="5955E699" w14:textId="77777777" w:rsidR="00A2005A" w:rsidRPr="00AE1A24" w:rsidRDefault="00A2005A" w:rsidP="00A2005A">
      <w:pPr>
        <w:pStyle w:val="Odstavecseseznamem"/>
        <w:rPr>
          <w:rFonts w:cstheme="minorHAnsi"/>
          <w:b/>
          <w:iCs/>
        </w:rPr>
      </w:pPr>
    </w:p>
    <w:p w14:paraId="4F7C7232" w14:textId="08D910E0" w:rsidR="00A2005A" w:rsidRPr="00AE1A24" w:rsidRDefault="00A2005A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 w:rsidRPr="00AE1A24">
        <w:rPr>
          <w:rFonts w:cstheme="minorHAnsi"/>
          <w:bCs/>
          <w:iCs/>
        </w:rPr>
        <w:t>Společnos</w:t>
      </w:r>
      <w:r>
        <w:rPr>
          <w:rFonts w:cstheme="minorHAnsi"/>
          <w:bCs/>
          <w:iCs/>
        </w:rPr>
        <w:t xml:space="preserve">t do </w:t>
      </w:r>
      <w:r w:rsidR="008B0DD8">
        <w:rPr>
          <w:rFonts w:cstheme="minorHAnsi"/>
          <w:bCs/>
          <w:iCs/>
        </w:rPr>
        <w:t xml:space="preserve">Dne převodu </w:t>
      </w:r>
      <w:r>
        <w:rPr>
          <w:rFonts w:cstheme="minorHAnsi"/>
          <w:bCs/>
          <w:iCs/>
        </w:rPr>
        <w:t>(včetně) postupovala v souladu se všemi předpisy vztahujícími se k specifickému předmětu činnosti Společnosti, tj. poskytování zdravotních služeb, zejména postupovala v souladu se zákonem č. 372/2011 Sb., o zdravotních službách a podmínkách jejich poskytování, vyhláškou č. 98/2012 Sb., o zdravotnické dokumentaci, vyhláškou č. 92/2012 Sb., o požadavcích na minimální technické a věcné vybavení zdravotnických zařízení</w:t>
      </w:r>
      <w:r w:rsidRPr="00360404">
        <w:rPr>
          <w:rFonts w:cstheme="minorHAnsi"/>
          <w:bCs/>
          <w:iCs/>
        </w:rPr>
        <w:t>;</w:t>
      </w:r>
      <w:r>
        <w:rPr>
          <w:rFonts w:cstheme="minorHAnsi"/>
          <w:bCs/>
          <w:iCs/>
        </w:rPr>
        <w:t xml:space="preserve"> </w:t>
      </w:r>
    </w:p>
    <w:p w14:paraId="7435BEA1" w14:textId="77777777" w:rsidR="00A2005A" w:rsidRPr="00360404" w:rsidRDefault="00A2005A" w:rsidP="00A2005A">
      <w:pPr>
        <w:pStyle w:val="Odstavecseseznamem"/>
        <w:ind w:right="425"/>
        <w:rPr>
          <w:rFonts w:cstheme="minorHAnsi"/>
          <w:bCs/>
          <w:iCs/>
        </w:rPr>
      </w:pPr>
    </w:p>
    <w:p w14:paraId="4CDF17DB" w14:textId="200C528B" w:rsidR="00A2005A" w:rsidRPr="00360404" w:rsidRDefault="00EB41B8" w:rsidP="00A2005A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/>
          <w:iCs/>
        </w:rPr>
      </w:pPr>
      <w:r>
        <w:rPr>
          <w:rFonts w:cstheme="minorHAnsi"/>
          <w:bCs/>
          <w:iCs/>
        </w:rPr>
        <w:t xml:space="preserve">Převodce si není, nebo nemohl být vědom, že by </w:t>
      </w:r>
      <w:r w:rsidR="00A2005A" w:rsidRPr="00360404">
        <w:rPr>
          <w:rFonts w:cstheme="minorHAnsi"/>
          <w:bCs/>
          <w:iCs/>
        </w:rPr>
        <w:t xml:space="preserve">Společnost do </w:t>
      </w:r>
      <w:r w:rsidR="008B0DD8">
        <w:rPr>
          <w:rFonts w:cstheme="minorHAnsi"/>
          <w:bCs/>
          <w:iCs/>
        </w:rPr>
        <w:t>D</w:t>
      </w:r>
      <w:r w:rsidR="008B0DD8" w:rsidRPr="00360404">
        <w:rPr>
          <w:rFonts w:cstheme="minorHAnsi"/>
          <w:bCs/>
          <w:iCs/>
        </w:rPr>
        <w:t>ne</w:t>
      </w:r>
      <w:r w:rsidR="008B0DD8">
        <w:rPr>
          <w:rFonts w:cstheme="minorHAnsi"/>
          <w:bCs/>
          <w:iCs/>
        </w:rPr>
        <w:t xml:space="preserve"> převodu</w:t>
      </w:r>
      <w:r w:rsidR="00A20531"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(včetně) </w:t>
      </w:r>
      <w:r>
        <w:rPr>
          <w:rFonts w:cstheme="minorHAnsi"/>
          <w:bCs/>
          <w:iCs/>
        </w:rPr>
        <w:t>ne</w:t>
      </w:r>
      <w:r w:rsidR="00A2005A" w:rsidRPr="00360404">
        <w:rPr>
          <w:rFonts w:cstheme="minorHAnsi"/>
          <w:bCs/>
          <w:iCs/>
        </w:rPr>
        <w:t xml:space="preserve">jednala v souladu s právními předpisy upravujícími opatření proti legalizaci výnosů z trestné činnosti a podplácení a </w:t>
      </w:r>
      <w:r>
        <w:rPr>
          <w:rFonts w:cstheme="minorHAnsi"/>
          <w:bCs/>
          <w:iCs/>
        </w:rPr>
        <w:t>ne</w:t>
      </w:r>
      <w:r w:rsidR="00A2005A" w:rsidRPr="00360404">
        <w:rPr>
          <w:rFonts w:cstheme="minorHAnsi"/>
          <w:bCs/>
          <w:iCs/>
        </w:rPr>
        <w:t xml:space="preserve">užívala jen zákonné postupy při jednáních s či před jakýmkoli orgánem veřejné moci; </w:t>
      </w:r>
    </w:p>
    <w:p w14:paraId="25A2FFA8" w14:textId="77777777" w:rsidR="00A2005A" w:rsidRPr="00360404" w:rsidRDefault="00A2005A" w:rsidP="00A2005A">
      <w:pPr>
        <w:pStyle w:val="Odstavecseseznamem"/>
        <w:ind w:right="425"/>
        <w:rPr>
          <w:rFonts w:cstheme="minorHAnsi"/>
          <w:bCs/>
          <w:iCs/>
        </w:rPr>
      </w:pPr>
    </w:p>
    <w:p w14:paraId="3DE6A6CD" w14:textId="3B28D62F" w:rsidR="00A2005A" w:rsidRPr="00EB41B8" w:rsidRDefault="00EB41B8" w:rsidP="00012ADF">
      <w:pPr>
        <w:pStyle w:val="Odstavecseseznamem"/>
        <w:numPr>
          <w:ilvl w:val="2"/>
          <w:numId w:val="8"/>
        </w:numPr>
        <w:ind w:left="1276" w:right="425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Převodce si není, nebo nemohl být vědom, že by </w:t>
      </w:r>
      <w:r w:rsidR="00A2005A" w:rsidRPr="00360404">
        <w:rPr>
          <w:rFonts w:cstheme="minorHAnsi"/>
          <w:bCs/>
          <w:iCs/>
        </w:rPr>
        <w:t xml:space="preserve">došlo k </w:t>
      </w:r>
      <w:r>
        <w:rPr>
          <w:rFonts w:cstheme="minorHAnsi"/>
          <w:bCs/>
          <w:iCs/>
        </w:rPr>
        <w:t>jakémukoliv</w:t>
      </w:r>
      <w:r w:rsidRPr="00360404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>jednání Převodce</w:t>
      </w:r>
      <w:r w:rsidR="00E738E9">
        <w:rPr>
          <w:rFonts w:cstheme="minorHAnsi"/>
          <w:bCs/>
          <w:iCs/>
        </w:rPr>
        <w:t xml:space="preserve"> (a dle vědomí Převodce</w:t>
      </w:r>
      <w:r w:rsidR="00A2005A">
        <w:rPr>
          <w:rFonts w:cstheme="minorHAnsi"/>
          <w:bCs/>
          <w:iCs/>
        </w:rPr>
        <w:t xml:space="preserve"> </w:t>
      </w:r>
      <w:r w:rsidR="00A2005A" w:rsidRPr="00360404">
        <w:rPr>
          <w:rFonts w:cstheme="minorHAnsi"/>
          <w:bCs/>
          <w:iCs/>
        </w:rPr>
        <w:t xml:space="preserve">ani k jednání jiné třetí osoby), které by bylo možno přičítat Společností a které by bylo způsobilé založit </w:t>
      </w:r>
      <w:r>
        <w:rPr>
          <w:rFonts w:cstheme="minorHAnsi"/>
          <w:bCs/>
          <w:iCs/>
        </w:rPr>
        <w:t xml:space="preserve">odpovědnost </w:t>
      </w:r>
      <w:r w:rsidR="00A2005A" w:rsidRPr="00360404">
        <w:rPr>
          <w:rFonts w:cstheme="minorHAnsi"/>
          <w:bCs/>
          <w:iCs/>
        </w:rPr>
        <w:t>Společnosti za trestný čin;</w:t>
      </w:r>
    </w:p>
    <w:p w14:paraId="0335E200" w14:textId="200B794F" w:rsidR="00A2005A" w:rsidRPr="00360404" w:rsidRDefault="00A2005A" w:rsidP="00AE5F74">
      <w:pPr>
        <w:pStyle w:val="Odstavecseseznamem"/>
        <w:ind w:left="1276" w:right="425"/>
        <w:jc w:val="both"/>
        <w:rPr>
          <w:rFonts w:cstheme="minorHAnsi"/>
          <w:bCs/>
          <w:iCs/>
        </w:rPr>
      </w:pPr>
    </w:p>
    <w:p w14:paraId="6D45B1F9" w14:textId="73399101" w:rsidR="00B643EB" w:rsidRDefault="00A2005A" w:rsidP="00A2005A">
      <w:pPr>
        <w:pStyle w:val="Odstavecseseznamem"/>
        <w:numPr>
          <w:ilvl w:val="1"/>
          <w:numId w:val="10"/>
        </w:numPr>
        <w:ind w:right="425"/>
        <w:jc w:val="both"/>
        <w:rPr>
          <w:rFonts w:cstheme="minorHAnsi"/>
          <w:bCs/>
          <w:iCs/>
        </w:rPr>
      </w:pPr>
      <w:bookmarkStart w:id="1" w:name="_Ref114672486"/>
      <w:r w:rsidRPr="00146535">
        <w:rPr>
          <w:rFonts w:cstheme="minorHAnsi"/>
          <w:bCs/>
          <w:iCs/>
        </w:rPr>
        <w:t>Převodce bere na vědomí, že Nabyvatel uzavírá tuto Smlouvu na základě závazků, prohlášení a ujištění Převodce</w:t>
      </w:r>
      <w:r w:rsidR="00357BD2">
        <w:rPr>
          <w:rFonts w:cstheme="minorHAnsi"/>
          <w:bCs/>
          <w:iCs/>
        </w:rPr>
        <w:t xml:space="preserve"> </w:t>
      </w:r>
      <w:r w:rsidRPr="00146535">
        <w:rPr>
          <w:rFonts w:cstheme="minorHAnsi"/>
          <w:bCs/>
          <w:iCs/>
        </w:rPr>
        <w:t>obsažených v této Smlouvě. Ukáže-li se jakékoliv prohlášení Převodce</w:t>
      </w:r>
      <w:r w:rsidR="00357BD2">
        <w:rPr>
          <w:rFonts w:cstheme="minorHAnsi"/>
          <w:bCs/>
          <w:iCs/>
        </w:rPr>
        <w:t xml:space="preserve"> </w:t>
      </w:r>
      <w:r w:rsidRPr="00146535">
        <w:rPr>
          <w:rFonts w:cstheme="minorHAnsi"/>
          <w:bCs/>
          <w:iCs/>
        </w:rPr>
        <w:t>dle této Smlouvy nepravdivé, klamavé nebo zavádějící, a Převodce porušení prohlášení Převodce nenapraví ani v dodatečné lhůtě deseti (10) pracovních dní od doručení písemné výzvy Nabyvatele, je Nabyvatel oprávněn požadovat náhradu újmy, která Nabyvateli anebo Společnosti v důsledku vadného prohlášení vznikla.</w:t>
      </w:r>
    </w:p>
    <w:p w14:paraId="5EFC8C47" w14:textId="199E6998" w:rsidR="00B643EB" w:rsidRDefault="00A2005A" w:rsidP="00AE5F74">
      <w:pPr>
        <w:pStyle w:val="Odstavecseseznamem"/>
        <w:ind w:right="425"/>
        <w:jc w:val="both"/>
        <w:rPr>
          <w:rFonts w:cstheme="minorHAnsi"/>
          <w:bCs/>
          <w:iCs/>
        </w:rPr>
      </w:pPr>
      <w:r w:rsidRPr="00146535">
        <w:rPr>
          <w:rFonts w:cstheme="minorHAnsi"/>
          <w:bCs/>
          <w:iCs/>
        </w:rPr>
        <w:t xml:space="preserve"> </w:t>
      </w:r>
    </w:p>
    <w:p w14:paraId="452BDEDC" w14:textId="267B8BDA" w:rsidR="00A2005A" w:rsidRDefault="00B643EB" w:rsidP="00A2005A">
      <w:pPr>
        <w:pStyle w:val="Odstavecseseznamem"/>
        <w:numPr>
          <w:ilvl w:val="1"/>
          <w:numId w:val="10"/>
        </w:numPr>
        <w:ind w:right="425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Převodce se zavazuje, že </w:t>
      </w:r>
      <w:r w:rsidR="00EB41B8">
        <w:rPr>
          <w:rFonts w:cstheme="minorHAnsi"/>
          <w:bCs/>
          <w:iCs/>
        </w:rPr>
        <w:t>ke</w:t>
      </w:r>
      <w:r>
        <w:rPr>
          <w:rFonts w:cstheme="minorHAnsi"/>
          <w:bCs/>
          <w:iCs/>
        </w:rPr>
        <w:t xml:space="preserve"> Dn</w:t>
      </w:r>
      <w:r w:rsidR="00EB41B8">
        <w:rPr>
          <w:rFonts w:cstheme="minorHAnsi"/>
          <w:bCs/>
          <w:iCs/>
        </w:rPr>
        <w:t>i</w:t>
      </w:r>
      <w:r>
        <w:rPr>
          <w:rFonts w:cstheme="minorHAnsi"/>
          <w:bCs/>
          <w:iCs/>
        </w:rPr>
        <w:t xml:space="preserve"> převodu bud</w:t>
      </w:r>
      <w:r w:rsidR="00EB41B8">
        <w:rPr>
          <w:rFonts w:cstheme="minorHAnsi"/>
          <w:bCs/>
          <w:iCs/>
        </w:rPr>
        <w:t>ou</w:t>
      </w:r>
      <w:r>
        <w:rPr>
          <w:rFonts w:cstheme="minorHAnsi"/>
          <w:bCs/>
          <w:iCs/>
        </w:rPr>
        <w:t xml:space="preserve"> na bankovním účtu Společnosti </w:t>
      </w:r>
      <w:r w:rsidR="00EB41B8">
        <w:rPr>
          <w:rFonts w:cstheme="minorHAnsi"/>
          <w:bCs/>
          <w:iCs/>
        </w:rPr>
        <w:t>peněžní prostředky ve výši</w:t>
      </w:r>
      <w:r>
        <w:rPr>
          <w:rFonts w:cstheme="minorHAnsi"/>
          <w:bCs/>
          <w:iCs/>
        </w:rPr>
        <w:t xml:space="preserve"> </w:t>
      </w:r>
      <w:proofErr w:type="gramStart"/>
      <w:r>
        <w:rPr>
          <w:rFonts w:cstheme="minorHAnsi"/>
          <w:bCs/>
          <w:iCs/>
        </w:rPr>
        <w:t>100.000,-</w:t>
      </w:r>
      <w:proofErr w:type="gramEnd"/>
      <w:r>
        <w:rPr>
          <w:rFonts w:cstheme="minorHAnsi"/>
          <w:bCs/>
          <w:iCs/>
        </w:rPr>
        <w:t xml:space="preserve"> Kč z důvodu zajištění platební schopnosti Společnosti.</w:t>
      </w:r>
      <w:bookmarkEnd w:id="1"/>
    </w:p>
    <w:p w14:paraId="3F1174FE" w14:textId="77777777" w:rsidR="00A2005A" w:rsidRPr="00357BD2" w:rsidRDefault="00A2005A" w:rsidP="00357BD2">
      <w:pPr>
        <w:ind w:right="425"/>
        <w:jc w:val="both"/>
        <w:rPr>
          <w:rFonts w:cstheme="minorHAnsi"/>
          <w:bCs/>
          <w:iCs/>
        </w:rPr>
      </w:pPr>
    </w:p>
    <w:p w14:paraId="1BC2014D" w14:textId="77777777" w:rsidR="00A2005A" w:rsidRPr="00360404" w:rsidRDefault="00A2005A" w:rsidP="00AE5F74">
      <w:pPr>
        <w:pStyle w:val="Odstavecseseznamem"/>
        <w:numPr>
          <w:ilvl w:val="0"/>
          <w:numId w:val="8"/>
        </w:numPr>
        <w:ind w:left="426" w:hanging="426"/>
        <w:jc w:val="center"/>
        <w:rPr>
          <w:rFonts w:cstheme="minorHAnsi"/>
          <w:b/>
          <w:iCs/>
        </w:rPr>
      </w:pPr>
      <w:r w:rsidRPr="00360404">
        <w:rPr>
          <w:rFonts w:cstheme="minorHAnsi"/>
          <w:b/>
          <w:iCs/>
        </w:rPr>
        <w:t>Prohlášení nabyvatele</w:t>
      </w:r>
    </w:p>
    <w:p w14:paraId="7CB8B651" w14:textId="77777777" w:rsidR="00A2005A" w:rsidRPr="00360404" w:rsidRDefault="00A2005A" w:rsidP="00A2005A">
      <w:pPr>
        <w:pStyle w:val="Odstavecseseznamem"/>
        <w:rPr>
          <w:rFonts w:cstheme="minorHAnsi"/>
          <w:b/>
          <w:iCs/>
        </w:rPr>
      </w:pPr>
    </w:p>
    <w:p w14:paraId="55374F57" w14:textId="77777777" w:rsidR="00A2005A" w:rsidRPr="00360404" w:rsidRDefault="00A2005A" w:rsidP="00A2005A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bCs/>
          <w:iCs/>
        </w:rPr>
      </w:pPr>
      <w:r w:rsidRPr="00360404">
        <w:rPr>
          <w:rFonts w:cstheme="minorHAnsi"/>
          <w:bCs/>
          <w:iCs/>
        </w:rPr>
        <w:t>Nabyvatel prohlašuje, že (i) má plné a ničím neomezené právo uzavřít tuto Smlouvu a (</w:t>
      </w:r>
      <w:proofErr w:type="spellStart"/>
      <w:r w:rsidRPr="00360404">
        <w:rPr>
          <w:rFonts w:cstheme="minorHAnsi"/>
          <w:bCs/>
          <w:iCs/>
        </w:rPr>
        <w:t>ii</w:t>
      </w:r>
      <w:proofErr w:type="spellEnd"/>
      <w:r w:rsidRPr="00360404">
        <w:rPr>
          <w:rFonts w:cstheme="minorHAnsi"/>
          <w:bCs/>
          <w:iCs/>
        </w:rPr>
        <w:t>) je schopen plnit své povinnosti dle této Smlouvy v souladu s jejími ustanoveními, není v úpadku, hrozícím úpadku ani proti němu není vedeno insolvenční řízení či exekuční řízení ani nenastala žádná obdobná okolnost, která by měla nebo mohla mít za následek neplatnost či neúčinnost právního jednání.</w:t>
      </w:r>
    </w:p>
    <w:p w14:paraId="45EB97A5" w14:textId="77777777" w:rsidR="00A2005A" w:rsidRPr="00360404" w:rsidRDefault="00A2005A" w:rsidP="00A2005A">
      <w:pPr>
        <w:pStyle w:val="Odstavecseseznamem"/>
        <w:ind w:left="426" w:right="425"/>
        <w:jc w:val="both"/>
        <w:rPr>
          <w:rFonts w:cstheme="minorHAnsi"/>
          <w:bCs/>
          <w:iCs/>
        </w:rPr>
      </w:pPr>
    </w:p>
    <w:p w14:paraId="7A256303" w14:textId="77777777" w:rsidR="00A475DB" w:rsidRDefault="00A2005A" w:rsidP="00A475DB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iCs/>
        </w:rPr>
      </w:pPr>
      <w:r w:rsidRPr="00F312AC">
        <w:rPr>
          <w:rFonts w:cstheme="minorHAnsi"/>
          <w:iCs/>
        </w:rPr>
        <w:t>Nabyvatel prohlašuje, že je dostatečně solventní k řádnému a včasnému zaplacení Kupní ceny a dále že je schopen řádně plnit i další povinn</w:t>
      </w:r>
      <w:r w:rsidR="00A475DB">
        <w:rPr>
          <w:rFonts w:cstheme="minorHAnsi"/>
          <w:iCs/>
        </w:rPr>
        <w:t>osti plynoucí mu z této Smlouvy.</w:t>
      </w:r>
    </w:p>
    <w:p w14:paraId="075474A3" w14:textId="77777777" w:rsidR="00A2005A" w:rsidRPr="00A475DB" w:rsidRDefault="00A475DB" w:rsidP="00A475DB">
      <w:pPr>
        <w:pStyle w:val="Odstavecseseznamem"/>
        <w:ind w:left="426" w:right="425"/>
        <w:jc w:val="both"/>
        <w:rPr>
          <w:rFonts w:cstheme="minorHAnsi"/>
          <w:iCs/>
        </w:rPr>
      </w:pPr>
      <w:r w:rsidRPr="00A475DB">
        <w:rPr>
          <w:rFonts w:cstheme="minorHAnsi"/>
          <w:iCs/>
        </w:rPr>
        <w:t xml:space="preserve"> </w:t>
      </w:r>
    </w:p>
    <w:p w14:paraId="4E0B3F25" w14:textId="3583D831" w:rsidR="00A2005A" w:rsidRPr="00236C3B" w:rsidRDefault="00A2005A" w:rsidP="00A2005A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b/>
          <w:iCs/>
        </w:rPr>
      </w:pPr>
      <w:r w:rsidRPr="00236C3B">
        <w:rPr>
          <w:rFonts w:cstheme="minorHAnsi"/>
          <w:iCs/>
        </w:rPr>
        <w:t xml:space="preserve">Nabyvatel prohlašuje, že před uzavřením této Smlouvy na základě dokumentů </w:t>
      </w:r>
      <w:r w:rsidR="000457A5" w:rsidRPr="00236C3B">
        <w:rPr>
          <w:rFonts w:cstheme="minorHAnsi"/>
          <w:iCs/>
        </w:rPr>
        <w:t>před</w:t>
      </w:r>
      <w:r w:rsidR="000457A5">
        <w:rPr>
          <w:rFonts w:cstheme="minorHAnsi"/>
          <w:iCs/>
        </w:rPr>
        <w:t>em</w:t>
      </w:r>
      <w:r w:rsidR="000457A5" w:rsidRPr="00236C3B">
        <w:rPr>
          <w:rFonts w:cstheme="minorHAnsi"/>
          <w:iCs/>
        </w:rPr>
        <w:t xml:space="preserve"> </w:t>
      </w:r>
      <w:r w:rsidRPr="00236C3B">
        <w:rPr>
          <w:rFonts w:cstheme="minorHAnsi"/>
          <w:iCs/>
        </w:rPr>
        <w:t>poskytnutých Převodcem prověřil stav Společnosti a Podíl</w:t>
      </w:r>
      <w:r w:rsidR="00357BD2">
        <w:rPr>
          <w:rFonts w:cstheme="minorHAnsi"/>
          <w:iCs/>
        </w:rPr>
        <w:t>u</w:t>
      </w:r>
      <w:r w:rsidRPr="00236C3B">
        <w:rPr>
          <w:rFonts w:cstheme="minorHAnsi"/>
          <w:iCs/>
        </w:rPr>
        <w:t xml:space="preserve"> na ní, přičemž výsledky takového prověření shledal v kontextu poskytnutých prohlášení Převodce uspokojivými</w:t>
      </w:r>
      <w:r w:rsidR="000457A5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Pr="00236C3B">
        <w:rPr>
          <w:rFonts w:cstheme="minorHAnsi"/>
          <w:iCs/>
        </w:rPr>
        <w:t>a proto uzavírá tuto Smlouvu a Podíl ve Společnosti kupuje ve stavu, v jakém se ke dni podpisu této Smlouvy nachází. Nabyvatel prohlašuje, že ke dni uzavření této Smlouvy mu není znám žádný nárok, který by v souvislosti se stavem Společnosti nebo Podíl</w:t>
      </w:r>
      <w:r w:rsidR="00357BD2">
        <w:rPr>
          <w:rFonts w:cstheme="minorHAnsi"/>
          <w:iCs/>
        </w:rPr>
        <w:t>u</w:t>
      </w:r>
      <w:r w:rsidRPr="00236C3B">
        <w:rPr>
          <w:rFonts w:cstheme="minorHAnsi"/>
          <w:iCs/>
        </w:rPr>
        <w:t xml:space="preserve"> vůči Převodc</w:t>
      </w:r>
      <w:r w:rsidR="00357BD2">
        <w:rPr>
          <w:rFonts w:cstheme="minorHAnsi"/>
          <w:iCs/>
        </w:rPr>
        <w:t>i</w:t>
      </w:r>
      <w:r w:rsidRPr="00236C3B">
        <w:rPr>
          <w:rFonts w:cstheme="minorHAnsi"/>
          <w:iCs/>
        </w:rPr>
        <w:t xml:space="preserve"> Nabyvateli vznikl nebo mohl vzniknout. </w:t>
      </w:r>
    </w:p>
    <w:p w14:paraId="2082558C" w14:textId="77777777" w:rsidR="00A2005A" w:rsidRPr="00236C3B" w:rsidRDefault="00A2005A" w:rsidP="00A2005A">
      <w:pPr>
        <w:pStyle w:val="Odstavecseseznamem"/>
        <w:rPr>
          <w:rFonts w:cstheme="minorHAnsi"/>
          <w:iCs/>
        </w:rPr>
      </w:pPr>
    </w:p>
    <w:p w14:paraId="43188CF0" w14:textId="6EFB8BB5" w:rsidR="00A2005A" w:rsidRPr="0092778F" w:rsidRDefault="00A2005A" w:rsidP="00A2005A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bCs/>
          <w:iCs/>
        </w:rPr>
      </w:pPr>
      <w:r w:rsidRPr="0092778F">
        <w:rPr>
          <w:rFonts w:cstheme="minorHAnsi"/>
          <w:iCs/>
        </w:rPr>
        <w:t xml:space="preserve">Nabyvatel prohlašuje, že přistupuje ke společenské smlouvě Společnosti. </w:t>
      </w:r>
      <w:r w:rsidRPr="0092778F">
        <w:rPr>
          <w:rFonts w:cstheme="minorHAnsi"/>
          <w:bCs/>
          <w:iCs/>
        </w:rPr>
        <w:t>Nabyvatel dále prohlašuje, že s</w:t>
      </w:r>
      <w:r w:rsidR="000D5A53">
        <w:rPr>
          <w:rFonts w:cstheme="minorHAnsi"/>
          <w:bCs/>
          <w:iCs/>
        </w:rPr>
        <w:t> </w:t>
      </w:r>
      <w:r w:rsidR="002B379A">
        <w:rPr>
          <w:rFonts w:cstheme="minorHAnsi"/>
          <w:bCs/>
          <w:iCs/>
        </w:rPr>
        <w:t>K</w:t>
      </w:r>
      <w:r w:rsidR="000D5A53">
        <w:rPr>
          <w:rFonts w:cstheme="minorHAnsi"/>
          <w:bCs/>
          <w:iCs/>
        </w:rPr>
        <w:t xml:space="preserve">upní cenou </w:t>
      </w:r>
      <w:r w:rsidRPr="0092778F">
        <w:rPr>
          <w:rFonts w:cstheme="minorHAnsi"/>
          <w:bCs/>
          <w:iCs/>
        </w:rPr>
        <w:t>dle čl. III této Smlouvy výslovně souhlasí</w:t>
      </w:r>
      <w:r>
        <w:rPr>
          <w:rFonts w:cstheme="minorHAnsi"/>
          <w:bCs/>
          <w:iCs/>
        </w:rPr>
        <w:t>.</w:t>
      </w:r>
    </w:p>
    <w:p w14:paraId="1FE3AC0E" w14:textId="77777777" w:rsidR="00A2005A" w:rsidRPr="00236C3B" w:rsidRDefault="00A2005A" w:rsidP="00A2005A">
      <w:pPr>
        <w:pStyle w:val="Odstavecseseznamem"/>
        <w:rPr>
          <w:rFonts w:cstheme="minorHAnsi"/>
          <w:iCs/>
        </w:rPr>
      </w:pPr>
    </w:p>
    <w:p w14:paraId="7C4C58E5" w14:textId="571079B1" w:rsidR="00A2005A" w:rsidRPr="00A475DB" w:rsidRDefault="00A2005A" w:rsidP="00A2005A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b/>
          <w:iCs/>
        </w:rPr>
      </w:pPr>
      <w:r w:rsidRPr="00236C3B">
        <w:rPr>
          <w:rFonts w:cstheme="minorHAnsi"/>
          <w:iCs/>
        </w:rPr>
        <w:t xml:space="preserve">Nabyvatel bere na vědomí, že Převodce uzavírá tuto Smlouvu na základě závazků, prohlášení a ujištění Nabyvatele uvedených v článku V. této Smlouvy. </w:t>
      </w:r>
    </w:p>
    <w:p w14:paraId="17FB31CB" w14:textId="77777777" w:rsidR="00A475DB" w:rsidRPr="00A475DB" w:rsidRDefault="00A475DB" w:rsidP="00A475DB">
      <w:pPr>
        <w:pStyle w:val="Odstavecseseznamem"/>
        <w:ind w:left="426" w:right="425"/>
        <w:jc w:val="both"/>
        <w:rPr>
          <w:rFonts w:cstheme="minorHAnsi"/>
          <w:b/>
          <w:iCs/>
        </w:rPr>
      </w:pPr>
    </w:p>
    <w:p w14:paraId="1AB2021A" w14:textId="565EEEBF" w:rsidR="00A475DB" w:rsidRPr="00A475DB" w:rsidRDefault="00A475DB" w:rsidP="00A2005A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 xml:space="preserve">Nabyvatel prohlašuje, že tato Smlouva byla před jejím podpisem projednána a koupě Podílu schválena dozorčí radou </w:t>
      </w:r>
      <w:r w:rsidRPr="00CD1141">
        <w:rPr>
          <w:rFonts w:cstheme="minorHAnsi"/>
          <w:iCs/>
        </w:rPr>
        <w:t>Nabyvatele.</w:t>
      </w:r>
    </w:p>
    <w:p w14:paraId="7E39DBEB" w14:textId="77777777" w:rsidR="00A2005A" w:rsidRPr="00236C3B" w:rsidRDefault="00A2005A" w:rsidP="00A2005A">
      <w:pPr>
        <w:pStyle w:val="Odstavecseseznamem"/>
        <w:rPr>
          <w:rFonts w:cstheme="minorHAnsi"/>
          <w:iCs/>
        </w:rPr>
      </w:pPr>
    </w:p>
    <w:p w14:paraId="0CB6BFFC" w14:textId="77777777" w:rsidR="00A2005A" w:rsidRPr="00236C3B" w:rsidRDefault="00A2005A" w:rsidP="00A2005A">
      <w:pPr>
        <w:pStyle w:val="Odstavecseseznamem"/>
        <w:numPr>
          <w:ilvl w:val="0"/>
          <w:numId w:val="5"/>
        </w:numPr>
        <w:ind w:left="426" w:right="425" w:hanging="426"/>
        <w:jc w:val="both"/>
        <w:rPr>
          <w:rFonts w:cstheme="minorHAnsi"/>
          <w:b/>
          <w:iCs/>
        </w:rPr>
      </w:pPr>
      <w:r w:rsidRPr="00236C3B">
        <w:rPr>
          <w:rFonts w:cstheme="minorHAnsi"/>
          <w:iCs/>
        </w:rPr>
        <w:t xml:space="preserve">Nabyvatel prohlašuje, že </w:t>
      </w:r>
      <w:r w:rsidRPr="00236C3B">
        <w:rPr>
          <w:rFonts w:cstheme="minorHAnsi"/>
          <w:b/>
          <w:bCs/>
          <w:iCs/>
        </w:rPr>
        <w:t>souhlasí se zápisem své osoby jako</w:t>
      </w:r>
      <w:r w:rsidR="00357BD2">
        <w:rPr>
          <w:rFonts w:cstheme="minorHAnsi"/>
          <w:b/>
          <w:bCs/>
          <w:iCs/>
        </w:rPr>
        <w:t xml:space="preserve"> </w:t>
      </w:r>
      <w:r w:rsidRPr="00236C3B">
        <w:rPr>
          <w:rFonts w:cstheme="minorHAnsi"/>
          <w:b/>
          <w:bCs/>
          <w:iCs/>
        </w:rPr>
        <w:t>společníka Společnosti do obchodního rejstříku.</w:t>
      </w:r>
      <w:r w:rsidRPr="00236C3B">
        <w:rPr>
          <w:rFonts w:cstheme="minorHAnsi"/>
          <w:b/>
          <w:bCs/>
          <w:iCs/>
        </w:rPr>
        <w:tab/>
      </w:r>
      <w:r w:rsidRPr="00236C3B">
        <w:rPr>
          <w:rFonts w:cstheme="minorHAnsi"/>
          <w:iCs/>
        </w:rPr>
        <w:br/>
      </w:r>
    </w:p>
    <w:p w14:paraId="5617266B" w14:textId="5696686B" w:rsidR="00F7036B" w:rsidRPr="00360404" w:rsidRDefault="00A2005A" w:rsidP="00AE5F74">
      <w:pPr>
        <w:pStyle w:val="Odstavecseseznamem"/>
        <w:numPr>
          <w:ilvl w:val="0"/>
          <w:numId w:val="8"/>
        </w:numPr>
        <w:ind w:left="426" w:hanging="426"/>
        <w:jc w:val="center"/>
        <w:rPr>
          <w:rFonts w:cstheme="minorHAnsi"/>
          <w:b/>
          <w:iCs/>
        </w:rPr>
      </w:pPr>
      <w:r w:rsidRPr="00360404">
        <w:rPr>
          <w:rFonts w:cstheme="minorHAnsi"/>
          <w:b/>
          <w:iCs/>
        </w:rPr>
        <w:t>Závěrečná ujednání</w:t>
      </w:r>
    </w:p>
    <w:p w14:paraId="606C76C8" w14:textId="77777777" w:rsidR="00A2005A" w:rsidRPr="00074F9B" w:rsidRDefault="00A2005A" w:rsidP="00074F9B">
      <w:pPr>
        <w:pStyle w:val="Odstavecseseznamem"/>
        <w:ind w:left="426"/>
        <w:rPr>
          <w:rFonts w:cstheme="minorHAnsi"/>
          <w:b/>
          <w:iCs/>
        </w:rPr>
      </w:pPr>
    </w:p>
    <w:p w14:paraId="2DEA93E5" w14:textId="07757D4A" w:rsidR="00CD1141" w:rsidRDefault="00A475DB" w:rsidP="00A2005A">
      <w:pPr>
        <w:pStyle w:val="Odstavecseseznamem"/>
        <w:numPr>
          <w:ilvl w:val="0"/>
          <w:numId w:val="6"/>
        </w:numPr>
        <w:ind w:left="426" w:right="425" w:hanging="426"/>
        <w:jc w:val="both"/>
        <w:rPr>
          <w:rFonts w:cstheme="minorHAnsi"/>
          <w:iCs/>
        </w:rPr>
      </w:pPr>
      <w:r w:rsidRPr="00A475DB">
        <w:rPr>
          <w:rFonts w:cstheme="minorHAnsi"/>
          <w:iCs/>
        </w:rPr>
        <w:t xml:space="preserve">Smluvní strany </w:t>
      </w:r>
      <w:r>
        <w:rPr>
          <w:rFonts w:cstheme="minorHAnsi"/>
          <w:iCs/>
        </w:rPr>
        <w:t>ujednávají, že převod Podílu z Převodce na Nabyvatele podle této Smlouvy nabude</w:t>
      </w:r>
      <w:r w:rsidR="00CD1141">
        <w:rPr>
          <w:rFonts w:cstheme="minorHAnsi"/>
          <w:iCs/>
        </w:rPr>
        <w:t xml:space="preserve"> účinnosti dne </w:t>
      </w:r>
      <w:r w:rsidR="000457A5">
        <w:rPr>
          <w:rFonts w:cstheme="minorHAnsi"/>
          <w:bCs/>
          <w:iCs/>
        </w:rPr>
        <w:t>Dnem převodu</w:t>
      </w:r>
      <w:r w:rsidR="000457A5">
        <w:rPr>
          <w:rFonts w:cstheme="minorHAnsi"/>
          <w:iCs/>
        </w:rPr>
        <w:t xml:space="preserve">, </w:t>
      </w:r>
      <w:r w:rsidR="00CD1141">
        <w:rPr>
          <w:rFonts w:cstheme="minorHAnsi"/>
          <w:iCs/>
        </w:rPr>
        <w:t>tedy převod Podílu strany sjednávají s účinky k</w:t>
      </w:r>
      <w:r w:rsidR="000457A5">
        <w:rPr>
          <w:rFonts w:cstheme="minorHAnsi"/>
          <w:iCs/>
        </w:rPr>
        <w:t> </w:t>
      </w:r>
      <w:r w:rsidR="000457A5">
        <w:rPr>
          <w:rFonts w:cstheme="minorHAnsi"/>
          <w:bCs/>
          <w:iCs/>
        </w:rPr>
        <w:t>31. 5. 2024.</w:t>
      </w:r>
    </w:p>
    <w:p w14:paraId="634FD9B3" w14:textId="77777777" w:rsidR="00CD1141" w:rsidRDefault="00CD1141" w:rsidP="00CD1141">
      <w:pPr>
        <w:pStyle w:val="Odstavecseseznamem"/>
        <w:ind w:left="426" w:right="425"/>
        <w:jc w:val="both"/>
        <w:rPr>
          <w:rFonts w:cstheme="minorHAnsi"/>
          <w:iCs/>
        </w:rPr>
      </w:pPr>
    </w:p>
    <w:p w14:paraId="280CB53B" w14:textId="53877FB7" w:rsidR="00CD1141" w:rsidRDefault="00CD1141" w:rsidP="00A2005A">
      <w:pPr>
        <w:pStyle w:val="Odstavecseseznamem"/>
        <w:numPr>
          <w:ilvl w:val="0"/>
          <w:numId w:val="6"/>
        </w:numPr>
        <w:ind w:left="426" w:right="425" w:hanging="426"/>
        <w:jc w:val="both"/>
        <w:rPr>
          <w:rFonts w:cstheme="minorHAnsi"/>
          <w:iCs/>
        </w:rPr>
      </w:pPr>
      <w:r w:rsidRPr="00236C3B">
        <w:rPr>
          <w:rFonts w:cstheme="minorHAnsi"/>
          <w:iCs/>
        </w:rPr>
        <w:t xml:space="preserve">Tato Smlouva nabývá platnosti dnem podpisu oběma Smluvními stranami. Účinky převodu Podílu vůči Společnosti v souladu s § 209 ZOK </w:t>
      </w:r>
      <w:r>
        <w:rPr>
          <w:rFonts w:cstheme="minorHAnsi"/>
          <w:iCs/>
        </w:rPr>
        <w:t xml:space="preserve">nejdříve </w:t>
      </w:r>
      <w:r w:rsidRPr="00236C3B">
        <w:rPr>
          <w:rFonts w:cstheme="minorHAnsi"/>
          <w:iCs/>
        </w:rPr>
        <w:t>dnem doručení této Smlouvy Společnosti.</w:t>
      </w:r>
      <w:r>
        <w:rPr>
          <w:rFonts w:cstheme="minorHAnsi"/>
          <w:iCs/>
        </w:rPr>
        <w:t xml:space="preserve"> </w:t>
      </w:r>
    </w:p>
    <w:p w14:paraId="1BE9BEF3" w14:textId="77777777" w:rsidR="00CD1141" w:rsidRDefault="00CD1141" w:rsidP="00CD1141">
      <w:pPr>
        <w:pStyle w:val="Odstavecseseznamem"/>
        <w:ind w:left="426" w:right="425"/>
        <w:jc w:val="both"/>
        <w:rPr>
          <w:rFonts w:cstheme="minorHAnsi"/>
          <w:iCs/>
        </w:rPr>
      </w:pPr>
    </w:p>
    <w:p w14:paraId="598DCBCB" w14:textId="41544498" w:rsidR="00CD1141" w:rsidRPr="00CD1141" w:rsidRDefault="00CD1141" w:rsidP="00CD1141">
      <w:pPr>
        <w:pStyle w:val="Odstavecseseznamem"/>
        <w:numPr>
          <w:ilvl w:val="0"/>
          <w:numId w:val="6"/>
        </w:numPr>
        <w:ind w:left="426" w:right="425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Smluvní strany berou na vědomí, že </w:t>
      </w:r>
      <w:r w:rsidR="00A475DB" w:rsidRPr="00CD1141">
        <w:rPr>
          <w:rFonts w:cstheme="minorHAnsi"/>
          <w:iCs/>
        </w:rPr>
        <w:t xml:space="preserve">účinnosti </w:t>
      </w:r>
      <w:r w:rsidRPr="00CD1141">
        <w:rPr>
          <w:rFonts w:cstheme="minorHAnsi"/>
          <w:iCs/>
        </w:rPr>
        <w:t>nabývá</w:t>
      </w:r>
      <w:r>
        <w:rPr>
          <w:rFonts w:cstheme="minorHAnsi"/>
          <w:iCs/>
        </w:rPr>
        <w:t xml:space="preserve"> tato smlouva dnem </w:t>
      </w:r>
      <w:r w:rsidRPr="00CD1141">
        <w:rPr>
          <w:rFonts w:cstheme="minorHAnsi"/>
          <w:iCs/>
        </w:rPr>
        <w:t>uveřejnění v registru smluv v souladu se zákonem č.</w:t>
      </w:r>
      <w:r w:rsidR="000A357B">
        <w:rPr>
          <w:rFonts w:cstheme="minorHAnsi"/>
          <w:iCs/>
        </w:rPr>
        <w:t xml:space="preserve"> </w:t>
      </w:r>
      <w:r w:rsidRPr="00CD1141">
        <w:rPr>
          <w:rFonts w:cstheme="minorHAnsi"/>
          <w:iCs/>
        </w:rPr>
        <w:t>340/2015 Sb.</w:t>
      </w:r>
      <w:r w:rsidR="008365F3">
        <w:rPr>
          <w:rFonts w:cstheme="minorHAnsi"/>
          <w:iCs/>
        </w:rPr>
        <w:t>,</w:t>
      </w:r>
      <w:r w:rsidRPr="00CD1141">
        <w:rPr>
          <w:rFonts w:cstheme="minorHAnsi"/>
          <w:iCs/>
        </w:rPr>
        <w:t xml:space="preserve"> o registru smluv, v platném znění, které provede</w:t>
      </w:r>
      <w:r>
        <w:rPr>
          <w:rFonts w:cstheme="minorHAnsi"/>
          <w:iCs/>
        </w:rPr>
        <w:t xml:space="preserve"> Nabyvatel. Tím není dotčeno ujednání 6.1. této Smlouvy.</w:t>
      </w:r>
    </w:p>
    <w:p w14:paraId="2B53D971" w14:textId="77777777" w:rsidR="00A475DB" w:rsidRPr="00A475DB" w:rsidRDefault="00A475DB" w:rsidP="00A475DB">
      <w:pPr>
        <w:pStyle w:val="Odstavecseseznamem"/>
        <w:ind w:left="426" w:right="425"/>
        <w:jc w:val="both"/>
        <w:rPr>
          <w:rFonts w:cstheme="minorHAnsi"/>
          <w:iCs/>
        </w:rPr>
      </w:pPr>
    </w:p>
    <w:p w14:paraId="4AC996B2" w14:textId="77777777" w:rsidR="00A2005A" w:rsidRPr="00236C3B" w:rsidRDefault="00A2005A" w:rsidP="00A2005A">
      <w:pPr>
        <w:pStyle w:val="Odstavecseseznamem"/>
        <w:numPr>
          <w:ilvl w:val="0"/>
          <w:numId w:val="6"/>
        </w:numPr>
        <w:ind w:left="426" w:right="425" w:hanging="426"/>
        <w:jc w:val="both"/>
        <w:rPr>
          <w:rFonts w:cstheme="minorHAnsi"/>
          <w:b/>
          <w:iCs/>
        </w:rPr>
      </w:pPr>
      <w:r w:rsidRPr="00360404">
        <w:rPr>
          <w:rFonts w:cstheme="minorHAnsi"/>
          <w:iCs/>
        </w:rPr>
        <w:t xml:space="preserve">Tato Smlouva se uzavírá v souladu s českým právem a řídí se platnými a účinnými právními předpisy České republiky. </w:t>
      </w:r>
    </w:p>
    <w:p w14:paraId="32A711EB" w14:textId="77777777" w:rsidR="00A2005A" w:rsidRPr="00236C3B" w:rsidRDefault="00A2005A" w:rsidP="00A2005A">
      <w:pPr>
        <w:pStyle w:val="Odstavecseseznamem"/>
        <w:ind w:left="426" w:right="425"/>
        <w:jc w:val="both"/>
        <w:rPr>
          <w:rFonts w:cstheme="minorHAnsi"/>
          <w:b/>
          <w:iCs/>
        </w:rPr>
      </w:pPr>
    </w:p>
    <w:p w14:paraId="65C55D96" w14:textId="2C4FA21A" w:rsidR="00A2005A" w:rsidRPr="00CD1141" w:rsidRDefault="00A2005A" w:rsidP="00CD1141">
      <w:pPr>
        <w:pStyle w:val="Odstavecseseznamem"/>
        <w:numPr>
          <w:ilvl w:val="0"/>
          <w:numId w:val="6"/>
        </w:numPr>
        <w:ind w:left="426" w:right="425" w:hanging="426"/>
        <w:jc w:val="both"/>
        <w:rPr>
          <w:rFonts w:cstheme="minorHAnsi"/>
          <w:b/>
          <w:iCs/>
        </w:rPr>
      </w:pPr>
      <w:r w:rsidRPr="00236C3B">
        <w:rPr>
          <w:rFonts w:cstheme="minorHAnsi"/>
          <w:iCs/>
        </w:rPr>
        <w:t xml:space="preserve">Tato </w:t>
      </w:r>
      <w:r w:rsidR="00357BD2">
        <w:rPr>
          <w:rFonts w:cstheme="minorHAnsi"/>
          <w:iCs/>
        </w:rPr>
        <w:t xml:space="preserve">Smlouva je sepsána ve </w:t>
      </w:r>
      <w:r w:rsidR="00782748">
        <w:rPr>
          <w:rFonts w:cstheme="minorHAnsi"/>
          <w:iCs/>
        </w:rPr>
        <w:t>3</w:t>
      </w:r>
      <w:r w:rsidR="000D5A53">
        <w:rPr>
          <w:rFonts w:cstheme="minorHAnsi"/>
          <w:iCs/>
        </w:rPr>
        <w:t xml:space="preserve"> </w:t>
      </w:r>
      <w:r w:rsidR="00357BD2">
        <w:rPr>
          <w:rFonts w:cstheme="minorHAnsi"/>
          <w:iCs/>
        </w:rPr>
        <w:t>(</w:t>
      </w:r>
      <w:r w:rsidR="00782748">
        <w:rPr>
          <w:rFonts w:cstheme="minorHAnsi"/>
          <w:iCs/>
        </w:rPr>
        <w:t>tř</w:t>
      </w:r>
      <w:r w:rsidR="00357BD2">
        <w:rPr>
          <w:rFonts w:cstheme="minorHAnsi"/>
          <w:iCs/>
        </w:rPr>
        <w:t>ech</w:t>
      </w:r>
      <w:r w:rsidRPr="00236C3B">
        <w:rPr>
          <w:rFonts w:cstheme="minorHAnsi"/>
          <w:iCs/>
        </w:rPr>
        <w:t xml:space="preserve">) vyhotoveních, z nichž každá Smluvní strana obdrží po jednom. </w:t>
      </w:r>
      <w:r w:rsidR="000D5A53">
        <w:rPr>
          <w:rFonts w:cstheme="minorHAnsi"/>
          <w:iCs/>
        </w:rPr>
        <w:t>Jedno</w:t>
      </w:r>
      <w:r w:rsidR="00AF2D1B" w:rsidRPr="00236C3B">
        <w:rPr>
          <w:rFonts w:cstheme="minorHAnsi"/>
          <w:iCs/>
        </w:rPr>
        <w:t xml:space="preserve"> </w:t>
      </w:r>
      <w:r w:rsidRPr="00236C3B">
        <w:rPr>
          <w:rFonts w:cstheme="minorHAnsi"/>
          <w:iCs/>
        </w:rPr>
        <w:t>vyhotovení bude doručeno Společnosti a</w:t>
      </w:r>
      <w:r w:rsidR="000D5A53">
        <w:rPr>
          <w:rFonts w:cstheme="minorHAnsi"/>
          <w:iCs/>
        </w:rPr>
        <w:t xml:space="preserve"> jedno</w:t>
      </w:r>
      <w:r w:rsidRPr="00236C3B">
        <w:rPr>
          <w:rFonts w:cstheme="minorHAnsi"/>
          <w:iCs/>
        </w:rPr>
        <w:t xml:space="preserve"> bude použito</w:t>
      </w:r>
      <w:r w:rsidR="000D5A53">
        <w:rPr>
          <w:rFonts w:cstheme="minorHAnsi"/>
          <w:iCs/>
        </w:rPr>
        <w:t xml:space="preserve"> </w:t>
      </w:r>
      <w:r w:rsidR="00A47883">
        <w:rPr>
          <w:rFonts w:cstheme="minorHAnsi"/>
          <w:iCs/>
        </w:rPr>
        <w:t>Nabyvatelem</w:t>
      </w:r>
      <w:r w:rsidR="00A47883" w:rsidRPr="00236C3B">
        <w:rPr>
          <w:rFonts w:cstheme="minorHAnsi"/>
          <w:iCs/>
        </w:rPr>
        <w:t xml:space="preserve"> </w:t>
      </w:r>
      <w:r w:rsidRPr="00236C3B">
        <w:rPr>
          <w:rFonts w:cstheme="minorHAnsi"/>
          <w:iCs/>
        </w:rPr>
        <w:t xml:space="preserve">pro účely zápisu změny do obchodního rejstříku. </w:t>
      </w:r>
      <w:r w:rsidRPr="00236C3B">
        <w:rPr>
          <w:rFonts w:cstheme="minorHAnsi"/>
          <w:iCs/>
        </w:rPr>
        <w:tab/>
      </w:r>
      <w:r w:rsidRPr="00CD1141">
        <w:rPr>
          <w:rFonts w:cstheme="minorHAnsi"/>
          <w:iCs/>
        </w:rPr>
        <w:br/>
      </w:r>
    </w:p>
    <w:p w14:paraId="5FA42E6A" w14:textId="77777777" w:rsidR="00A2005A" w:rsidRPr="00236C3B" w:rsidRDefault="00A2005A" w:rsidP="00074F9B">
      <w:pPr>
        <w:pStyle w:val="Odstavecseseznamem"/>
        <w:numPr>
          <w:ilvl w:val="0"/>
          <w:numId w:val="6"/>
        </w:numPr>
        <w:ind w:left="425" w:right="425" w:hanging="425"/>
        <w:contextualSpacing w:val="0"/>
        <w:jc w:val="both"/>
        <w:rPr>
          <w:rFonts w:cstheme="minorHAnsi"/>
          <w:b/>
          <w:iCs/>
        </w:rPr>
      </w:pPr>
      <w:r w:rsidRPr="00236C3B">
        <w:rPr>
          <w:rFonts w:cstheme="minorHAnsi"/>
          <w:iCs/>
        </w:rPr>
        <w:t xml:space="preserve">Smluvní strany prohlašují, že tuto Smlouvu uzavírají podle své pravé, vážné a svobodné vůle, nikoli v tísni ani za jinak nápadně nevýhodných podmínek, že si Smlouvu přečetly, jejímu obsahu porozuměly a souhlasí s ním a na důkaz toho níže připojují své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855"/>
        <w:gridCol w:w="3969"/>
      </w:tblGrid>
      <w:tr w:rsidR="00A2005A" w14:paraId="66B625D0" w14:textId="77777777" w:rsidTr="00B016C5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8A4AF" w14:textId="77777777" w:rsidR="00A2005A" w:rsidRDefault="00A2005A" w:rsidP="00056238">
            <w:pPr>
              <w:ind w:right="-627"/>
            </w:pPr>
            <w:r>
              <w:t>V ______________ dne _____________</w:t>
            </w:r>
          </w:p>
          <w:p w14:paraId="0452A47F" w14:textId="77777777" w:rsidR="00A2005A" w:rsidRDefault="00A2005A" w:rsidP="00056238">
            <w:pPr>
              <w:ind w:right="-627"/>
            </w:pPr>
          </w:p>
          <w:p w14:paraId="717D4438" w14:textId="77777777" w:rsidR="00A2005A" w:rsidRDefault="00A2005A" w:rsidP="00056238">
            <w:pPr>
              <w:ind w:right="-627"/>
            </w:pPr>
          </w:p>
          <w:p w14:paraId="6DAF1F5D" w14:textId="77777777" w:rsidR="00A2005A" w:rsidRDefault="00A2005A" w:rsidP="00056238">
            <w:pPr>
              <w:ind w:right="-627"/>
            </w:pPr>
          </w:p>
          <w:p w14:paraId="725318E9" w14:textId="77777777" w:rsidR="00A2005A" w:rsidRDefault="00A2005A" w:rsidP="00056238">
            <w:pPr>
              <w:ind w:right="-627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EF92A9" w14:textId="77777777" w:rsidR="00A2005A" w:rsidRDefault="00A2005A" w:rsidP="0005623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A4C84" w14:textId="77777777" w:rsidR="00A2005A" w:rsidRDefault="00B016C5" w:rsidP="00B016C5">
            <w:r>
              <w:t>V ______________ dne</w:t>
            </w:r>
            <w:r w:rsidR="00A2005A" w:rsidRPr="00A0323C">
              <w:t>____________</w:t>
            </w:r>
          </w:p>
        </w:tc>
      </w:tr>
      <w:tr w:rsidR="00A2005A" w14:paraId="2FA4ECB2" w14:textId="77777777" w:rsidTr="00B016C5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74D58FCD" w14:textId="3BB7BF4E" w:rsidR="00A2005A" w:rsidRPr="001F1116" w:rsidRDefault="001E0509" w:rsidP="00B05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A475DB">
              <w:rPr>
                <w:b/>
                <w:bCs/>
              </w:rPr>
              <w:t xml:space="preserve">MUDr. </w:t>
            </w:r>
            <w:r w:rsidR="008A7A69">
              <w:rPr>
                <w:b/>
                <w:bCs/>
              </w:rPr>
              <w:t xml:space="preserve">Roman </w:t>
            </w:r>
            <w:proofErr w:type="spellStart"/>
            <w:r w:rsidR="008A7A69">
              <w:rPr>
                <w:b/>
                <w:bCs/>
              </w:rPr>
              <w:t>Šmucler</w:t>
            </w:r>
            <w:proofErr w:type="spellEnd"/>
            <w:r w:rsidR="008A7A69">
              <w:rPr>
                <w:b/>
                <w:bCs/>
              </w:rPr>
              <w:t>, CSc.</w:t>
            </w:r>
            <w:r w:rsidR="00A2005A" w:rsidRPr="001F1116">
              <w:rPr>
                <w:b/>
                <w:bCs/>
              </w:rPr>
              <w:br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FA9340" w14:textId="77777777" w:rsidR="00A2005A" w:rsidRDefault="00A2005A" w:rsidP="00056238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AEFC7C2" w14:textId="77777777" w:rsidR="00A2005A" w:rsidRPr="00A0323C" w:rsidRDefault="00A2005A" w:rsidP="00056238">
            <w:pPr>
              <w:jc w:val="center"/>
              <w:rPr>
                <w:b/>
              </w:rPr>
            </w:pPr>
            <w:r>
              <w:rPr>
                <w:b/>
              </w:rPr>
              <w:t>Karlovarská krajská nemocnice a.s.</w:t>
            </w:r>
          </w:p>
          <w:p w14:paraId="2BCF1839" w14:textId="77777777" w:rsidR="00A2005A" w:rsidRDefault="00A2005A" w:rsidP="00056238">
            <w:pPr>
              <w:jc w:val="center"/>
            </w:pPr>
            <w:r>
              <w:t xml:space="preserve">MUDr. Josef </w:t>
            </w:r>
            <w:proofErr w:type="spellStart"/>
            <w:r>
              <w:t>März</w:t>
            </w:r>
            <w:proofErr w:type="spellEnd"/>
            <w:r>
              <w:t xml:space="preserve">, </w:t>
            </w:r>
          </w:p>
          <w:p w14:paraId="42E105C5" w14:textId="77777777" w:rsidR="00A2005A" w:rsidRDefault="00A2005A" w:rsidP="00056238">
            <w:pPr>
              <w:jc w:val="center"/>
            </w:pPr>
            <w:r>
              <w:t>předseda představenstva</w:t>
            </w:r>
          </w:p>
          <w:p w14:paraId="4DA71FD9" w14:textId="77777777" w:rsidR="00A2005A" w:rsidRDefault="00A2005A" w:rsidP="00056238">
            <w:pPr>
              <w:jc w:val="center"/>
            </w:pPr>
          </w:p>
          <w:p w14:paraId="1F7D9409" w14:textId="77777777" w:rsidR="00A2005A" w:rsidRPr="00D00D99" w:rsidRDefault="00A2005A" w:rsidP="00056238">
            <w:pPr>
              <w:jc w:val="center"/>
            </w:pPr>
          </w:p>
        </w:tc>
      </w:tr>
      <w:tr w:rsidR="00A2005A" w14:paraId="27950723" w14:textId="77777777" w:rsidTr="00B016C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51930D1" w14:textId="77777777" w:rsidR="00A2005A" w:rsidRDefault="00A2005A" w:rsidP="00A475DB">
            <w:pPr>
              <w:ind w:right="-627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72BF0F" w14:textId="77777777" w:rsidR="00A2005A" w:rsidRDefault="00A2005A" w:rsidP="0005623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62F6" w14:textId="77777777" w:rsidR="00A2005A" w:rsidRDefault="00B016C5" w:rsidP="00B016C5">
            <w:r>
              <w:t>V ______________ dne</w:t>
            </w:r>
            <w:r w:rsidR="00A2005A" w:rsidRPr="00A0323C">
              <w:t>____________</w:t>
            </w:r>
          </w:p>
          <w:p w14:paraId="5D996044" w14:textId="77777777" w:rsidR="00A2005A" w:rsidRDefault="00A2005A" w:rsidP="00056238"/>
          <w:p w14:paraId="600EF5EE" w14:textId="77777777" w:rsidR="00A2005A" w:rsidRDefault="00A2005A" w:rsidP="00056238"/>
          <w:p w14:paraId="38FD9483" w14:textId="77777777" w:rsidR="006C5D60" w:rsidRDefault="006C5D60" w:rsidP="00056238"/>
          <w:p w14:paraId="73373263" w14:textId="77777777" w:rsidR="00A2005A" w:rsidRDefault="00A2005A" w:rsidP="00056238">
            <w:pPr>
              <w:rPr>
                <w:b/>
              </w:rPr>
            </w:pPr>
          </w:p>
        </w:tc>
      </w:tr>
      <w:tr w:rsidR="00A2005A" w14:paraId="18AA34B4" w14:textId="77777777" w:rsidTr="00B016C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B3F9745" w14:textId="77777777" w:rsidR="00A2005A" w:rsidRDefault="00A2005A" w:rsidP="0005623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9AE577" w14:textId="77777777" w:rsidR="00A2005A" w:rsidRDefault="00A2005A" w:rsidP="00056238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1F74C" w14:textId="77777777" w:rsidR="00A2005A" w:rsidRDefault="00A2005A" w:rsidP="00056238">
            <w:pPr>
              <w:jc w:val="center"/>
              <w:rPr>
                <w:b/>
              </w:rPr>
            </w:pPr>
            <w:r>
              <w:rPr>
                <w:b/>
              </w:rPr>
              <w:t>Karlovarská krajská nemocnice a.s.</w:t>
            </w:r>
          </w:p>
          <w:p w14:paraId="6F58FC31" w14:textId="1228464E" w:rsidR="00A2005A" w:rsidRPr="003F33B6" w:rsidRDefault="00A2005A" w:rsidP="000562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Ing. </w:t>
            </w:r>
            <w:r w:rsidR="00A3417E">
              <w:rPr>
                <w:bCs/>
              </w:rPr>
              <w:t>Martin Čvančara, MBA</w:t>
            </w:r>
            <w:r>
              <w:rPr>
                <w:bCs/>
              </w:rPr>
              <w:t>,</w:t>
            </w:r>
          </w:p>
          <w:p w14:paraId="43CFDEFC" w14:textId="4A4E9B7E" w:rsidR="00A2005A" w:rsidRPr="006C5D60" w:rsidRDefault="00A3417E" w:rsidP="006C5D60">
            <w:pPr>
              <w:jc w:val="center"/>
              <w:rPr>
                <w:bCs/>
              </w:rPr>
            </w:pPr>
            <w:r>
              <w:rPr>
                <w:bCs/>
              </w:rPr>
              <w:t>člen</w:t>
            </w:r>
            <w:r w:rsidRPr="003F33B6">
              <w:rPr>
                <w:bCs/>
              </w:rPr>
              <w:t xml:space="preserve"> </w:t>
            </w:r>
            <w:r w:rsidR="00A2005A" w:rsidRPr="003F33B6">
              <w:rPr>
                <w:bCs/>
              </w:rPr>
              <w:t>pře</w:t>
            </w:r>
            <w:r w:rsidR="00A2005A">
              <w:rPr>
                <w:bCs/>
              </w:rPr>
              <w:t>d</w:t>
            </w:r>
            <w:r w:rsidR="00A2005A" w:rsidRPr="003F33B6">
              <w:rPr>
                <w:bCs/>
              </w:rPr>
              <w:t>stavenstva</w:t>
            </w:r>
          </w:p>
        </w:tc>
      </w:tr>
      <w:tr w:rsidR="00A2005A" w14:paraId="5E1D4E34" w14:textId="77777777" w:rsidTr="00B016C5">
        <w:trPr>
          <w:trHeight w:val="140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4B497FC" w14:textId="77777777" w:rsidR="00A2005A" w:rsidRDefault="00A2005A" w:rsidP="0005623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377A09" w14:textId="77777777" w:rsidR="00A2005A" w:rsidRDefault="00A2005A" w:rsidP="0005623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517CCA" w14:textId="77777777" w:rsidR="00A2005A" w:rsidRDefault="00A2005A" w:rsidP="00A475DB"/>
          <w:p w14:paraId="172D4334" w14:textId="77777777" w:rsidR="00A2005A" w:rsidRDefault="00A2005A" w:rsidP="00056238"/>
          <w:p w14:paraId="3E77D212" w14:textId="77777777" w:rsidR="00A2005A" w:rsidRDefault="00A2005A" w:rsidP="00056238"/>
          <w:p w14:paraId="15C2CE83" w14:textId="77777777" w:rsidR="00A2005A" w:rsidRDefault="00A2005A" w:rsidP="00056238"/>
          <w:p w14:paraId="6D79467D" w14:textId="77777777" w:rsidR="00A2005A" w:rsidRDefault="00A2005A" w:rsidP="00056238"/>
          <w:p w14:paraId="60920D83" w14:textId="77777777" w:rsidR="00A2005A" w:rsidRDefault="00A2005A" w:rsidP="00B016C5">
            <w:pPr>
              <w:rPr>
                <w:b/>
              </w:rPr>
            </w:pPr>
          </w:p>
        </w:tc>
      </w:tr>
    </w:tbl>
    <w:p w14:paraId="0216ACFE" w14:textId="77777777" w:rsidR="00A77C23" w:rsidRDefault="00A77C23" w:rsidP="00983F74">
      <w:pPr>
        <w:ind w:left="1416" w:hanging="1410"/>
      </w:pPr>
    </w:p>
    <w:p w14:paraId="254E0526" w14:textId="130D58DC" w:rsidR="00983F74" w:rsidRDefault="00983F74" w:rsidP="00983F74">
      <w:pPr>
        <w:ind w:left="1416" w:hanging="1410"/>
        <w:rPr>
          <w:rFonts w:cstheme="minorHAnsi"/>
          <w:bCs/>
          <w:iCs/>
        </w:rPr>
      </w:pPr>
      <w:r>
        <w:t>Přílohy:</w:t>
      </w:r>
      <w:r>
        <w:tab/>
        <w:t xml:space="preserve">- příloha č. 1: </w:t>
      </w:r>
      <w:r>
        <w:rPr>
          <w:rFonts w:cstheme="minorHAnsi"/>
          <w:bCs/>
          <w:iCs/>
        </w:rPr>
        <w:t xml:space="preserve">Seznam podkladů </w:t>
      </w:r>
      <w:r w:rsidRPr="00360404">
        <w:rPr>
          <w:rFonts w:cstheme="minorHAnsi"/>
          <w:bCs/>
          <w:iCs/>
        </w:rPr>
        <w:t xml:space="preserve">týkající se Společnosti, </w:t>
      </w:r>
      <w:r>
        <w:rPr>
          <w:rFonts w:cstheme="minorHAnsi"/>
          <w:bCs/>
          <w:iCs/>
        </w:rPr>
        <w:t xml:space="preserve">které </w:t>
      </w:r>
      <w:r w:rsidRPr="00360404">
        <w:rPr>
          <w:rFonts w:cstheme="minorHAnsi"/>
          <w:bCs/>
          <w:iCs/>
        </w:rPr>
        <w:t>Převodc</w:t>
      </w:r>
      <w:r>
        <w:rPr>
          <w:rFonts w:cstheme="minorHAnsi"/>
          <w:bCs/>
          <w:iCs/>
        </w:rPr>
        <w:t xml:space="preserve">e </w:t>
      </w:r>
    </w:p>
    <w:p w14:paraId="3D2837A1" w14:textId="11EA9FE2" w:rsidR="00C13F28" w:rsidRPr="00983F74" w:rsidRDefault="00983F74" w:rsidP="00983F74">
      <w:pPr>
        <w:ind w:left="2124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  Nabyvateli </w:t>
      </w:r>
      <w:r w:rsidR="008365F3">
        <w:rPr>
          <w:rFonts w:cstheme="minorHAnsi"/>
          <w:bCs/>
          <w:iCs/>
        </w:rPr>
        <w:t xml:space="preserve">předem </w:t>
      </w:r>
      <w:r w:rsidRPr="00360404">
        <w:rPr>
          <w:rFonts w:cstheme="minorHAnsi"/>
          <w:bCs/>
          <w:iCs/>
        </w:rPr>
        <w:t xml:space="preserve">poskytl </w:t>
      </w:r>
    </w:p>
    <w:p w14:paraId="390BD266" w14:textId="1BB7AAD4" w:rsidR="000A6145" w:rsidRDefault="000A6145">
      <w:pPr>
        <w:spacing w:after="160" w:line="259" w:lineRule="auto"/>
      </w:pPr>
    </w:p>
    <w:p w14:paraId="55A95803" w14:textId="77777777" w:rsidR="00EB41B8" w:rsidRDefault="00EB41B8">
      <w:pPr>
        <w:spacing w:after="160" w:line="259" w:lineRule="auto"/>
      </w:pPr>
    </w:p>
    <w:p w14:paraId="40552111" w14:textId="77777777" w:rsidR="00EB41B8" w:rsidRDefault="00EB41B8">
      <w:pPr>
        <w:spacing w:after="160" w:line="259" w:lineRule="auto"/>
      </w:pPr>
    </w:p>
    <w:p w14:paraId="3A651790" w14:textId="77777777" w:rsidR="00EB41B8" w:rsidRDefault="00EB41B8">
      <w:pPr>
        <w:spacing w:after="160" w:line="259" w:lineRule="auto"/>
      </w:pPr>
    </w:p>
    <w:p w14:paraId="5475C730" w14:textId="5A85FB13" w:rsidR="00A47883" w:rsidRDefault="00A47883">
      <w:pPr>
        <w:spacing w:after="160" w:line="259" w:lineRule="auto"/>
      </w:pPr>
      <w:r>
        <w:br w:type="page"/>
      </w:r>
    </w:p>
    <w:p w14:paraId="4D0ECBE3" w14:textId="36373087" w:rsidR="00983F74" w:rsidRDefault="00983F74" w:rsidP="00012ADF">
      <w:pPr>
        <w:jc w:val="both"/>
      </w:pPr>
      <w:r>
        <w:t xml:space="preserve">Příloha č. 1 </w:t>
      </w:r>
      <w:r w:rsidR="00820A6A" w:rsidRPr="00820A6A">
        <w:t>Seznam podkladů týkající se Společnosti, které Převodce Nabyvateli předem poskytl</w:t>
      </w:r>
    </w:p>
    <w:p w14:paraId="4BB0B4AE" w14:textId="77777777" w:rsidR="00983F74" w:rsidRDefault="00983F74" w:rsidP="00983F74"/>
    <w:p w14:paraId="1FD0FD64" w14:textId="7FA79B7E" w:rsidR="00983F74" w:rsidRDefault="00983F74" w:rsidP="00012ADF">
      <w:pPr>
        <w:jc w:val="center"/>
        <w:rPr>
          <w:rFonts w:cstheme="minorHAnsi"/>
          <w:bCs/>
          <w:iCs/>
        </w:rPr>
      </w:pPr>
      <w:r w:rsidRPr="00C53789">
        <w:rPr>
          <w:b/>
          <w:sz w:val="32"/>
          <w:szCs w:val="32"/>
        </w:rPr>
        <w:t xml:space="preserve">Seznam </w:t>
      </w:r>
      <w:r w:rsidRPr="00C53789">
        <w:rPr>
          <w:rFonts w:cstheme="minorHAnsi"/>
          <w:b/>
          <w:bCs/>
          <w:iCs/>
          <w:sz w:val="32"/>
          <w:szCs w:val="32"/>
        </w:rPr>
        <w:t>podkladů týkající se Společnosti, které Převodce Nabyvateli</w:t>
      </w:r>
      <w:r w:rsidR="008365F3">
        <w:rPr>
          <w:rFonts w:cstheme="minorHAnsi"/>
          <w:b/>
          <w:bCs/>
          <w:iCs/>
          <w:sz w:val="32"/>
          <w:szCs w:val="32"/>
        </w:rPr>
        <w:t xml:space="preserve"> předem </w:t>
      </w:r>
      <w:r w:rsidRPr="00C53789">
        <w:rPr>
          <w:rFonts w:cstheme="minorHAnsi"/>
          <w:b/>
          <w:bCs/>
          <w:iCs/>
          <w:sz w:val="32"/>
          <w:szCs w:val="32"/>
        </w:rPr>
        <w:t xml:space="preserve">poskytl </w:t>
      </w:r>
    </w:p>
    <w:p w14:paraId="6E0C9692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Smlouva o poskytování služeb se společností Marius </w:t>
      </w:r>
      <w:proofErr w:type="spellStart"/>
      <w:r>
        <w:rPr>
          <w:rFonts w:cstheme="minorHAnsi"/>
          <w:bCs/>
          <w:iCs/>
        </w:rPr>
        <w:t>Pedersen</w:t>
      </w:r>
      <w:proofErr w:type="spellEnd"/>
      <w:r>
        <w:rPr>
          <w:rFonts w:cstheme="minorHAnsi"/>
          <w:bCs/>
          <w:iCs/>
        </w:rPr>
        <w:t xml:space="preserve"> a. s. ze dne 24. 10. 2022</w:t>
      </w:r>
    </w:p>
    <w:p w14:paraId="73F95280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Smlouva o zpracování osobních údajů se společností </w:t>
      </w:r>
      <w:proofErr w:type="spellStart"/>
      <w:r>
        <w:rPr>
          <w:rFonts w:cstheme="minorHAnsi"/>
          <w:bCs/>
          <w:iCs/>
        </w:rPr>
        <w:t>CompuGroup</w:t>
      </w:r>
      <w:proofErr w:type="spellEnd"/>
      <w:r>
        <w:rPr>
          <w:rFonts w:cstheme="minorHAnsi"/>
          <w:bCs/>
          <w:iCs/>
        </w:rPr>
        <w:t xml:space="preserve"> </w:t>
      </w:r>
      <w:proofErr w:type="spellStart"/>
      <w:r>
        <w:rPr>
          <w:rFonts w:cstheme="minorHAnsi"/>
          <w:bCs/>
          <w:iCs/>
        </w:rPr>
        <w:t>Medical</w:t>
      </w:r>
      <w:proofErr w:type="spellEnd"/>
      <w:r>
        <w:rPr>
          <w:rFonts w:cstheme="minorHAnsi"/>
          <w:bCs/>
          <w:iCs/>
        </w:rPr>
        <w:t xml:space="preserve"> Česká republika s. r. o. ze dne 13. 5. 2020</w:t>
      </w:r>
    </w:p>
    <w:p w14:paraId="3EDEF542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Smlouva č. 150120 o dílo se společností CRDR. s. r. o. ze dne 22. 1. 2020</w:t>
      </w:r>
    </w:p>
    <w:p w14:paraId="0A73A917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Dodatek AS/2023 ke smlouvě o poskytování a úhradě hrazených služeb č.  3AS__00934 na rok 203 od Zdravotní pojišťovny ministerstva vnitra České republiky ze dne 15. 2. 2023</w:t>
      </w:r>
    </w:p>
    <w:p w14:paraId="122A8F1B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Smlouva o poskytování a úhradě zdravotní péče se Zdravotní pojišťovnou ministerstva vnitra České republiky ze dne 19. 11. 2007</w:t>
      </w:r>
    </w:p>
    <w:p w14:paraId="05C0B7AF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Dodatek č. 1/2011 ke Smlouvě o poskytování a úhradě zdravotní péče č. 4AS__00053 od Zdravotní pojišťovny ministerstva vnitra České republiky ze dne 6. 3. 2012</w:t>
      </w:r>
    </w:p>
    <w:p w14:paraId="4D5362E1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Dodatek č. 1/2012 ke Smlouvě o poskytování a úhradě zdravotní péče č. 4AS__00053 od </w:t>
      </w:r>
      <w:r w:rsidRPr="009B7E6D">
        <w:rPr>
          <w:rFonts w:cstheme="minorHAnsi"/>
          <w:bCs/>
          <w:iCs/>
        </w:rPr>
        <w:t>Zdravotní pojišťovn</w:t>
      </w:r>
      <w:r>
        <w:rPr>
          <w:rFonts w:cstheme="minorHAnsi"/>
          <w:bCs/>
          <w:iCs/>
        </w:rPr>
        <w:t>y</w:t>
      </w:r>
      <w:r w:rsidRPr="009B7E6D">
        <w:rPr>
          <w:rFonts w:cstheme="minorHAnsi"/>
          <w:bCs/>
          <w:iCs/>
        </w:rPr>
        <w:t xml:space="preserve"> ministerstva vnitra České republiky</w:t>
      </w:r>
      <w:r>
        <w:rPr>
          <w:rFonts w:cstheme="minorHAnsi"/>
          <w:bCs/>
          <w:iCs/>
        </w:rPr>
        <w:t xml:space="preserve"> ze dne 6. 3. 2012</w:t>
      </w:r>
    </w:p>
    <w:p w14:paraId="13053552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Smlouva č. 5K42A076 o poskytování a úhradě hrazených služeb s Všeobecnou zdravotní pojišťovnou České republiky ze dne 26. 8. 2015</w:t>
      </w:r>
    </w:p>
    <w:p w14:paraId="49DB4DA0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Sdělení referenčních hodnot pro rok 2023 po odbornostech od Všeobecné zdravotní pojišťovny České republiky ze dne 26. 4. 2023</w:t>
      </w:r>
    </w:p>
    <w:p w14:paraId="7D3DCDDC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Dodatek č. 13 ke Smlouvě o poskytování a úhradě hrazených služeb od Všeobecné zdravotní pojišťovny České republiky ze dne 24. 3. 2023</w:t>
      </w:r>
    </w:p>
    <w:p w14:paraId="470F6FDA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Smlouva o poskytování a úhradě uhrazených služeb s Vojenskou zdravotní pojišťovnou České republiky ze dne 16. 10. 2015</w:t>
      </w:r>
    </w:p>
    <w:p w14:paraId="3642CC7F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Rozhodnutí o vydání souhlasu s personálním a věcným vybavením, s druhem a rozsahem zdravotní péče nestátního zdravotnického zařízení od Krajského úřadu Karlovarského kraje, odbor zdravotnictví ze dne 27. 12. 2011</w:t>
      </w:r>
    </w:p>
    <w:p w14:paraId="3BABF6DC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Rozhodnutí o změně registrace nestátního zdravotnického zařízení právnické osoby od Krajského úřadu Karlovarského kraje, odbor zdravotnictví ze dne 4. 1. 2012</w:t>
      </w:r>
    </w:p>
    <w:p w14:paraId="4F2A1DC7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Rozhodnutí o změně rozhodnutí o registraci od Krajského úřadu Karlovarského kraje, odbor zdravotnictví ze dne 20. 6. 2019</w:t>
      </w:r>
    </w:p>
    <w:p w14:paraId="1DC53C8D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Smlouva A č. 24061640 o poskytování a úhradě zdravotních služeb hrazených z veřejného zdravotního pojištění s Oborovou zdravotní pojišťovnou zaměstnanců bank, pojišťoven a stavebnictví ze dne 27. 7. 2015</w:t>
      </w:r>
    </w:p>
    <w:p w14:paraId="32B0BE39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Smlouva o poskytování a úhradě zdravotních služeb č. 868552 s Českou průmyslovou zdravotní pojišťovnou ze dne 30. 11. 2015</w:t>
      </w:r>
    </w:p>
    <w:p w14:paraId="417E51BF" w14:textId="77777777" w:rsidR="00680C63" w:rsidRDefault="00680C63" w:rsidP="00680C63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 w:rsidRPr="00112463">
        <w:rPr>
          <w:rFonts w:cstheme="minorHAnsi"/>
          <w:bCs/>
          <w:iCs/>
        </w:rPr>
        <w:t xml:space="preserve">Dodatek č. CU/1/2023 Smlouvy o poskytování a úhradě zdravotních služeb Dohoda o ceně – varianta A2 – </w:t>
      </w:r>
      <w:proofErr w:type="spellStart"/>
      <w:r w:rsidRPr="00112463">
        <w:rPr>
          <w:rFonts w:cstheme="minorHAnsi"/>
          <w:bCs/>
          <w:iCs/>
        </w:rPr>
        <w:t>ambul</w:t>
      </w:r>
      <w:proofErr w:type="spellEnd"/>
      <w:r w:rsidRPr="00112463">
        <w:rPr>
          <w:rFonts w:cstheme="minorHAnsi"/>
          <w:bCs/>
          <w:iCs/>
        </w:rPr>
        <w:t>. specialista od České průmyslové zdravotní pojišťovny ze dne 2. 3. 2023</w:t>
      </w:r>
    </w:p>
    <w:p w14:paraId="303D6C74" w14:textId="0536C65D" w:rsidR="001632D8" w:rsidRPr="001632D8" w:rsidRDefault="00680C63" w:rsidP="00074F9B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cstheme="minorHAnsi"/>
          <w:bCs/>
          <w:iCs/>
        </w:rPr>
      </w:pPr>
      <w:r w:rsidRPr="00012ADF">
        <w:rPr>
          <w:rFonts w:cstheme="minorHAnsi"/>
          <w:bCs/>
          <w:iCs/>
        </w:rPr>
        <w:t xml:space="preserve">Nájemní smlouva se společností Paula </w:t>
      </w:r>
      <w:proofErr w:type="spellStart"/>
      <w:r w:rsidRPr="00012ADF">
        <w:rPr>
          <w:rFonts w:cstheme="minorHAnsi"/>
          <w:bCs/>
          <w:iCs/>
        </w:rPr>
        <w:t>Knoll</w:t>
      </w:r>
      <w:proofErr w:type="spellEnd"/>
      <w:r w:rsidRPr="00012ADF">
        <w:rPr>
          <w:rFonts w:cstheme="minorHAnsi"/>
          <w:bCs/>
          <w:iCs/>
        </w:rPr>
        <w:t xml:space="preserve">, s.r.o. ze dne 14. 5. 2024 </w:t>
      </w:r>
    </w:p>
    <w:sectPr w:rsidR="001632D8" w:rsidRPr="0016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5F6F5" w14:textId="77777777" w:rsidR="00D50C47" w:rsidRDefault="00D50C47" w:rsidP="0046768C">
      <w:r>
        <w:separator/>
      </w:r>
    </w:p>
  </w:endnote>
  <w:endnote w:type="continuationSeparator" w:id="0">
    <w:p w14:paraId="33F13D89" w14:textId="77777777" w:rsidR="00D50C47" w:rsidRDefault="00D50C47" w:rsidP="004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9B757" w14:textId="77777777" w:rsidR="00D50C47" w:rsidRDefault="00D50C47" w:rsidP="0046768C">
      <w:r>
        <w:separator/>
      </w:r>
    </w:p>
  </w:footnote>
  <w:footnote w:type="continuationSeparator" w:id="0">
    <w:p w14:paraId="653AA989" w14:textId="77777777" w:rsidR="00D50C47" w:rsidRDefault="00D50C47" w:rsidP="0046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604FD"/>
    <w:multiLevelType w:val="hybridMultilevel"/>
    <w:tmpl w:val="D0FCE808"/>
    <w:lvl w:ilvl="0" w:tplc="06ECE2E0">
      <w:start w:val="1"/>
      <w:numFmt w:val="lowerRoman"/>
      <w:lvlText w:val="(%1)"/>
      <w:lvlJc w:val="left"/>
      <w:pPr>
        <w:ind w:left="2332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692" w:hanging="360"/>
      </w:pPr>
    </w:lvl>
    <w:lvl w:ilvl="2" w:tplc="0405001B" w:tentative="1">
      <w:start w:val="1"/>
      <w:numFmt w:val="lowerRoman"/>
      <w:lvlText w:val="%3."/>
      <w:lvlJc w:val="right"/>
      <w:pPr>
        <w:ind w:left="3412" w:hanging="180"/>
      </w:pPr>
    </w:lvl>
    <w:lvl w:ilvl="3" w:tplc="0405000F" w:tentative="1">
      <w:start w:val="1"/>
      <w:numFmt w:val="decimal"/>
      <w:lvlText w:val="%4."/>
      <w:lvlJc w:val="left"/>
      <w:pPr>
        <w:ind w:left="4132" w:hanging="360"/>
      </w:pPr>
    </w:lvl>
    <w:lvl w:ilvl="4" w:tplc="04050019" w:tentative="1">
      <w:start w:val="1"/>
      <w:numFmt w:val="lowerLetter"/>
      <w:lvlText w:val="%5."/>
      <w:lvlJc w:val="left"/>
      <w:pPr>
        <w:ind w:left="4852" w:hanging="360"/>
      </w:pPr>
    </w:lvl>
    <w:lvl w:ilvl="5" w:tplc="0405001B" w:tentative="1">
      <w:start w:val="1"/>
      <w:numFmt w:val="lowerRoman"/>
      <w:lvlText w:val="%6."/>
      <w:lvlJc w:val="right"/>
      <w:pPr>
        <w:ind w:left="5572" w:hanging="180"/>
      </w:pPr>
    </w:lvl>
    <w:lvl w:ilvl="6" w:tplc="0405000F" w:tentative="1">
      <w:start w:val="1"/>
      <w:numFmt w:val="decimal"/>
      <w:lvlText w:val="%7."/>
      <w:lvlJc w:val="left"/>
      <w:pPr>
        <w:ind w:left="6292" w:hanging="360"/>
      </w:pPr>
    </w:lvl>
    <w:lvl w:ilvl="7" w:tplc="04050019" w:tentative="1">
      <w:start w:val="1"/>
      <w:numFmt w:val="lowerLetter"/>
      <w:lvlText w:val="%8."/>
      <w:lvlJc w:val="left"/>
      <w:pPr>
        <w:ind w:left="7012" w:hanging="360"/>
      </w:pPr>
    </w:lvl>
    <w:lvl w:ilvl="8" w:tplc="040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" w15:restartNumberingAfterBreak="0">
    <w:nsid w:val="32005BDF"/>
    <w:multiLevelType w:val="hybridMultilevel"/>
    <w:tmpl w:val="8154ED9E"/>
    <w:lvl w:ilvl="0" w:tplc="0720C76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0053"/>
    <w:multiLevelType w:val="hybridMultilevel"/>
    <w:tmpl w:val="2C26198A"/>
    <w:lvl w:ilvl="0" w:tplc="3AF892E4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2D0E3A"/>
    <w:multiLevelType w:val="hybridMultilevel"/>
    <w:tmpl w:val="CEFA060C"/>
    <w:lvl w:ilvl="0" w:tplc="D512C6DE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2310763"/>
    <w:multiLevelType w:val="hybridMultilevel"/>
    <w:tmpl w:val="EDD6B99E"/>
    <w:lvl w:ilvl="0" w:tplc="9474A64A">
      <w:start w:val="1"/>
      <w:numFmt w:val="decimal"/>
      <w:lvlText w:val="6.%1"/>
      <w:lvlJc w:val="left"/>
      <w:pPr>
        <w:ind w:left="114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D34BD1"/>
    <w:multiLevelType w:val="hybridMultilevel"/>
    <w:tmpl w:val="B8AAE688"/>
    <w:lvl w:ilvl="0" w:tplc="1CA89F62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6E6A33EE">
      <w:start w:val="1"/>
      <w:numFmt w:val="decimal"/>
      <w:lvlText w:val="2.1.%2."/>
      <w:lvlJc w:val="left"/>
      <w:pPr>
        <w:ind w:left="1866" w:hanging="360"/>
      </w:pPr>
      <w:rPr>
        <w:rFonts w:hint="default"/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6D416C"/>
    <w:multiLevelType w:val="hybridMultilevel"/>
    <w:tmpl w:val="D0FCE808"/>
    <w:lvl w:ilvl="0" w:tplc="06ECE2E0">
      <w:start w:val="1"/>
      <w:numFmt w:val="lowerRoman"/>
      <w:lvlText w:val="(%1)"/>
      <w:lvlJc w:val="left"/>
      <w:pPr>
        <w:ind w:left="2332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692" w:hanging="360"/>
      </w:pPr>
    </w:lvl>
    <w:lvl w:ilvl="2" w:tplc="0405001B" w:tentative="1">
      <w:start w:val="1"/>
      <w:numFmt w:val="lowerRoman"/>
      <w:lvlText w:val="%3."/>
      <w:lvlJc w:val="right"/>
      <w:pPr>
        <w:ind w:left="3412" w:hanging="180"/>
      </w:pPr>
    </w:lvl>
    <w:lvl w:ilvl="3" w:tplc="0405000F" w:tentative="1">
      <w:start w:val="1"/>
      <w:numFmt w:val="decimal"/>
      <w:lvlText w:val="%4."/>
      <w:lvlJc w:val="left"/>
      <w:pPr>
        <w:ind w:left="4132" w:hanging="360"/>
      </w:pPr>
    </w:lvl>
    <w:lvl w:ilvl="4" w:tplc="04050019" w:tentative="1">
      <w:start w:val="1"/>
      <w:numFmt w:val="lowerLetter"/>
      <w:lvlText w:val="%5."/>
      <w:lvlJc w:val="left"/>
      <w:pPr>
        <w:ind w:left="4852" w:hanging="360"/>
      </w:pPr>
    </w:lvl>
    <w:lvl w:ilvl="5" w:tplc="0405001B" w:tentative="1">
      <w:start w:val="1"/>
      <w:numFmt w:val="lowerRoman"/>
      <w:lvlText w:val="%6."/>
      <w:lvlJc w:val="right"/>
      <w:pPr>
        <w:ind w:left="5572" w:hanging="180"/>
      </w:pPr>
    </w:lvl>
    <w:lvl w:ilvl="6" w:tplc="0405000F" w:tentative="1">
      <w:start w:val="1"/>
      <w:numFmt w:val="decimal"/>
      <w:lvlText w:val="%7."/>
      <w:lvlJc w:val="left"/>
      <w:pPr>
        <w:ind w:left="6292" w:hanging="360"/>
      </w:pPr>
    </w:lvl>
    <w:lvl w:ilvl="7" w:tplc="04050019" w:tentative="1">
      <w:start w:val="1"/>
      <w:numFmt w:val="lowerLetter"/>
      <w:lvlText w:val="%8."/>
      <w:lvlJc w:val="left"/>
      <w:pPr>
        <w:ind w:left="7012" w:hanging="360"/>
      </w:pPr>
    </w:lvl>
    <w:lvl w:ilvl="8" w:tplc="040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7" w15:restartNumberingAfterBreak="0">
    <w:nsid w:val="44FC4D89"/>
    <w:multiLevelType w:val="multilevel"/>
    <w:tmpl w:val="959E6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62A5BB3"/>
    <w:multiLevelType w:val="hybridMultilevel"/>
    <w:tmpl w:val="5A7A685A"/>
    <w:lvl w:ilvl="0" w:tplc="AFCEF62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344"/>
    <w:multiLevelType w:val="hybridMultilevel"/>
    <w:tmpl w:val="CC1874B4"/>
    <w:lvl w:ilvl="0" w:tplc="80907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B35C2"/>
    <w:multiLevelType w:val="hybridMultilevel"/>
    <w:tmpl w:val="7F66FD20"/>
    <w:lvl w:ilvl="0" w:tplc="0720C76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56339A"/>
    <w:multiLevelType w:val="hybridMultilevel"/>
    <w:tmpl w:val="86C83D50"/>
    <w:lvl w:ilvl="0" w:tplc="832A5E1E">
      <w:start w:val="1"/>
      <w:numFmt w:val="ordinal"/>
      <w:lvlText w:val="%1"/>
      <w:lvlJc w:val="left"/>
      <w:pPr>
        <w:ind w:left="726" w:hanging="360"/>
      </w:pPr>
      <w:rPr>
        <w:rFonts w:ascii="Calibri" w:hAnsi="Calibri" w:cs="Calibr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76903C81"/>
    <w:multiLevelType w:val="hybridMultilevel"/>
    <w:tmpl w:val="C9F8B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AADB9A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3F5E"/>
    <w:multiLevelType w:val="hybridMultilevel"/>
    <w:tmpl w:val="FD96FE02"/>
    <w:lvl w:ilvl="0" w:tplc="441A194C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E0AE0096">
      <w:start w:val="1"/>
      <w:numFmt w:val="upperLetter"/>
      <w:lvlText w:val="%2."/>
      <w:lvlJc w:val="left"/>
      <w:pPr>
        <w:ind w:left="1866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763139"/>
    <w:multiLevelType w:val="multilevel"/>
    <w:tmpl w:val="399C95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786464178">
    <w:abstractNumId w:val="9"/>
  </w:num>
  <w:num w:numId="2" w16cid:durableId="458182412">
    <w:abstractNumId w:val="8"/>
  </w:num>
  <w:num w:numId="3" w16cid:durableId="1433866520">
    <w:abstractNumId w:val="5"/>
  </w:num>
  <w:num w:numId="4" w16cid:durableId="784810605">
    <w:abstractNumId w:val="13"/>
  </w:num>
  <w:num w:numId="5" w16cid:durableId="1399865864">
    <w:abstractNumId w:val="2"/>
  </w:num>
  <w:num w:numId="6" w16cid:durableId="979387260">
    <w:abstractNumId w:val="4"/>
  </w:num>
  <w:num w:numId="7" w16cid:durableId="1979919580">
    <w:abstractNumId w:val="3"/>
  </w:num>
  <w:num w:numId="8" w16cid:durableId="498694395">
    <w:abstractNumId w:val="7"/>
  </w:num>
  <w:num w:numId="9" w16cid:durableId="1515805954">
    <w:abstractNumId w:val="0"/>
  </w:num>
  <w:num w:numId="10" w16cid:durableId="352611966">
    <w:abstractNumId w:val="14"/>
  </w:num>
  <w:num w:numId="11" w16cid:durableId="378626432">
    <w:abstractNumId w:val="6"/>
  </w:num>
  <w:num w:numId="12" w16cid:durableId="335230310">
    <w:abstractNumId w:val="10"/>
  </w:num>
  <w:num w:numId="13" w16cid:durableId="1669556024">
    <w:abstractNumId w:val="1"/>
  </w:num>
  <w:num w:numId="14" w16cid:durableId="1012337799">
    <w:abstractNumId w:val="12"/>
  </w:num>
  <w:num w:numId="15" w16cid:durableId="1745376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5A"/>
    <w:rsid w:val="00012ADF"/>
    <w:rsid w:val="000168A5"/>
    <w:rsid w:val="000457A5"/>
    <w:rsid w:val="00056238"/>
    <w:rsid w:val="00074F9B"/>
    <w:rsid w:val="0009143E"/>
    <w:rsid w:val="000A357B"/>
    <w:rsid w:val="000A6145"/>
    <w:rsid w:val="000C21A9"/>
    <w:rsid w:val="000C7A8D"/>
    <w:rsid w:val="000D18A8"/>
    <w:rsid w:val="000D5A53"/>
    <w:rsid w:val="000F15B2"/>
    <w:rsid w:val="000F3ACE"/>
    <w:rsid w:val="000F70D9"/>
    <w:rsid w:val="0010710B"/>
    <w:rsid w:val="0012222A"/>
    <w:rsid w:val="001478FA"/>
    <w:rsid w:val="00147ED6"/>
    <w:rsid w:val="001527F3"/>
    <w:rsid w:val="001632D8"/>
    <w:rsid w:val="00174938"/>
    <w:rsid w:val="00185AA9"/>
    <w:rsid w:val="001865FF"/>
    <w:rsid w:val="001A0299"/>
    <w:rsid w:val="001C5112"/>
    <w:rsid w:val="001C7872"/>
    <w:rsid w:val="001D6971"/>
    <w:rsid w:val="001E0509"/>
    <w:rsid w:val="001E2753"/>
    <w:rsid w:val="001E5132"/>
    <w:rsid w:val="0021023B"/>
    <w:rsid w:val="00237565"/>
    <w:rsid w:val="00254D85"/>
    <w:rsid w:val="00273850"/>
    <w:rsid w:val="002923BD"/>
    <w:rsid w:val="0029401E"/>
    <w:rsid w:val="00297FB1"/>
    <w:rsid w:val="002B379A"/>
    <w:rsid w:val="002B5524"/>
    <w:rsid w:val="003117DA"/>
    <w:rsid w:val="00315AA5"/>
    <w:rsid w:val="00315F41"/>
    <w:rsid w:val="00322B92"/>
    <w:rsid w:val="003261F6"/>
    <w:rsid w:val="00357BD2"/>
    <w:rsid w:val="00363652"/>
    <w:rsid w:val="0036615F"/>
    <w:rsid w:val="00375B2F"/>
    <w:rsid w:val="00386F02"/>
    <w:rsid w:val="00391CAF"/>
    <w:rsid w:val="00392FA0"/>
    <w:rsid w:val="003947BC"/>
    <w:rsid w:val="003B1C25"/>
    <w:rsid w:val="003C10B8"/>
    <w:rsid w:val="003E513F"/>
    <w:rsid w:val="00400579"/>
    <w:rsid w:val="00412D38"/>
    <w:rsid w:val="004210FA"/>
    <w:rsid w:val="00450581"/>
    <w:rsid w:val="00456F42"/>
    <w:rsid w:val="00457BA3"/>
    <w:rsid w:val="0046768C"/>
    <w:rsid w:val="004A427E"/>
    <w:rsid w:val="004C3233"/>
    <w:rsid w:val="004F1A64"/>
    <w:rsid w:val="004F3EB3"/>
    <w:rsid w:val="0050037A"/>
    <w:rsid w:val="00515927"/>
    <w:rsid w:val="005518D5"/>
    <w:rsid w:val="00570CB5"/>
    <w:rsid w:val="00572950"/>
    <w:rsid w:val="00584A94"/>
    <w:rsid w:val="0059508E"/>
    <w:rsid w:val="00596E00"/>
    <w:rsid w:val="005A2A95"/>
    <w:rsid w:val="005A47B0"/>
    <w:rsid w:val="005D3668"/>
    <w:rsid w:val="005F1A10"/>
    <w:rsid w:val="00611612"/>
    <w:rsid w:val="00635790"/>
    <w:rsid w:val="00635D31"/>
    <w:rsid w:val="00642E30"/>
    <w:rsid w:val="00680C63"/>
    <w:rsid w:val="00687327"/>
    <w:rsid w:val="00687A9A"/>
    <w:rsid w:val="006959F2"/>
    <w:rsid w:val="006C07C7"/>
    <w:rsid w:val="006C5D60"/>
    <w:rsid w:val="006C759F"/>
    <w:rsid w:val="006D54B1"/>
    <w:rsid w:val="006E16D7"/>
    <w:rsid w:val="006F2780"/>
    <w:rsid w:val="00703406"/>
    <w:rsid w:val="0071581F"/>
    <w:rsid w:val="00725485"/>
    <w:rsid w:val="0075033C"/>
    <w:rsid w:val="00762195"/>
    <w:rsid w:val="00782748"/>
    <w:rsid w:val="00787562"/>
    <w:rsid w:val="00787B93"/>
    <w:rsid w:val="007A538B"/>
    <w:rsid w:val="007D29A4"/>
    <w:rsid w:val="008129B0"/>
    <w:rsid w:val="00820A6A"/>
    <w:rsid w:val="0082456B"/>
    <w:rsid w:val="008365F3"/>
    <w:rsid w:val="00842426"/>
    <w:rsid w:val="00842AC2"/>
    <w:rsid w:val="00881984"/>
    <w:rsid w:val="0089761B"/>
    <w:rsid w:val="00897DB7"/>
    <w:rsid w:val="008A07D7"/>
    <w:rsid w:val="008A7A69"/>
    <w:rsid w:val="008B0DD8"/>
    <w:rsid w:val="008B538E"/>
    <w:rsid w:val="008C167E"/>
    <w:rsid w:val="008C7BBD"/>
    <w:rsid w:val="008D0874"/>
    <w:rsid w:val="008D188B"/>
    <w:rsid w:val="008E1606"/>
    <w:rsid w:val="008F472B"/>
    <w:rsid w:val="008F7F4E"/>
    <w:rsid w:val="00911AE4"/>
    <w:rsid w:val="00925B0A"/>
    <w:rsid w:val="00933F28"/>
    <w:rsid w:val="0094573D"/>
    <w:rsid w:val="00983F74"/>
    <w:rsid w:val="00984431"/>
    <w:rsid w:val="00996E9F"/>
    <w:rsid w:val="009B2EF8"/>
    <w:rsid w:val="009B4FC0"/>
    <w:rsid w:val="009C09E8"/>
    <w:rsid w:val="009D5451"/>
    <w:rsid w:val="00A0732B"/>
    <w:rsid w:val="00A2005A"/>
    <w:rsid w:val="00A20531"/>
    <w:rsid w:val="00A26950"/>
    <w:rsid w:val="00A309A4"/>
    <w:rsid w:val="00A3417E"/>
    <w:rsid w:val="00A34B41"/>
    <w:rsid w:val="00A4271C"/>
    <w:rsid w:val="00A475DB"/>
    <w:rsid w:val="00A47883"/>
    <w:rsid w:val="00A77C23"/>
    <w:rsid w:val="00A842FD"/>
    <w:rsid w:val="00A85BF8"/>
    <w:rsid w:val="00A87200"/>
    <w:rsid w:val="00AA0212"/>
    <w:rsid w:val="00AA2F07"/>
    <w:rsid w:val="00AE5F74"/>
    <w:rsid w:val="00AF2D1B"/>
    <w:rsid w:val="00AF6F33"/>
    <w:rsid w:val="00B016C5"/>
    <w:rsid w:val="00B05E8B"/>
    <w:rsid w:val="00B26574"/>
    <w:rsid w:val="00B354E1"/>
    <w:rsid w:val="00B41198"/>
    <w:rsid w:val="00B643EB"/>
    <w:rsid w:val="00B8016B"/>
    <w:rsid w:val="00B86656"/>
    <w:rsid w:val="00B95481"/>
    <w:rsid w:val="00BB405D"/>
    <w:rsid w:val="00BB51D7"/>
    <w:rsid w:val="00BB5C0C"/>
    <w:rsid w:val="00BC3431"/>
    <w:rsid w:val="00BD6542"/>
    <w:rsid w:val="00BE2128"/>
    <w:rsid w:val="00BF6F9C"/>
    <w:rsid w:val="00C02D34"/>
    <w:rsid w:val="00C13F28"/>
    <w:rsid w:val="00C414D1"/>
    <w:rsid w:val="00C53789"/>
    <w:rsid w:val="00C71327"/>
    <w:rsid w:val="00C919DE"/>
    <w:rsid w:val="00C9727D"/>
    <w:rsid w:val="00CA1023"/>
    <w:rsid w:val="00CA57D3"/>
    <w:rsid w:val="00CB2224"/>
    <w:rsid w:val="00CB3200"/>
    <w:rsid w:val="00CC13A4"/>
    <w:rsid w:val="00CD1141"/>
    <w:rsid w:val="00CE1C88"/>
    <w:rsid w:val="00CE715B"/>
    <w:rsid w:val="00CF5AF5"/>
    <w:rsid w:val="00D03236"/>
    <w:rsid w:val="00D03EFD"/>
    <w:rsid w:val="00D043CD"/>
    <w:rsid w:val="00D04D1F"/>
    <w:rsid w:val="00D30CA1"/>
    <w:rsid w:val="00D30F19"/>
    <w:rsid w:val="00D34EC2"/>
    <w:rsid w:val="00D50C47"/>
    <w:rsid w:val="00D62758"/>
    <w:rsid w:val="00E2496A"/>
    <w:rsid w:val="00E6492F"/>
    <w:rsid w:val="00E738E9"/>
    <w:rsid w:val="00E76A8D"/>
    <w:rsid w:val="00EA7D8C"/>
    <w:rsid w:val="00EB41B8"/>
    <w:rsid w:val="00ED317C"/>
    <w:rsid w:val="00ED3BB4"/>
    <w:rsid w:val="00EE3DF8"/>
    <w:rsid w:val="00EF131F"/>
    <w:rsid w:val="00F07891"/>
    <w:rsid w:val="00F30774"/>
    <w:rsid w:val="00F53D9B"/>
    <w:rsid w:val="00F57F52"/>
    <w:rsid w:val="00F7036B"/>
    <w:rsid w:val="00F8794A"/>
    <w:rsid w:val="00F900D8"/>
    <w:rsid w:val="00F9254C"/>
    <w:rsid w:val="00FA4335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051B0"/>
  <w15:chartTrackingRefBased/>
  <w15:docId w15:val="{4D36888B-2702-4257-9EC5-BDE2EDD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05A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05A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table" w:styleId="Mkatabulky">
    <w:name w:val="Table Grid"/>
    <w:basedOn w:val="Normlntabulka"/>
    <w:uiPriority w:val="39"/>
    <w:rsid w:val="00A2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20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05A"/>
    <w:rPr>
      <w:kern w:val="2"/>
      <w:sz w:val="20"/>
      <w:szCs w:val="20"/>
      <w14:ligatures w14:val="standardContextual"/>
    </w:rPr>
  </w:style>
  <w:style w:type="paragraph" w:styleId="Bezmezer">
    <w:name w:val="No Spacing"/>
    <w:uiPriority w:val="1"/>
    <w:qFormat/>
    <w:rsid w:val="00A2005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05A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46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68C"/>
    <w:rPr>
      <w:kern w:val="2"/>
      <w:sz w:val="24"/>
      <w:szCs w:val="24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46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68C"/>
    <w:rPr>
      <w:kern w:val="2"/>
      <w:sz w:val="24"/>
      <w:szCs w:val="24"/>
      <w14:ligatures w14:val="standardContextual"/>
    </w:rPr>
  </w:style>
  <w:style w:type="paragraph" w:styleId="Revize">
    <w:name w:val="Revision"/>
    <w:hidden/>
    <w:uiPriority w:val="99"/>
    <w:semiHidden/>
    <w:rsid w:val="0046768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ezmezer1">
    <w:name w:val="Bez mezer1"/>
    <w:uiPriority w:val="1"/>
    <w:qFormat/>
    <w:rsid w:val="000D5A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2971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Tina Batková</cp:lastModifiedBy>
  <cp:revision>2</cp:revision>
  <cp:lastPrinted>2024-05-27T10:27:00Z</cp:lastPrinted>
  <dcterms:created xsi:type="dcterms:W3CDTF">2024-06-04T09:28:00Z</dcterms:created>
  <dcterms:modified xsi:type="dcterms:W3CDTF">2024-06-04T09:28:00Z</dcterms:modified>
</cp:coreProperties>
</file>