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2940" w:right="0" w:firstLine="0"/>
        <w:jc w:val="left"/>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625/2024</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VT Dlouhá stoka – sekání travního porostu a výmladků</w:t>
        <w:br/>
        <w:t>(PL 1 01 12 012, č. akce 101064)</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180" w:line="240" w:lineRule="auto"/>
        <w:ind w:left="2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887730</wp:posOffset>
                </wp:positionH>
                <wp:positionV relativeFrom="paragraph">
                  <wp:posOffset>12700</wp:posOffset>
                </wp:positionV>
                <wp:extent cx="2231390" cy="2002790"/>
                <wp:wrapSquare wrapText="bothSides"/>
                <wp:docPr id="1" name="Shape 1"/>
                <a:graphic xmlns:a="http://schemas.openxmlformats.org/drawingml/2006/main">
                  <a:graphicData uri="http://schemas.microsoft.com/office/word/2010/wordprocessingShape">
                    <wps:wsp>
                      <wps:cNvSpPr txBox="1"/>
                      <wps:spPr>
                        <a:xfrm>
                          <a:ext cx="2231390" cy="200279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Objednatel: sídlo: IČO: DIČ: statutární orgán: zástupce ve věcech smluvních: zástupce ve věcech technických: technický dozor investora (TDI):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číslo účtu: zápis v obchodním rejstříku: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00000000000006pt;margin-top:1.pt;width:175.70000000000002pt;height:157.70000000000002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Objednatel: sídlo: IČO: DIČ: statutární orgán: zástupce ve věcech smluvních: zástupce ve věcech technických: technický dozor investora (TDI):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číslo účtu: zápis v obchodním rejstříku:</w:t>
                      </w:r>
                    </w:p>
                  </w:txbxContent>
                </v:textbox>
                <w10:wrap type="square" anchorx="page"/>
              </v:shape>
            </w:pict>
          </mc:Fallback>
        </mc:AlternateContent>
      </w: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 generální ředitel</w:t>
      </w:r>
    </w:p>
    <w:p>
      <w:pPr>
        <w:pStyle w:val="Style2"/>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 ředitel závodu Karlovy Vary</w:t>
      </w:r>
    </w:p>
    <w:p>
      <w:pPr>
        <w:pStyle w:val="Style2"/>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 vedoucí provozu Cheb</w:t>
      </w:r>
    </w:p>
    <w:p>
      <w:pPr>
        <w:pStyle w:val="Style2"/>
        <w:keepNext w:val="0"/>
        <w:keepLines w:val="0"/>
        <w:widowControl w:val="0"/>
        <w:shd w:val="clear" w:color="auto" w:fill="auto"/>
        <w:bidi w:val="0"/>
        <w:spacing w:before="0" w:after="0" w:line="240" w:lineRule="auto"/>
        <w:ind w:left="1360" w:right="0" w:firstLine="0"/>
        <w:jc w:val="left"/>
      </w:pPr>
      <w:r>
        <w:rPr>
          <w:color w:val="000000"/>
          <w:spacing w:val="0"/>
          <w:w w:val="100"/>
          <w:position w:val="0"/>
          <w:shd w:val="clear" w:color="auto" w:fill="auto"/>
          <w:lang w:val="cs-CZ" w:eastAsia="cs-CZ" w:bidi="cs-CZ"/>
        </w:rPr>
        <w:t>, vedoucí úseku</w:t>
      </w:r>
    </w:p>
    <w:p>
      <w:pPr>
        <w:pStyle w:val="Style2"/>
        <w:keepNext w:val="0"/>
        <w:keepLines w:val="0"/>
        <w:widowControl w:val="0"/>
        <w:shd w:val="clear" w:color="auto" w:fill="auto"/>
        <w:tabs>
          <w:tab w:pos="1470" w:val="left"/>
        </w:tabs>
        <w:bidi w:val="0"/>
        <w:spacing w:before="0" w:after="0" w:line="240" w:lineRule="auto"/>
        <w:ind w:left="260" w:right="0" w:firstLine="0"/>
        <w:jc w:val="left"/>
      </w:pPr>
      <w:r>
        <w:rPr>
          <w:color w:val="000000"/>
          <w:spacing w:val="0"/>
          <w:w w:val="100"/>
          <w:position w:val="0"/>
          <w:shd w:val="clear" w:color="auto" w:fill="auto"/>
          <w:lang w:val="cs-CZ" w:eastAsia="cs-CZ" w:bidi="cs-CZ"/>
        </w:rPr>
        <w:t>tel:</w:t>
        <w:tab/>
        <w:t>, e-mail:</w:t>
      </w:r>
    </w:p>
    <w:p>
      <w:pPr>
        <w:pStyle w:val="Style2"/>
        <w:keepNext w:val="0"/>
        <w:keepLines w:val="0"/>
        <w:widowControl w:val="0"/>
        <w:shd w:val="clear" w:color="auto" w:fill="auto"/>
        <w:bidi w:val="0"/>
        <w:spacing w:before="0" w:after="180" w:line="240" w:lineRule="auto"/>
        <w:ind w:left="260" w:right="0" w:firstLine="0"/>
        <w:jc w:val="left"/>
      </w:pPr>
      <w:r>
        <w:rPr>
          <w:color w:val="000000"/>
          <w:spacing w:val="0"/>
          <w:w w:val="100"/>
          <w:position w:val="0"/>
          <w:shd w:val="clear" w:color="auto" w:fill="auto"/>
          <w:lang w:val="cs-CZ" w:eastAsia="cs-CZ" w:bidi="cs-CZ"/>
        </w:rPr>
        <w:t>Komerční banka, a.s., pobočka Chomutov</w:t>
      </w:r>
    </w:p>
    <w:p>
      <w:pPr>
        <w:pStyle w:val="Style2"/>
        <w:keepNext w:val="0"/>
        <w:keepLines w:val="0"/>
        <w:widowControl w:val="0"/>
        <w:shd w:val="clear" w:color="auto" w:fill="auto"/>
        <w:bidi w:val="0"/>
        <w:spacing w:before="0" w:after="180" w:line="240" w:lineRule="auto"/>
        <w:ind w:left="260" w:right="0" w:firstLine="0"/>
        <w:jc w:val="left"/>
      </w:pPr>
      <w:r>
        <w:rPr>
          <w:color w:val="000000"/>
          <w:spacing w:val="0"/>
          <w:w w:val="100"/>
          <w:position w:val="0"/>
          <w:shd w:val="clear" w:color="auto" w:fill="auto"/>
          <w:lang w:val="cs-CZ" w:eastAsia="cs-CZ" w:bidi="cs-CZ"/>
        </w:rPr>
        <w:t>Spisová značka A 13052 vedená u Krajského soudu v Ústí nad Labem</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tabs>
          <w:tab w:pos="393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ABRI, s.r.o.</w:t>
      </w:r>
    </w:p>
    <w:p>
      <w:pPr>
        <w:pStyle w:val="Style2"/>
        <w:keepNext w:val="0"/>
        <w:keepLines w:val="0"/>
        <w:widowControl w:val="0"/>
        <w:shd w:val="clear" w:color="auto" w:fill="auto"/>
        <w:tabs>
          <w:tab w:pos="393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Ondříčkova 537, 356 01 Sokolov</w:t>
      </w:r>
    </w:p>
    <w:p>
      <w:pPr>
        <w:pStyle w:val="Style2"/>
        <w:keepNext w:val="0"/>
        <w:keepLines w:val="0"/>
        <w:widowControl w:val="0"/>
        <w:shd w:val="clear" w:color="auto" w:fill="auto"/>
        <w:tabs>
          <w:tab w:pos="393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61679763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DIČ: statutární orgán: osoba odpovědná za provedení díla:</w:t>
      </w:r>
    </w:p>
    <w:p>
      <w:pPr>
        <w:pStyle w:val="Style2"/>
        <w:keepNext w:val="0"/>
        <w:keepLines w:val="0"/>
        <w:widowControl w:val="0"/>
        <w:shd w:val="clear" w:color="auto" w:fill="auto"/>
        <w:bidi w:val="0"/>
        <w:spacing w:before="0" w:after="0" w:line="240" w:lineRule="auto"/>
        <w:ind w:left="3980" w:right="0" w:firstLine="0"/>
        <w:jc w:val="left"/>
      </w:pPr>
      <w:r>
        <w:rPr>
          <w:color w:val="000000"/>
          <w:spacing w:val="0"/>
          <w:w w:val="100"/>
          <w:position w:val="0"/>
          <w:shd w:val="clear" w:color="auto" w:fill="auto"/>
          <w:lang w:val="cs-CZ" w:eastAsia="cs-CZ" w:bidi="cs-CZ"/>
        </w:rPr>
        <w:t>tel. , email:</w:t>
      </w:r>
    </w:p>
    <w:p>
      <w:pPr>
        <w:pStyle w:val="Style2"/>
        <w:keepNext w:val="0"/>
        <w:keepLines w:val="0"/>
        <w:widowControl w:val="0"/>
        <w:shd w:val="clear" w:color="auto" w:fill="auto"/>
        <w:tabs>
          <w:tab w:pos="393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w:t>
        <w:tab/>
      </w:r>
      <w:r>
        <w:rPr>
          <w:color w:val="000000"/>
          <w:spacing w:val="0"/>
          <w:w w:val="100"/>
          <w:position w:val="0"/>
          <w:shd w:val="clear" w:color="auto" w:fill="auto"/>
          <w:lang w:val="cs-CZ" w:eastAsia="cs-CZ" w:bidi="cs-CZ"/>
        </w:rPr>
        <w:t>Česká spořitelna, a.s.</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393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zápis v obchodním rejstříku:</w:t>
        <w:tab/>
      </w:r>
      <w:r>
        <w:rPr>
          <w:color w:val="000000"/>
          <w:spacing w:val="0"/>
          <w:w w:val="100"/>
          <w:position w:val="0"/>
          <w:shd w:val="clear" w:color="auto" w:fill="auto"/>
          <w:lang w:val="cs-CZ" w:eastAsia="cs-CZ" w:bidi="cs-CZ"/>
        </w:rPr>
        <w:t>Spisová značka oddíl C, vložka č. 14346 vedená u</w:t>
      </w:r>
    </w:p>
    <w:p>
      <w:pPr>
        <w:pStyle w:val="Style2"/>
        <w:keepNext w:val="0"/>
        <w:keepLines w:val="0"/>
        <w:widowControl w:val="0"/>
        <w:shd w:val="clear" w:color="auto" w:fill="auto"/>
        <w:bidi w:val="0"/>
        <w:spacing w:before="0" w:after="180" w:line="240" w:lineRule="auto"/>
        <w:ind w:left="3980" w:right="0" w:firstLine="0"/>
        <w:jc w:val="left"/>
      </w:pPr>
      <w:r>
        <w:rPr>
          <w:color w:val="000000"/>
          <w:spacing w:val="0"/>
          <w:w w:val="100"/>
          <w:position w:val="0"/>
          <w:shd w:val="clear" w:color="auto" w:fill="auto"/>
          <w:lang w:val="cs-CZ" w:eastAsia="cs-CZ" w:bidi="cs-CZ"/>
        </w:rPr>
        <w:t>Krajského soudu v Plzni</w:t>
      </w:r>
    </w:p>
    <w:p>
      <w:pPr>
        <w:pStyle w:val="Style2"/>
        <w:keepNext w:val="0"/>
        <w:keepLines w:val="0"/>
        <w:widowControl w:val="0"/>
        <w:shd w:val="clear" w:color="auto" w:fill="auto"/>
        <w:bidi w:val="0"/>
        <w:spacing w:before="0" w:after="10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left="360"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„VT Dlouhá Stoka – sekání travního porostu a výmladků”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w:t>
      </w:r>
      <w:bookmarkEnd w:id="10"/>
      <w:bookmarkEnd w:id="7"/>
      <w:bookmarkEnd w:id="8"/>
    </w:p>
    <w:p>
      <w:pPr>
        <w:pStyle w:val="Style2"/>
        <w:keepNext w:val="0"/>
        <w:keepLines w:val="0"/>
        <w:widowControl w:val="0"/>
        <w:shd w:val="clear" w:color="auto" w:fill="auto"/>
        <w:bidi w:val="0"/>
        <w:spacing w:before="0" w:after="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posekání výmladků a travního porostu na vodním toku Dlouhá stoka</w:t>
      </w:r>
    </w:p>
    <w:p>
      <w:pPr>
        <w:pStyle w:val="Style2"/>
        <w:keepNext w:val="0"/>
        <w:keepLines w:val="0"/>
        <w:widowControl w:val="0"/>
        <w:shd w:val="clear" w:color="auto" w:fill="auto"/>
        <w:bidi w:val="0"/>
        <w:spacing w:before="0" w:after="32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shrabání a odvoz posekané trávy a výmladků</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Celková plocha k sekání je cca 9 800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Jedná se o břehy koryta toku včetně kamenného opevnění a hráz tvořící umělé koryto toku – svažitý terén. Plochy se sekají pouze jednou ročně.</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Úsek v ř. km 0,896 – 1,404 (lávka u cesty od parkoviště – lávka u rozdělovacího objektu pod rozhlednou) bude posekán </w:t>
      </w:r>
      <w:r>
        <w:rPr>
          <w:b/>
          <w:bCs/>
          <w:color w:val="000000"/>
          <w:spacing w:val="0"/>
          <w:w w:val="100"/>
          <w:position w:val="0"/>
          <w:shd w:val="clear" w:color="auto" w:fill="auto"/>
          <w:lang w:val="cs-CZ" w:eastAsia="cs-CZ" w:bidi="cs-CZ"/>
        </w:rPr>
        <w:t>nejpozději do 30. června 2024.</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Místo plnění:</w:t>
      </w:r>
    </w:p>
    <w:p>
      <w:pPr>
        <w:pStyle w:val="Style2"/>
        <w:keepNext w:val="0"/>
        <w:keepLines w:val="0"/>
        <w:widowControl w:val="0"/>
        <w:shd w:val="clear" w:color="auto" w:fill="auto"/>
        <w:bidi w:val="0"/>
        <w:spacing w:before="0" w:line="240" w:lineRule="auto"/>
        <w:ind w:left="0" w:right="0" w:firstLine="360"/>
        <w:jc w:val="both"/>
      </w:pPr>
      <w:r>
        <w:rPr>
          <w:b/>
          <w:bCs/>
          <w:color w:val="000000"/>
          <w:spacing w:val="0"/>
          <w:w w:val="100"/>
          <w:position w:val="0"/>
          <w:shd w:val="clear" w:color="auto" w:fill="auto"/>
          <w:lang w:val="cs-CZ" w:eastAsia="cs-CZ" w:bidi="cs-CZ"/>
        </w:rPr>
        <w:t>VT Dlouhá stoka, p.p.č. 3163/2 a 4491 k.ú. Krásno nad Teplou, ř.km 0,086 – 1,404.</w:t>
      </w:r>
    </w:p>
    <w:p>
      <w:pPr>
        <w:pStyle w:val="Style12"/>
        <w:keepNext/>
        <w:keepLines/>
        <w:widowControl w:val="0"/>
        <w:numPr>
          <w:ilvl w:val="0"/>
          <w:numId w:val="1"/>
        </w:numPr>
        <w:shd w:val="clear" w:color="auto" w:fill="auto"/>
        <w:tabs>
          <w:tab w:pos="382" w:val="left"/>
        </w:tabs>
        <w:bidi w:val="0"/>
        <w:spacing w:before="0" w:line="240" w:lineRule="auto"/>
        <w:ind w:left="360"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hanging="34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správě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12"/>
        <w:keepNext/>
        <w:keepLines/>
        <w:widowControl w:val="0"/>
        <w:numPr>
          <w:ilvl w:val="0"/>
          <w:numId w:val="3"/>
        </w:numPr>
        <w:shd w:val="clear" w:color="auto" w:fill="auto"/>
        <w:tabs>
          <w:tab w:pos="786" w:val="left"/>
        </w:tabs>
        <w:bidi w:val="0"/>
        <w:spacing w:before="0" w:after="0" w:line="240" w:lineRule="auto"/>
        <w:ind w:left="720" w:right="0" w:hanging="34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1"/>
      <w:bookmarkEnd w:id="52"/>
      <w:bookmarkEnd w:id="54"/>
    </w:p>
    <w:p>
      <w:pPr>
        <w:pStyle w:val="Style12"/>
        <w:keepNext/>
        <w:keepLines/>
        <w:widowControl w:val="0"/>
        <w:numPr>
          <w:ilvl w:val="0"/>
          <w:numId w:val="3"/>
        </w:numPr>
        <w:shd w:val="clear" w:color="auto" w:fill="auto"/>
        <w:tabs>
          <w:tab w:pos="786" w:val="left"/>
        </w:tabs>
        <w:bidi w:val="0"/>
        <w:spacing w:before="0" w:line="240" w:lineRule="auto"/>
        <w:ind w:left="720" w:right="0" w:hanging="34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5"/>
      <w:bookmarkEnd w:id="56"/>
      <w:bookmarkEnd w:id="58"/>
    </w:p>
    <w:p>
      <w:pPr>
        <w:pStyle w:val="Style12"/>
        <w:keepNext/>
        <w:keepLines/>
        <w:widowControl w:val="0"/>
        <w:numPr>
          <w:ilvl w:val="0"/>
          <w:numId w:val="1"/>
        </w:numPr>
        <w:shd w:val="clear" w:color="auto" w:fill="auto"/>
        <w:tabs>
          <w:tab w:pos="382" w:val="left"/>
        </w:tabs>
        <w:bidi w:val="0"/>
        <w:spacing w:before="0" w:line="240" w:lineRule="auto"/>
        <w:ind w:left="360" w:right="0" w:hanging="36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9"/>
      <w:bookmarkEnd w:id="60"/>
      <w:bookmarkEnd w:id="62"/>
    </w:p>
    <w:p>
      <w:pPr>
        <w:pStyle w:val="Style12"/>
        <w:keepNext/>
        <w:keepLines/>
        <w:widowControl w:val="0"/>
        <w:numPr>
          <w:ilvl w:val="0"/>
          <w:numId w:val="1"/>
        </w:numPr>
        <w:shd w:val="clear" w:color="auto" w:fill="auto"/>
        <w:tabs>
          <w:tab w:pos="382" w:val="left"/>
        </w:tabs>
        <w:bidi w:val="0"/>
        <w:spacing w:before="0" w:line="240" w:lineRule="auto"/>
        <w:ind w:right="0" w:hanging="38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180" w:line="240" w:lineRule="auto"/>
        <w:ind w:right="0" w:hanging="38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7"/>
      <w:bookmarkEnd w:id="68"/>
      <w:bookmarkEnd w:id="70"/>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Smluvní strany se dohodly na následujících lhůtách a podmínkách pro realizaci díla.</w:t>
      </w:r>
      <w:bookmarkEnd w:id="71"/>
      <w:bookmarkEnd w:id="72"/>
      <w:bookmarkEnd w:id="74"/>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1257" w:val="left"/>
        </w:tabs>
        <w:bidi w:val="0"/>
        <w:spacing w:before="0" w:after="100" w:line="240" w:lineRule="auto"/>
        <w:ind w:left="0" w:right="0" w:firstLine="860"/>
        <w:jc w:val="both"/>
      </w:pPr>
      <w:bookmarkStart w:id="75" w:name="bookmark75"/>
      <w:bookmarkEnd w:id="7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14 kalendářních dnů od písemné výzvy TDI. Výzva bude odeslána na e-mail zhotovitele:</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Pracoviště bude zhotoviteli předáno protokolárně.</w:t>
      </w:r>
    </w:p>
    <w:p>
      <w:pPr>
        <w:pStyle w:val="Style2"/>
        <w:keepNext w:val="0"/>
        <w:keepLines w:val="0"/>
        <w:widowControl w:val="0"/>
        <w:numPr>
          <w:ilvl w:val="0"/>
          <w:numId w:val="7"/>
        </w:numPr>
        <w:shd w:val="clear" w:color="auto" w:fill="auto"/>
        <w:tabs>
          <w:tab w:pos="1271" w:val="left"/>
        </w:tabs>
        <w:bidi w:val="0"/>
        <w:spacing w:before="0" w:after="100" w:line="240" w:lineRule="auto"/>
        <w:ind w:left="0" w:right="0" w:firstLine="860"/>
        <w:jc w:val="both"/>
      </w:pPr>
      <w:bookmarkStart w:id="76" w:name="bookmark76"/>
      <w:bookmarkEnd w:id="7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Do 5 kalendářních dnů po převzetí pracoviště</w:t>
      </w:r>
    </w:p>
    <w:p>
      <w:pPr>
        <w:pStyle w:val="Style2"/>
        <w:keepNext w:val="0"/>
        <w:keepLines w:val="0"/>
        <w:widowControl w:val="0"/>
        <w:numPr>
          <w:ilvl w:val="0"/>
          <w:numId w:val="7"/>
        </w:numPr>
        <w:shd w:val="clear" w:color="auto" w:fill="auto"/>
        <w:tabs>
          <w:tab w:pos="1271" w:val="left"/>
        </w:tabs>
        <w:bidi w:val="0"/>
        <w:spacing w:before="0" w:after="100" w:line="240" w:lineRule="auto"/>
        <w:ind w:left="0" w:right="0" w:firstLine="860"/>
        <w:jc w:val="both"/>
      </w:pPr>
      <w:bookmarkStart w:id="77" w:name="bookmark77"/>
      <w:bookmarkEnd w:id="77"/>
      <w:r>
        <w:rPr>
          <w:b/>
          <w:bCs/>
          <w:color w:val="000000"/>
          <w:spacing w:val="0"/>
          <w:w w:val="100"/>
          <w:position w:val="0"/>
          <w:shd w:val="clear" w:color="auto" w:fill="auto"/>
          <w:lang w:val="cs-CZ" w:eastAsia="cs-CZ" w:bidi="cs-CZ"/>
        </w:rPr>
        <w:t>termín pro dokončení úseku ř. km 0,896 – 1,404:</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Nejpozději do 30. 6. 2024</w:t>
      </w:r>
    </w:p>
    <w:p>
      <w:pPr>
        <w:pStyle w:val="Style2"/>
        <w:keepNext w:val="0"/>
        <w:keepLines w:val="0"/>
        <w:widowControl w:val="0"/>
        <w:numPr>
          <w:ilvl w:val="0"/>
          <w:numId w:val="7"/>
        </w:numPr>
        <w:shd w:val="clear" w:color="auto" w:fill="auto"/>
        <w:tabs>
          <w:tab w:pos="1271" w:val="left"/>
        </w:tabs>
        <w:bidi w:val="0"/>
        <w:spacing w:before="0" w:after="100" w:line="240" w:lineRule="auto"/>
        <w:ind w:left="0" w:right="0" w:firstLine="860"/>
        <w:jc w:val="both"/>
      </w:pPr>
      <w:bookmarkStart w:id="78" w:name="bookmark78"/>
      <w:bookmarkEnd w:id="7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Nejpozději do 31.7. 2024</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right="0" w:hanging="38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9"/>
      <w:bookmarkEnd w:id="80"/>
      <w:bookmarkEnd w:id="82"/>
    </w:p>
    <w:p>
      <w:pPr>
        <w:pStyle w:val="Style12"/>
        <w:keepNext/>
        <w:keepLines/>
        <w:widowControl w:val="0"/>
        <w:numPr>
          <w:ilvl w:val="0"/>
          <w:numId w:val="5"/>
        </w:numPr>
        <w:shd w:val="clear" w:color="auto" w:fill="auto"/>
        <w:tabs>
          <w:tab w:pos="382" w:val="left"/>
        </w:tabs>
        <w:bidi w:val="0"/>
        <w:spacing w:before="0" w:line="240" w:lineRule="auto"/>
        <w:ind w:right="0" w:hanging="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3"/>
      <w:bookmarkEnd w:id="84"/>
      <w:bookmarkEnd w:id="86"/>
    </w:p>
    <w:p>
      <w:pPr>
        <w:pStyle w:val="Style12"/>
        <w:keepNext/>
        <w:keepLines/>
        <w:widowControl w:val="0"/>
        <w:shd w:val="clear" w:color="auto" w:fill="auto"/>
        <w:bidi w:val="0"/>
        <w:spacing w:before="0" w:after="180" w:line="240" w:lineRule="auto"/>
        <w:ind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7"/>
      <w:bookmarkEnd w:id="88"/>
      <w:bookmarkEnd w:id="89"/>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74" w:val="left"/>
        </w:tabs>
        <w:bidi w:val="0"/>
        <w:spacing w:before="0" w:after="42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420" w:line="240" w:lineRule="auto"/>
        <w:ind w:left="0" w:right="0" w:firstLine="380"/>
        <w:jc w:val="left"/>
      </w:pPr>
      <w:r>
        <mc:AlternateContent>
          <mc:Choice Requires="wps">
            <w:drawing>
              <wp:anchor distT="0" distB="0" distL="114300" distR="114300" simplePos="0" relativeHeight="125829380" behindDoc="0" locked="0" layoutInCell="1" allowOverlap="1">
                <wp:simplePos x="0" y="0"/>
                <wp:positionH relativeFrom="page">
                  <wp:posOffset>4472305</wp:posOffset>
                </wp:positionH>
                <wp:positionV relativeFrom="paragraph">
                  <wp:posOffset>12700</wp:posOffset>
                </wp:positionV>
                <wp:extent cx="1410970" cy="237490"/>
                <wp:wrapSquare wrapText="left"/>
                <wp:docPr id="3" name="Shape 3"/>
                <a:graphic xmlns:a="http://schemas.openxmlformats.org/drawingml/2006/main">
                  <a:graphicData uri="http://schemas.microsoft.com/office/word/2010/wordprocessingShape">
                    <wps:wsp>
                      <wps:cNvSpPr txBox="1"/>
                      <wps:spPr>
                        <a:xfrm>
                          <a:ext cx="141097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66 500,- Kč bez DPH</w:t>
                            </w:r>
                          </w:p>
                        </w:txbxContent>
                      </wps:txbx>
                      <wps:bodyPr wrap="none" lIns="0" tIns="0" rIns="0" bIns="0">
                        <a:noAutoFit/>
                      </wps:bodyPr>
                    </wps:wsp>
                  </a:graphicData>
                </a:graphic>
              </wp:anchor>
            </w:drawing>
          </mc:Choice>
          <mc:Fallback>
            <w:pict>
              <v:shape id="_x0000_s1029" type="#_x0000_t202" style="position:absolute;margin-left:352.15000000000003pt;margin-top:1.pt;width:111.10000000000001pt;height:18.6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66 500,- Kč bez DPH</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smluvní cena za dílo:</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4" w:val="left"/>
        </w:tabs>
        <w:bidi w:val="0"/>
        <w:spacing w:before="0" w:after="18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4" w:val="left"/>
        </w:tabs>
        <w:bidi w:val="0"/>
        <w:spacing w:before="0" w:line="240" w:lineRule="auto"/>
        <w:ind w:left="0" w:right="0" w:firstLine="0"/>
        <w:jc w:val="left"/>
      </w:pPr>
      <w:bookmarkStart w:id="94" w:name="bookmark94"/>
      <w:bookmarkEnd w:id="9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4" w:val="left"/>
        </w:tabs>
        <w:bidi w:val="0"/>
        <w:spacing w:before="0" w:after="100" w:line="240" w:lineRule="auto"/>
        <w:ind w:left="380" w:right="0" w:hanging="380"/>
        <w:jc w:val="left"/>
      </w:pPr>
      <w:bookmarkStart w:id="95" w:name="bookmark95"/>
      <w:bookmarkEnd w:id="95"/>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Předat faktury lze i elektronicky ve formátu PDF na adresu: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4" w:val="left"/>
        </w:tabs>
        <w:bidi w:val="0"/>
        <w:spacing w:before="0" w:line="240" w:lineRule="auto"/>
        <w:ind w:left="0" w:right="0" w:firstLine="0"/>
        <w:jc w:val="left"/>
      </w:pPr>
      <w:bookmarkStart w:id="98" w:name="bookmark98"/>
      <w:bookmarkEnd w:id="9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4"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Pokud bude zhotovitel v prodlení proti termínu plnění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4"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 xml:space="preserve">Pokud bude zhotovitel v prodlení proti termínu předání a převzetí dokončeného díla sjednaného dle čl. II. odst. 1. písm. d) této smlouvy, je povinen zaplatit objednateli smluvní pokutu ve výši 0,2 % z ceny díla bez DPH dle čl. III. této smlouvy za každý i </w:t>
      </w:r>
      <w:r>
        <w:rPr>
          <w:color w:val="000000"/>
          <w:spacing w:val="0"/>
          <w:w w:val="100"/>
          <w:position w:val="0"/>
          <w:shd w:val="clear" w:color="auto" w:fill="auto"/>
          <w:lang w:val="cs-CZ" w:eastAsia="cs-CZ" w:bidi="cs-CZ"/>
        </w:rPr>
        <w:t>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18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46" w:val="left"/>
        </w:tabs>
        <w:bidi w:val="0"/>
        <w:spacing w:before="0" w:after="0" w:line="240" w:lineRule="auto"/>
        <w:ind w:left="0" w:right="0" w:firstLine="380"/>
        <w:jc w:val="both"/>
      </w:pPr>
      <w:bookmarkStart w:id="111" w:name="bookmark111"/>
      <w:bookmarkEnd w:id="11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46" w:val="left"/>
        </w:tabs>
        <w:bidi w:val="0"/>
        <w:spacing w:before="0" w:after="0" w:line="240" w:lineRule="auto"/>
        <w:ind w:left="1020" w:right="0" w:hanging="640"/>
        <w:jc w:val="both"/>
      </w:pPr>
      <w:bookmarkStart w:id="112" w:name="bookmark112"/>
      <w:bookmarkEnd w:id="11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46" w:val="left"/>
        </w:tabs>
        <w:bidi w:val="0"/>
        <w:spacing w:before="0" w:line="240" w:lineRule="auto"/>
        <w:ind w:left="1020" w:right="0" w:hanging="640"/>
        <w:jc w:val="both"/>
      </w:pPr>
      <w:bookmarkStart w:id="113" w:name="bookmark113"/>
      <w:bookmarkEnd w:id="11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8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after="18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 xml:space="preserve">Objednatel je oprávněn požadovat náhradu škody způsobenou mu zhotovitelem porušením povinností zhotovitele při plnění předmětu díla, taktéž škody, které by vznikly </w:t>
      </w:r>
      <w:r>
        <w:rPr>
          <w:color w:val="000000"/>
          <w:spacing w:val="0"/>
          <w:w w:val="100"/>
          <w:position w:val="0"/>
          <w:shd w:val="clear" w:color="auto" w:fill="auto"/>
          <w:lang w:val="cs-CZ" w:eastAsia="cs-CZ" w:bidi="cs-CZ"/>
        </w:rPr>
        <w:t>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after="0" w:line="240" w:lineRule="auto"/>
        <w:ind w:left="0" w:right="0" w:firstLine="0"/>
        <w:jc w:val="both"/>
      </w:pPr>
      <w:bookmarkStart w:id="118" w:name="bookmark118"/>
      <w:bookmarkEnd w:id="118"/>
      <w:r>
        <w:rPr>
          <w:color w:val="000000"/>
          <w:spacing w:val="0"/>
          <w:w w:val="100"/>
          <w:position w:val="0"/>
          <w:shd w:val="clear" w:color="auto" w:fill="auto"/>
          <w:lang w:val="cs-CZ" w:eastAsia="cs-CZ" w:bidi="cs-CZ"/>
        </w:rPr>
        <w:t>Zhotovitel při provádění dohodnuté činnosti bude dodržovat hygienické a ekologické</w:t>
      </w:r>
    </w:p>
    <w:p>
      <w:pPr>
        <w:pStyle w:val="Style2"/>
        <w:keepNext w:val="0"/>
        <w:keepLines w:val="0"/>
        <w:widowControl w:val="0"/>
        <w:shd w:val="clear" w:color="auto" w:fill="auto"/>
        <w:tabs>
          <w:tab w:pos="8660" w:val="left"/>
        </w:tabs>
        <w:bidi w:val="0"/>
        <w:spacing w:before="0" w:line="240" w:lineRule="auto"/>
        <w:ind w:left="380" w:right="0" w:firstLine="0"/>
        <w:jc w:val="both"/>
      </w:pPr>
      <w:r>
        <w:rPr>
          <w:color w:val="000000"/>
          <w:spacing w:val="0"/>
          <w:w w:val="100"/>
          <w:position w:val="0"/>
          <w:shd w:val="clear" w:color="auto" w:fill="auto"/>
          <w:lang w:val="cs-CZ" w:eastAsia="cs-CZ" w:bidi="cs-CZ"/>
        </w:rPr>
        <w:t>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tab/>
        <w:t>.</w:t>
      </w:r>
    </w:p>
    <w:p>
      <w:pPr>
        <w:pStyle w:val="Style12"/>
        <w:keepNext/>
        <w:keepLines/>
        <w:widowControl w:val="0"/>
        <w:numPr>
          <w:ilvl w:val="0"/>
          <w:numId w:val="21"/>
        </w:numPr>
        <w:shd w:val="clear" w:color="auto" w:fill="auto"/>
        <w:tabs>
          <w:tab w:pos="358" w:val="left"/>
        </w:tabs>
        <w:bidi w:val="0"/>
        <w:spacing w:before="0" w:after="180" w:line="240" w:lineRule="auto"/>
        <w:ind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19"/>
      <w:bookmarkEnd w:id="120"/>
      <w:bookmarkEnd w:id="122"/>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6" w:name="bookmark126"/>
      <w:bookmarkEnd w:id="126"/>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27" w:name="bookmark127"/>
      <w:bookmarkEnd w:id="127"/>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36" w:name="bookmark136"/>
      <w:bookmarkEnd w:id="136"/>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r>
        <w:br w:type="page"/>
      </w:r>
    </w:p>
    <w:tbl>
      <w:tblPr>
        <w:tblOverlap w:val="never"/>
        <w:jc w:val="left"/>
        <w:tblLayout w:type="fixed"/>
      </w:tblPr>
      <w:tblGrid>
        <w:gridCol w:w="4224"/>
        <w:gridCol w:w="3960"/>
      </w:tblGrid>
      <w:tr>
        <w:trPr>
          <w:trHeight w:val="1027"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w:t>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V Sokolově dne…………..</w:t>
            </w:r>
          </w:p>
        </w:tc>
      </w:tr>
      <w:tr>
        <w:trPr>
          <w:trHeight w:val="1517"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840" w:right="0" w:firstLine="20"/>
              <w:jc w:val="left"/>
            </w:pPr>
            <w:r>
              <w:rPr>
                <w:color w:val="000000"/>
                <w:spacing w:val="0"/>
                <w:w w:val="100"/>
                <w:position w:val="0"/>
                <w:shd w:val="clear" w:color="auto" w:fill="auto"/>
                <w:lang w:val="cs-CZ" w:eastAsia="cs-CZ" w:bidi="cs-CZ"/>
              </w:rPr>
              <w:t>…………………………………… oprávněný zástupce zhotovitele</w:t>
            </w:r>
          </w:p>
        </w:tc>
      </w:tr>
      <w:tr>
        <w:trPr>
          <w:trHeight w:val="850"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jednatelka</w:t>
            </w:r>
          </w:p>
          <w:p>
            <w:pPr>
              <w:pStyle w:val="Style19"/>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ABRI, s.r.o.</w:t>
            </w:r>
          </w:p>
        </w:tc>
      </w:tr>
    </w:tbl>
    <w:sectPr>
      <w:headerReference w:type="default" r:id="rId5"/>
      <w:footerReference w:type="default" r:id="rId6"/>
      <w:footnotePr>
        <w:pos w:val="pageBottom"/>
        <w:numFmt w:val="decimal"/>
        <w:numRestart w:val="continuous"/>
      </w:footnotePr>
      <w:pgSz w:w="11909" w:h="16838"/>
      <w:pgMar w:top="1065" w:left="1393" w:right="1385" w:bottom="124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5993130</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90000000000003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5652135</wp:posOffset>
              </wp:positionH>
              <wp:positionV relativeFrom="page">
                <wp:posOffset>386715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05000000000001pt;margin-top:30.4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80" w:hanging="350"/>
      <w:outlineLvl w:val="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