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545/2024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884555</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Ploučnice v Mimoni - sekání travních porostů 2024</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884555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650000000000006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LESOPRAKT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Kvítkov 61, 470 01 Česká Lípa</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25487761</w:t>
      </w:r>
    </w:p>
    <w:p>
      <w:pPr>
        <w:pStyle w:val="Style2"/>
        <w:keepNext w:val="0"/>
        <w:keepLines w:val="0"/>
        <w:widowControl w:val="0"/>
        <w:shd w:val="clear" w:color="auto" w:fill="auto"/>
        <w:bidi w:val="0"/>
        <w:spacing w:before="0" w:after="320" w:line="240" w:lineRule="auto"/>
        <w:ind w:left="2340" w:right="0" w:firstLine="0"/>
        <w:jc w:val="both"/>
      </w:pPr>
      <w:r>
        <w:rPr>
          <w:color w:val="000000"/>
          <w:spacing w:val="0"/>
          <w:w w:val="100"/>
          <w:position w:val="0"/>
          <w:shd w:val="clear" w:color="auto" w:fill="auto"/>
          <w:lang w:val="cs-CZ" w:eastAsia="cs-CZ" w:bidi="cs-CZ"/>
        </w:rPr>
        <w:t>CZ25487761</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Ploučnice v Mimoni - sekání travních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periodické sekání travních porostů v průtočném profilu vodního toku (VT) Ploučnice v Mimoni (ř. km 73,416-74,800).</w:t>
      </w:r>
      <w:bookmarkEnd w:id="10"/>
      <w:bookmarkEnd w:id="7"/>
      <w:bookmarkEnd w:id="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12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na březích VT Ploučnice na ploše 25000 m2 vždy v rámci jedné seče.</w:t>
      </w:r>
    </w:p>
    <w:p>
      <w:pPr>
        <w:pStyle w:val="Style2"/>
        <w:keepNext w:val="0"/>
        <w:keepLines w:val="0"/>
        <w:widowControl w:val="0"/>
        <w:shd w:val="clear" w:color="auto" w:fill="auto"/>
        <w:bidi w:val="0"/>
        <w:spacing w:before="0" w:after="140" w:line="276" w:lineRule="auto"/>
        <w:ind w:left="12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 vždy v rámci každé seče.</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dvě seče v kalendářním roce 2024 </w:t>
      </w:r>
      <w:r>
        <w:rPr>
          <w:color w:val="000000"/>
          <w:spacing w:val="0"/>
          <w:w w:val="100"/>
          <w:position w:val="0"/>
          <w:shd w:val="clear" w:color="auto" w:fill="auto"/>
          <w:lang w:val="cs-CZ" w:eastAsia="cs-CZ" w:bidi="cs-CZ"/>
        </w:rPr>
        <w:t>(červen a srpen-září). Termín započetí jednotlivých sečí bude upřesněn technickým dozorem investora (TDI). 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Místo provádění díla: Koryto vodního toku Ploučnice ve městě Mimoň v úseku od železničního mostu – vlečky (N 50°38.93373', E 14°44.02292'), po zámecký most u parku (N 50°39.55247', E 14°43.63318') –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 Jedná se o tento pozemek ve správě objednatele:</w:t>
      </w:r>
    </w:p>
    <w:p>
      <w:pPr>
        <w:pStyle w:val="Style2"/>
        <w:keepNext w:val="0"/>
        <w:keepLines w:val="0"/>
        <w:widowControl w:val="0"/>
        <w:shd w:val="clear" w:color="auto" w:fill="auto"/>
        <w:bidi w:val="0"/>
        <w:spacing w:before="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Mimoň - p. p. č. 2100</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27"/>
      <w:bookmarkEnd w:id="28"/>
      <w:bookmarkEnd w:id="30"/>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1"/>
      <w:bookmarkEnd w:id="32"/>
      <w:bookmarkEnd w:id="34"/>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povolení zvláštního užívání pozemní komunikace, bude-li potřeba,</w:t>
      </w:r>
      <w:bookmarkEnd w:id="35"/>
      <w:bookmarkEnd w:id="36"/>
      <w:bookmarkEnd w:id="38"/>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zodpovídá za místo realizace díla i v době přerušení prací,</w:t>
      </w:r>
      <w:bookmarkEnd w:id="43"/>
      <w:bookmarkEnd w:id="44"/>
      <w:bookmarkEnd w:id="4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7"/>
      <w:bookmarkEnd w:id="48"/>
      <w:bookmarkEnd w:id="50"/>
    </w:p>
    <w:p>
      <w:pPr>
        <w:pStyle w:val="Style12"/>
        <w:keepNext/>
        <w:keepLines/>
        <w:widowControl w:val="0"/>
        <w:numPr>
          <w:ilvl w:val="0"/>
          <w:numId w:val="3"/>
        </w:numPr>
        <w:shd w:val="clear" w:color="auto" w:fill="auto"/>
        <w:tabs>
          <w:tab w:pos="786" w:val="left"/>
        </w:tabs>
        <w:bidi w:val="0"/>
        <w:spacing w:before="0" w:line="240" w:lineRule="auto"/>
        <w:ind w:left="72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1"/>
      <w:bookmarkEnd w:id="52"/>
      <w:bookmarkEnd w:id="54"/>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5"/>
      <w:bookmarkEnd w:id="56"/>
      <w:bookmarkEnd w:id="58"/>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9"/>
      <w:bookmarkEnd w:id="60"/>
      <w:bookmarkEnd w:id="62"/>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7"/>
      <w:bookmarkEnd w:id="68"/>
      <w:bookmarkEnd w:id="7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Smluvní strany se dohodly na následujících lhůtách a podmínkách pro realizaci díla.</w:t>
      </w:r>
      <w:bookmarkEnd w:id="71"/>
      <w:bookmarkEnd w:id="72"/>
      <w:bookmarkEnd w:id="74"/>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5" w:name="bookmark75"/>
      <w:bookmarkEnd w:id="7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Bez zbytečného odkladu po převzetí pracoviště, </w:t>
      </w:r>
      <w:r>
        <w:rPr>
          <w:b/>
          <w:bCs/>
          <w:color w:val="000000"/>
          <w:spacing w:val="0"/>
          <w:w w:val="100"/>
          <w:position w:val="0"/>
          <w:shd w:val="clear" w:color="auto" w:fill="auto"/>
          <w:lang w:val="cs-CZ" w:eastAsia="cs-CZ" w:bidi="cs-CZ"/>
        </w:rPr>
        <w:t>nejdříve však od 1.6.2024.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7" w:name="bookmark77"/>
      <w:bookmarkEnd w:id="77"/>
      <w:r>
        <w:rPr>
          <w:b/>
          <w:bCs/>
          <w:color w:val="000000"/>
          <w:spacing w:val="0"/>
          <w:w w:val="100"/>
          <w:position w:val="0"/>
          <w:shd w:val="clear" w:color="auto" w:fill="auto"/>
          <w:lang w:val="cs-CZ" w:eastAsia="cs-CZ" w:bidi="cs-CZ"/>
        </w:rPr>
        <w:t>Dílčí termín pro dokončení 1. seče</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440"/>
        <w:jc w:val="both"/>
      </w:pPr>
      <w:r>
        <w:rPr>
          <w:b/>
          <w:bCs/>
          <w:color w:val="000000"/>
          <w:spacing w:val="0"/>
          <w:w w:val="100"/>
          <w:position w:val="0"/>
          <w:shd w:val="clear" w:color="auto" w:fill="auto"/>
          <w:lang w:val="cs-CZ" w:eastAsia="cs-CZ" w:bidi="cs-CZ"/>
        </w:rPr>
        <w:t>Nejpozději do 28.6.2024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8" w:name="bookmark78"/>
      <w:bookmarkEnd w:id="7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30.09.2024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9"/>
      <w:bookmarkEnd w:id="80"/>
      <w:bookmarkEnd w:id="82"/>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3"/>
      <w:bookmarkEnd w:id="84"/>
      <w:bookmarkEnd w:id="86"/>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7"/>
      <w:bookmarkEnd w:id="88"/>
      <w:bookmarkEnd w:id="9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1" w:name="bookmark91"/>
      <w:bookmarkEnd w:id="9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2" w:name="bookmark92"/>
      <w:bookmarkEnd w:id="92"/>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w:t>
      </w:r>
      <w:r>
        <w:rPr>
          <w:color w:val="000000"/>
          <w:spacing w:val="0"/>
          <w:w w:val="100"/>
          <w:position w:val="0"/>
          <w:shd w:val="clear" w:color="auto" w:fill="auto"/>
          <w:lang w:val="cs-CZ" w:eastAsia="cs-CZ" w:bidi="cs-CZ"/>
        </w:rPr>
        <w:t>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282" w:val="left"/>
        </w:tabs>
        <w:bidi w:val="0"/>
        <w:spacing w:before="0" w:line="240" w:lineRule="auto"/>
        <w:ind w:left="0" w:right="0" w:firstLine="380"/>
        <w:jc w:val="both"/>
      </w:pPr>
      <w:r>
        <w:rPr>
          <w:color w:val="000000"/>
          <w:spacing w:val="0"/>
          <w:w w:val="100"/>
          <w:position w:val="0"/>
          <w:shd w:val="clear" w:color="auto" w:fill="auto"/>
          <w:lang w:val="cs-CZ" w:eastAsia="cs-CZ" w:bidi="cs-CZ"/>
        </w:rPr>
        <w:t>Dílčí cena za 1. seč:</w:t>
        <w:tab/>
        <w:t>90.000,00 Kč bez DPH</w:t>
      </w:r>
    </w:p>
    <w:p>
      <w:pPr>
        <w:pStyle w:val="Style2"/>
        <w:keepNext w:val="0"/>
        <w:keepLines w:val="0"/>
        <w:widowControl w:val="0"/>
        <w:shd w:val="clear" w:color="auto" w:fill="auto"/>
        <w:tabs>
          <w:tab w:pos="4282" w:val="left"/>
        </w:tabs>
        <w:bidi w:val="0"/>
        <w:spacing w:before="0" w:line="240" w:lineRule="auto"/>
        <w:ind w:left="0" w:right="0" w:firstLine="380"/>
        <w:jc w:val="both"/>
      </w:pPr>
      <w:r>
        <w:rPr>
          <w:color w:val="000000"/>
          <w:spacing w:val="0"/>
          <w:w w:val="100"/>
          <w:position w:val="0"/>
          <w:shd w:val="clear" w:color="auto" w:fill="auto"/>
          <w:lang w:val="cs-CZ" w:eastAsia="cs-CZ" w:bidi="cs-CZ"/>
        </w:rPr>
        <w:t>Dílčí cena za 2. seč:</w:t>
        <w:tab/>
        <w:t>61.250,00 Kč bez DPH</w:t>
      </w:r>
    </w:p>
    <w:p>
      <w:pPr>
        <w:pStyle w:val="Style2"/>
        <w:keepNext w:val="0"/>
        <w:keepLines w:val="0"/>
        <w:widowControl w:val="0"/>
        <w:shd w:val="clear" w:color="auto" w:fill="auto"/>
        <w:tabs>
          <w:tab w:pos="4282"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 celkem:</w:t>
        <w:tab/>
        <w:t>151.250,00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ve formátu PDF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8" w:name="bookmark98"/>
      <w:bookmarkEnd w:id="98"/>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do 28.6.2024 (1. seč)</w:t>
      </w:r>
      <w:r>
        <w:rPr>
          <w:color w:val="000000"/>
          <w:spacing w:val="0"/>
          <w:w w:val="100"/>
          <w:position w:val="0"/>
          <w:shd w:val="clear" w:color="auto" w:fill="auto"/>
          <w:lang w:val="cs-CZ" w:eastAsia="cs-CZ" w:bidi="cs-CZ"/>
        </w:rPr>
        <w:t>, 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9" w:name="bookmark99"/>
      <w:bookmarkEnd w:id="99"/>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02" w:name="bookmark102"/>
      <w:bookmarkEnd w:id="10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bude zhotovitel v prodlení proti dílčímu termínu předání a převzetí dokončeného díla sjednaného dle čl. II. odst. 1. písm. c) této smlouvy, je povinen zaplatit objednateli smluvní pokutu ve výši 0,2 % z dílčí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368"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88" w:val="left"/>
        </w:tabs>
        <w:bidi w:val="0"/>
        <w:spacing w:before="0" w:after="44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68" w:val="left"/>
        </w:tabs>
        <w:bidi w:val="0"/>
        <w:spacing w:before="0" w:line="240" w:lineRule="auto"/>
        <w:ind w:left="0" w:right="0" w:firstLine="0"/>
        <w:jc w:val="both"/>
      </w:pPr>
      <w:bookmarkStart w:id="114" w:name="bookmark114"/>
      <w:bookmarkEnd w:id="114"/>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46" w:val="left"/>
        </w:tabs>
        <w:bidi w:val="0"/>
        <w:spacing w:before="0" w:after="0" w:line="240" w:lineRule="auto"/>
        <w:ind w:left="0" w:right="0" w:firstLine="380"/>
        <w:jc w:val="both"/>
      </w:pPr>
      <w:bookmarkStart w:id="115" w:name="bookmark115"/>
      <w:bookmarkEnd w:id="115"/>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46" w:val="left"/>
        </w:tabs>
        <w:bidi w:val="0"/>
        <w:spacing w:before="0" w:after="0" w:line="240" w:lineRule="auto"/>
        <w:ind w:left="1020" w:right="0" w:hanging="640"/>
        <w:jc w:val="both"/>
      </w:pPr>
      <w:bookmarkStart w:id="116" w:name="bookmark116"/>
      <w:bookmarkEnd w:id="11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46" w:val="left"/>
        </w:tabs>
        <w:bidi w:val="0"/>
        <w:spacing w:before="0" w:line="240" w:lineRule="auto"/>
        <w:ind w:left="1020" w:right="0" w:hanging="640"/>
        <w:jc w:val="both"/>
      </w:pPr>
      <w:bookmarkStart w:id="117" w:name="bookmark117"/>
      <w:bookmarkEnd w:id="117"/>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560" w:line="240" w:lineRule="auto"/>
        <w:ind w:left="380" w:right="0" w:firstLine="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7"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7"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7" w:val="left"/>
        </w:tabs>
        <w:bidi w:val="0"/>
        <w:spacing w:before="0" w:line="240" w:lineRule="auto"/>
        <w:ind w:left="380" w:right="0" w:hanging="3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3"/>
      <w:bookmarkEnd w:id="124"/>
      <w:bookmarkEnd w:id="12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30" w:name="bookmark130"/>
      <w:bookmarkEnd w:id="130"/>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31" w:name="bookmark131"/>
      <w:bookmarkEnd w:id="131"/>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4" w:name="bookmark134"/>
      <w:bookmarkEnd w:id="134"/>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140" w:name="bookmark140"/>
      <w:bookmarkEnd w:id="140"/>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42" w:name="bookmark142"/>
      <w:bookmarkEnd w:id="14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headerReference w:type="default" r:id="rId5"/>
          <w:footerReference w:type="default" r:id="rId6"/>
          <w:footnotePr>
            <w:pos w:val="pageBottom"/>
            <w:numFmt w:val="decimal"/>
            <w:numRestart w:val="continuous"/>
          </w:footnotePr>
          <w:pgSz w:w="11909" w:h="16838"/>
          <w:pgMar w:top="1065" w:left="1393" w:right="1385" w:bottom="1243"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2654" w:left="0" w:right="0" w:bottom="2654"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654" w:left="1394" w:right="2335" w:bottom="2654"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2654" w:left="1394" w:right="2335" w:bottom="2654"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5989955</wp:posOffset>
              </wp:positionH>
              <wp:positionV relativeFrom="page">
                <wp:posOffset>9959340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65000000000003pt;margin-top:784.2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5648960</wp:posOffset>
              </wp:positionH>
              <wp:positionV relativeFrom="page">
                <wp:posOffset>386715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4.80000000000001pt;margin-top:30.4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