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7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tabs>
                      <w:tab w:pos="3693" w:val="left" w:leader="none"/>
                    </w:tabs>
                    <w:spacing w:line="263" w:lineRule="exact" w:before="1"/>
                    <w:ind w:left="58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w w:val="85"/>
                      <w:position w:val="9"/>
                      <w:sz w:val="19"/>
                    </w:rPr>
                    <w:t>"C3</w:t>
                    <w:tab/>
                  </w:r>
                  <w:r>
                    <w:rPr>
                      <w:b/>
                      <w:sz w:val="22"/>
                    </w:rPr>
                    <w:t>Smlouva  o souhlasu  s  provedením</w:t>
                  </w:r>
                  <w:r>
                    <w:rPr>
                      <w:b/>
                      <w:spacing w:val="5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stavby</w:t>
                  </w:r>
                </w:p>
                <w:p>
                  <w:pPr>
                    <w:pStyle w:val="BodyText"/>
                    <w:spacing w:line="116" w:lineRule="exact"/>
                    <w:ind w:left="1065"/>
                  </w:pPr>
                  <w:r>
                    <w:rPr>
                      <w:w w:val="110"/>
                    </w:rPr>
                    <w:t>&lt; N</w:t>
                  </w:r>
                </w:p>
                <w:p>
                  <w:pPr>
                    <w:tabs>
                      <w:tab w:pos="4953" w:val="left" w:leader="none"/>
                    </w:tabs>
                    <w:spacing w:line="190" w:lineRule="exact" w:before="0"/>
                    <w:ind w:left="105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w w:val="115"/>
                      <w:sz w:val="19"/>
                    </w:rPr>
                    <w:t>-i</w:t>
                  </w:r>
                  <w:r>
                    <w:rPr>
                      <w:spacing w:val="45"/>
                      <w:w w:val="115"/>
                      <w:sz w:val="19"/>
                    </w:rPr>
                    <w:t> </w:t>
                  </w:r>
                  <w:r>
                    <w:rPr>
                      <w:w w:val="115"/>
                      <w:sz w:val="19"/>
                    </w:rPr>
                    <w:t>o</w:t>
                    <w:tab/>
                  </w:r>
                  <w:r>
                    <w:rPr>
                      <w:b/>
                      <w:w w:val="105"/>
                      <w:sz w:val="22"/>
                    </w:rPr>
                    <w:t>č.</w:t>
                  </w:r>
                  <w:r>
                    <w:rPr>
                      <w:b/>
                      <w:spacing w:val="-15"/>
                      <w:w w:val="105"/>
                      <w:sz w:val="22"/>
                    </w:rPr>
                    <w:t> </w:t>
                  </w:r>
                  <w:r>
                    <w:rPr>
                      <w:b/>
                      <w:w w:val="105"/>
                      <w:sz w:val="22"/>
                    </w:rPr>
                    <w:t>SMLJ-22-69/2024</w:t>
                  </w:r>
                </w:p>
                <w:p>
                  <w:pPr>
                    <w:tabs>
                      <w:tab w:pos="1057" w:val="left" w:leader="none"/>
                    </w:tabs>
                    <w:spacing w:line="261" w:lineRule="exact" w:before="0"/>
                    <w:ind w:left="582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85"/>
                      <w:sz w:val="19"/>
                    </w:rPr>
                    <w:t>rTJ</w:t>
                    <w:tab/>
                  </w:r>
                  <w:r>
                    <w:rPr>
                      <w:i/>
                      <w:w w:val="85"/>
                      <w:sz w:val="19"/>
                    </w:rPr>
                    <w:t>O'</w:t>
                  </w:r>
                  <w:r>
                    <w:rPr>
                      <w:i/>
                      <w:spacing w:val="7"/>
                      <w:w w:val="85"/>
                      <w:sz w:val="19"/>
                    </w:rPr>
                    <w:t> </w:t>
                  </w:r>
                  <w:r>
                    <w:rPr>
                      <w:w w:val="90"/>
                      <w:position w:val="13"/>
                      <w:sz w:val="19"/>
                    </w:rPr>
                    <w:t>O</w:t>
                  </w:r>
                </w:p>
                <w:p>
                  <w:pPr>
                    <w:pStyle w:val="BodyText"/>
                    <w:spacing w:line="212" w:lineRule="exact"/>
                    <w:ind w:left="1296"/>
                  </w:pPr>
                  <w:r>
                    <w:rPr>
                      <w:position w:val="7"/>
                    </w:rPr>
                    <w:t>Q </w:t>
                  </w:r>
                  <w:r>
                    <w:rPr/>
                    <w:t>^Smluvní strany:</w:t>
                  </w:r>
                </w:p>
                <w:p>
                  <w:pPr>
                    <w:spacing w:line="135" w:lineRule="exact" w:before="71"/>
                    <w:ind w:left="1058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w w:val="190"/>
                      <w:sz w:val="12"/>
                    </w:rPr>
                    <w:t>o </w:t>
                  </w:r>
                  <w:r>
                    <w:rPr>
                      <w:i/>
                      <w:w w:val="130"/>
                      <w:sz w:val="10"/>
                    </w:rPr>
                    <w:t>&lt;n</w:t>
                  </w:r>
                </w:p>
                <w:p>
                  <w:pPr>
                    <w:spacing w:line="193" w:lineRule="exact" w:before="0"/>
                    <w:ind w:left="1058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spacing w:val="-138"/>
                      <w:w w:val="150"/>
                      <w:position w:val="13"/>
                      <w:sz w:val="11"/>
                    </w:rPr>
                    <w:t>m</w:t>
                  </w:r>
                  <w:r>
                    <w:rPr>
                      <w:w w:val="103"/>
                      <w:position w:val="2"/>
                      <w:sz w:val="19"/>
                    </w:rPr>
                    <w:t>-r</w:t>
                  </w:r>
                  <w:r>
                    <w:rPr>
                      <w:position w:val="2"/>
                      <w:sz w:val="19"/>
                    </w:rPr>
                    <w:t> </w:t>
                  </w:r>
                  <w:r>
                    <w:rPr>
                      <w:spacing w:val="-6"/>
                      <w:position w:val="2"/>
                      <w:sz w:val="19"/>
                    </w:rPr>
                    <w:t> </w:t>
                  </w:r>
                  <w:r>
                    <w:rPr>
                      <w:i/>
                      <w:w w:val="90"/>
                      <w:position w:val="2"/>
                      <w:sz w:val="19"/>
                    </w:rPr>
                    <w:t>°</w:t>
                  </w:r>
                  <w:r>
                    <w:rPr>
                      <w:i/>
                      <w:spacing w:val="-65"/>
                      <w:w w:val="90"/>
                      <w:position w:val="2"/>
                      <w:sz w:val="19"/>
                    </w:rPr>
                    <w:t>°</w:t>
                  </w:r>
                  <w:r>
                    <w:rPr>
                      <w:w w:val="182"/>
                      <w:position w:val="13"/>
                      <w:sz w:val="11"/>
                    </w:rPr>
                    <w:t>T</w:t>
                  </w:r>
                  <w:r>
                    <w:rPr>
                      <w:position w:val="13"/>
                      <w:sz w:val="11"/>
                    </w:rPr>
                    <w:t>     </w:t>
                  </w:r>
                  <w:r>
                    <w:rPr>
                      <w:spacing w:val="4"/>
                      <w:position w:val="13"/>
                      <w:sz w:val="11"/>
                    </w:rPr>
                    <w:t> </w:t>
                  </w:r>
                  <w:r>
                    <w:rPr>
                      <w:b/>
                      <w:w w:val="99"/>
                      <w:sz w:val="19"/>
                    </w:rPr>
                    <w:t>Správa</w:t>
                  </w:r>
                  <w:r>
                    <w:rPr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b/>
                      <w:w w:val="101"/>
                      <w:sz w:val="19"/>
                    </w:rPr>
                    <w:t>Krkon</w:t>
                  </w:r>
                  <w:r>
                    <w:rPr>
                      <w:b/>
                      <w:spacing w:val="-3"/>
                      <w:w w:val="101"/>
                      <w:sz w:val="19"/>
                    </w:rPr>
                    <w:t>o</w:t>
                  </w:r>
                  <w:r>
                    <w:rPr>
                      <w:b/>
                      <w:w w:val="101"/>
                      <w:sz w:val="19"/>
                    </w:rPr>
                    <w:t>šsk</w:t>
                  </w:r>
                  <w:r>
                    <w:rPr>
                      <w:b/>
                      <w:spacing w:val="-3"/>
                      <w:w w:val="101"/>
                      <w:sz w:val="19"/>
                    </w:rPr>
                    <w:t>é</w:t>
                  </w:r>
                  <w:r>
                    <w:rPr>
                      <w:b/>
                      <w:w w:val="101"/>
                      <w:sz w:val="19"/>
                    </w:rPr>
                    <w:t>ho</w:t>
                  </w:r>
                  <w:r>
                    <w:rPr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b/>
                      <w:w w:val="101"/>
                      <w:sz w:val="19"/>
                    </w:rPr>
                    <w:t>nár</w:t>
                  </w:r>
                  <w:r>
                    <w:rPr>
                      <w:b/>
                      <w:spacing w:val="-3"/>
                      <w:w w:val="101"/>
                      <w:sz w:val="19"/>
                    </w:rPr>
                    <w:t>o</w:t>
                  </w:r>
                  <w:r>
                    <w:rPr>
                      <w:b/>
                      <w:w w:val="101"/>
                      <w:sz w:val="19"/>
                    </w:rPr>
                    <w:t>dního</w:t>
                  </w:r>
                  <w:r>
                    <w:rPr>
                      <w:b/>
                      <w:spacing w:val="18"/>
                      <w:sz w:val="19"/>
                    </w:rPr>
                    <w:t> </w:t>
                  </w:r>
                  <w:r>
                    <w:rPr>
                      <w:b/>
                      <w:w w:val="95"/>
                      <w:sz w:val="19"/>
                    </w:rPr>
                    <w:t>pa</w:t>
                  </w:r>
                  <w:r>
                    <w:rPr>
                      <w:b/>
                      <w:spacing w:val="-3"/>
                      <w:w w:val="95"/>
                      <w:sz w:val="19"/>
                    </w:rPr>
                    <w:t>r</w:t>
                  </w:r>
                  <w:r>
                    <w:rPr>
                      <w:b/>
                      <w:w w:val="95"/>
                      <w:sz w:val="19"/>
                    </w:rPr>
                    <w:t>ku</w:t>
                  </w:r>
                </w:p>
                <w:p>
                  <w:pPr>
                    <w:pStyle w:val="BodyText"/>
                    <w:spacing w:line="108" w:lineRule="exact"/>
                    <w:ind w:left="1058"/>
                  </w:pPr>
                  <w:r>
                    <w:rPr>
                      <w:w w:val="125"/>
                    </w:rPr>
                    <w:t>3 §</w:t>
                  </w:r>
                </w:p>
                <w:p>
                  <w:pPr>
                    <w:pStyle w:val="BodyText"/>
                    <w:spacing w:line="142" w:lineRule="exact"/>
                    <w:ind w:left="1289"/>
                  </w:pPr>
                  <w:r>
                    <w:rPr>
                      <w:w w:val="150"/>
                      <w:position w:val="1"/>
                      <w:sz w:val="14"/>
                    </w:rPr>
                    <w:t>o </w:t>
                  </w:r>
                  <w:r>
                    <w:rPr>
                      <w:w w:val="105"/>
                    </w:rPr>
                    <w:t>se sídlem Dobrovského 3, 543 01 Vrchlabí</w:t>
                  </w:r>
                </w:p>
                <w:p>
                  <w:pPr>
                    <w:spacing w:line="83" w:lineRule="exact" w:before="0"/>
                    <w:ind w:left="1289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77"/>
                      <w:sz w:val="14"/>
                    </w:rPr>
                    <w:t>o</w:t>
                  </w:r>
                </w:p>
                <w:p>
                  <w:pPr>
                    <w:pStyle w:val="BodyText"/>
                    <w:spacing w:line="156" w:lineRule="auto" w:before="26"/>
                    <w:ind w:left="1606" w:right="5636" w:hanging="346"/>
                  </w:pPr>
                  <w:r>
                    <w:rPr>
                      <w:position w:val="-7"/>
                    </w:rPr>
                    <w:t>■O </w:t>
                  </w:r>
                  <w:r>
                    <w:rPr/>
                    <w:t>zastoupená PhDr. Robinem Bóhnischem, ředitelem IČO: 00088455</w:t>
                  </w:r>
                </w:p>
                <w:p>
                  <w:pPr>
                    <w:pStyle w:val="BodyText"/>
                    <w:spacing w:before="11"/>
                    <w:ind w:left="1606"/>
                    <w:jc w:val="both"/>
                  </w:pPr>
                  <w:r>
                    <w:rPr/>
                    <w:t>DIČ: CZ 00088455^</w:t>
                  </w:r>
                </w:p>
                <w:p>
                  <w:pPr>
                    <w:pStyle w:val="BodyText"/>
                    <w:spacing w:before="12"/>
                    <w:ind w:left="1606"/>
                    <w:jc w:val="both"/>
                  </w:pPr>
                  <w:r>
                    <w:rPr/>
                    <w:t>bankovní spojení:</w:t>
                  </w:r>
                </w:p>
                <w:p>
                  <w:pPr>
                    <w:pStyle w:val="BodyText"/>
                    <w:spacing w:before="5"/>
                    <w:ind w:left="1606"/>
                    <w:jc w:val="both"/>
                  </w:pPr>
                  <w:r>
                    <w:rPr/>
                    <w:t>(dále jen „Vlastník" či „Správa KRNAP" nebo „Strana  1“)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1598" w:right="0" w:firstLine="0"/>
                    <w:jc w:val="both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Slavastav s.r.o.</w:t>
                  </w:r>
                </w:p>
                <w:p>
                  <w:pPr>
                    <w:pStyle w:val="BodyText"/>
                    <w:spacing w:line="208" w:lineRule="exact" w:before="24"/>
                    <w:ind w:left="1606" w:right="5022" w:hanging="8"/>
                  </w:pPr>
                  <w:r>
                    <w:rPr/>
                    <w:t>se sídlem V korytech 3278/75, Strašnice, 100 00 Praha 10 IČO: 09784501</w:t>
                  </w:r>
                </w:p>
                <w:p>
                  <w:pPr>
                    <w:pStyle w:val="BodyText"/>
                    <w:spacing w:line="215" w:lineRule="exact"/>
                    <w:ind w:left="1606"/>
                    <w:jc w:val="both"/>
                  </w:pPr>
                  <w:r>
                    <w:rPr/>
                    <w:t>DIČ: CZ09784501</w:t>
                  </w:r>
                </w:p>
                <w:p>
                  <w:pPr>
                    <w:pStyle w:val="BodyText"/>
                    <w:spacing w:line="244" w:lineRule="auto" w:before="19"/>
                    <w:ind w:left="1598" w:right="2004" w:hanging="14"/>
                  </w:pPr>
                  <w:r>
                    <w:rPr/>
                    <w:t>zapsána v obchodním rejstříku vedeném u Městského soudu v Praze pod spis. zn. C 342538 osoba oprávněná jednat za právnickou osobu:  Jan Slavětínský, jednatel</w:t>
                  </w:r>
                </w:p>
                <w:p>
                  <w:pPr>
                    <w:pStyle w:val="BodyText"/>
                    <w:spacing w:line="212" w:lineRule="exact"/>
                    <w:ind w:left="1598"/>
                    <w:jc w:val="both"/>
                  </w:pPr>
                  <w:r>
                    <w:rPr/>
                    <w:t>(dále jen „Stavebník" či „investor" nebo Strana  2“)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line="237" w:lineRule="auto" w:before="123"/>
                    <w:ind w:left="1591" w:right="1501" w:firstLine="0"/>
                    <w:jc w:val="both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uzavřely níže uvedeného dne, měsíce a roku pro účely  řízení  vedeného  stavebním  úřadem podle  §  110  odst.  2  písm.  a)  zákona  č.  183/2006  Sb.,  stavebního  zákona,  v platném  znění   a v souladu   s   §   1746   zákona   č.   89/2012   Sb.,    občanského    zákoníku    tuto smlouvu, která stavebníka opravňuje provést </w:t>
                  </w:r>
                  <w:r>
                    <w:rPr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stavbu:</w:t>
                  </w:r>
                </w:p>
                <w:p>
                  <w:pPr>
                    <w:spacing w:before="4"/>
                    <w:ind w:left="1584" w:right="0" w:firstLine="0"/>
                    <w:jc w:val="both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„Rodinný dům s ubytováním ve Velké Úpě na pozemku  p.č.657“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70"/>
                    <w:ind w:left="1694" w:right="163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Článek I.</w:t>
                  </w:r>
                </w:p>
                <w:p>
                  <w:pPr>
                    <w:pStyle w:val="BodyText"/>
                    <w:spacing w:line="273" w:lineRule="auto" w:before="171"/>
                    <w:ind w:left="1980" w:right="1524" w:hanging="324"/>
                    <w:jc w:val="both"/>
                  </w:pPr>
                  <w:r>
                    <w:rPr/>
                    <w:t>1.  Česká  republika  je  vlastníkem  a  Správa  Krkonošského  národního  parku  (dále  jen   KRNAP)   je na základě  zákona  č.  219/2000   Sb.,   o   majetku   České   republiky,   příslušná   hospodařit mj. s následující nemovitou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věcí</w:t>
                  </w:r>
                </w:p>
                <w:p>
                  <w:pPr>
                    <w:tabs>
                      <w:tab w:pos="3721" w:val="left" w:leader="none"/>
                      <w:tab w:pos="5176" w:val="left" w:leader="none"/>
                      <w:tab w:pos="8063" w:val="left" w:leader="none"/>
                      <w:tab w:pos="9669" w:val="left" w:leader="none"/>
                    </w:tabs>
                    <w:spacing w:before="76"/>
                    <w:ind w:left="2074" w:right="0" w:firstLine="0"/>
                    <w:jc w:val="both"/>
                    <w:rPr>
                      <w:b/>
                      <w:sz w:val="14"/>
                    </w:rPr>
                  </w:pPr>
                  <w:r>
                    <w:rPr>
                      <w:b/>
                      <w:w w:val="120"/>
                      <w:position w:val="1"/>
                      <w:sz w:val="14"/>
                    </w:rPr>
                    <w:t>obec</w:t>
                    <w:tab/>
                    <w:t>kat.</w:t>
                  </w:r>
                  <w:r>
                    <w:rPr>
                      <w:b/>
                      <w:spacing w:val="17"/>
                      <w:w w:val="120"/>
                      <w:position w:val="1"/>
                      <w:sz w:val="14"/>
                    </w:rPr>
                    <w:t> </w:t>
                  </w:r>
                  <w:r>
                    <w:rPr>
                      <w:b/>
                      <w:w w:val="120"/>
                      <w:position w:val="1"/>
                      <w:sz w:val="14"/>
                    </w:rPr>
                    <w:t>území</w:t>
                    <w:tab/>
                  </w:r>
                  <w:r>
                    <w:rPr>
                      <w:b/>
                      <w:w w:val="120"/>
                      <w:sz w:val="14"/>
                    </w:rPr>
                    <w:t>druh evidence      </w:t>
                  </w:r>
                  <w:r>
                    <w:rPr>
                      <w:b/>
                      <w:spacing w:val="35"/>
                      <w:w w:val="120"/>
                      <w:sz w:val="14"/>
                    </w:rPr>
                    <w:t> </w:t>
                  </w:r>
                  <w:r>
                    <w:rPr>
                      <w:b/>
                      <w:w w:val="120"/>
                      <w:sz w:val="14"/>
                    </w:rPr>
                    <w:t>parcela</w:t>
                  </w:r>
                  <w:r>
                    <w:rPr>
                      <w:b/>
                      <w:spacing w:val="18"/>
                      <w:w w:val="120"/>
                      <w:sz w:val="14"/>
                    </w:rPr>
                    <w:t> </w:t>
                  </w:r>
                  <w:r>
                    <w:rPr>
                      <w:b/>
                      <w:w w:val="120"/>
                      <w:sz w:val="14"/>
                    </w:rPr>
                    <w:t>č.</w:t>
                    <w:tab/>
                    <w:t>druh</w:t>
                  </w:r>
                  <w:r>
                    <w:rPr>
                      <w:b/>
                      <w:spacing w:val="15"/>
                      <w:w w:val="120"/>
                      <w:sz w:val="14"/>
                    </w:rPr>
                    <w:t> </w:t>
                  </w:r>
                  <w:r>
                    <w:rPr>
                      <w:b/>
                      <w:w w:val="120"/>
                      <w:sz w:val="14"/>
                    </w:rPr>
                    <w:t>pozemku</w:t>
                    <w:tab/>
                    <w:t>LV</w:t>
                  </w:r>
                  <w:r>
                    <w:rPr>
                      <w:b/>
                      <w:spacing w:val="-12"/>
                      <w:w w:val="120"/>
                      <w:sz w:val="14"/>
                    </w:rPr>
                    <w:t> </w:t>
                  </w:r>
                  <w:r>
                    <w:rPr>
                      <w:b/>
                      <w:w w:val="120"/>
                      <w:sz w:val="14"/>
                    </w:rPr>
                    <w:t>č.</w:t>
                  </w:r>
                </w:p>
                <w:p>
                  <w:pPr>
                    <w:pStyle w:val="BodyText"/>
                    <w:tabs>
                      <w:tab w:pos="3714" w:val="left" w:leader="none"/>
                      <w:tab w:pos="5644" w:val="left" w:leader="none"/>
                      <w:tab w:pos="6875" w:val="left" w:leader="none"/>
                      <w:tab w:pos="8164" w:val="left" w:leader="none"/>
                      <w:tab w:pos="10000" w:val="right" w:leader="none"/>
                    </w:tabs>
                    <w:spacing w:before="12"/>
                    <w:ind w:left="2074"/>
                  </w:pPr>
                  <w:r>
                    <w:rPr>
                      <w:w w:val="95"/>
                      <w:position w:val="1"/>
                    </w:rPr>
                    <w:t>Pec</w:t>
                  </w:r>
                  <w:r>
                    <w:rPr>
                      <w:spacing w:val="-19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pod</w:t>
                  </w:r>
                  <w:r>
                    <w:rPr>
                      <w:spacing w:val="-10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Sněžkou</w:t>
                    <w:tab/>
                    <w:t>Velká</w:t>
                  </w:r>
                  <w:r>
                    <w:rPr>
                      <w:spacing w:val="-14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Úpa</w:t>
                  </w:r>
                  <w:r>
                    <w:rPr>
                      <w:spacing w:val="-14"/>
                      <w:w w:val="95"/>
                      <w:position w:val="1"/>
                    </w:rPr>
                    <w:t> </w:t>
                  </w:r>
                  <w:r>
                    <w:rPr>
                      <w:w w:val="80"/>
                      <w:position w:val="1"/>
                    </w:rPr>
                    <w:t>1.</w:t>
                    <w:tab/>
                  </w:r>
                  <w:r>
                    <w:rPr>
                      <w:w w:val="95"/>
                      <w:position w:val="1"/>
                    </w:rPr>
                    <w:t>KN</w:t>
                    <w:tab/>
                    <w:t>602/2</w:t>
                    <w:tab/>
                    <w:t>ostatní</w:t>
                  </w:r>
                  <w:r>
                    <w:rPr>
                      <w:spacing w:val="-7"/>
                      <w:w w:val="95"/>
                      <w:position w:val="1"/>
                    </w:rPr>
                    <w:t> </w:t>
                  </w:r>
                  <w:r>
                    <w:rPr>
                      <w:w w:val="95"/>
                      <w:position w:val="1"/>
                    </w:rPr>
                    <w:t>plocha</w:t>
                  </w:r>
                  <w:r>
                    <w:rPr>
                      <w:rFonts w:ascii="Times New Roman" w:hAnsi="Times New Roman"/>
                      <w:w w:val="95"/>
                    </w:rPr>
                    <w:tab/>
                  </w:r>
                  <w:r>
                    <w:rPr>
                      <w:w w:val="95"/>
                    </w:rPr>
                    <w:t>818</w:t>
                  </w:r>
                </w:p>
                <w:p>
                  <w:pPr>
                    <w:pStyle w:val="BodyText"/>
                    <w:spacing w:line="278" w:lineRule="auto" w:before="97"/>
                    <w:ind w:left="2001" w:right="1535" w:hanging="8"/>
                    <w:jc w:val="both"/>
                  </w:pPr>
                  <w:r>
                    <w:rPr/>
                    <w:t>která je zapsána u Katastrálního úřadu pro Královehradecký kraj se sídlem v Hradci Králové, katastrální pracoviště Trutnov na výše uvedeném listu  vlastnictví.</w:t>
                  </w:r>
                </w:p>
                <w:p>
                  <w:pPr>
                    <w:pStyle w:val="BodyText"/>
                    <w:spacing w:line="276" w:lineRule="auto" w:before="114"/>
                    <w:ind w:left="1980" w:right="1523" w:hanging="331"/>
                    <w:jc w:val="both"/>
                  </w:pPr>
                  <w:r>
                    <w:rPr/>
                    <w:t>2. Výše uvedený pozemek má být dotčen v rámci  stavby </w:t>
                  </w:r>
                  <w:r>
                    <w:rPr>
                      <w:b/>
                    </w:rPr>
                    <w:t>„Rodinný  dům  s ubytováním ve Velké  Úpě na pozemku p.č.657“. </w:t>
                  </w:r>
                  <w:r>
                    <w:rPr/>
                    <w:t>Vlastník pozemku souhlasí, aby stavebník zrealizoval na pozemku uvedeném  v čl.l,  odst.  1)  napojení  zpevněných  ploch   na  přilehlou  komunikaci,  tzn.  sjezdy,    a to dle předložené       dokumentace       vyprojektované       Ing.       Štěpánem       Kleprlíkem (ING. TOMÁŠ VERNER;  č.  zak.:  113/2019;   DÚR   +   DSP;   04/2019  </w:t>
                  </w:r>
                  <w:r>
                    <w:rPr>
                      <w:w w:val="155"/>
                    </w:rPr>
                    <w:t>-  </w:t>
                  </w:r>
                  <w:r>
                    <w:rPr/>
                    <w:t>revize   24.3.2020), jejíž výkresové části </w:t>
                  </w:r>
                  <w:r>
                    <w:rPr>
                      <w:w w:val="155"/>
                    </w:rPr>
                    <w:t>- </w:t>
                  </w:r>
                  <w:r>
                    <w:rPr/>
                    <w:t>zpevněné plochy (D.1.1.10 a D.1.1.11) jsou jako příloha č. I  nedílnou součástí této  smlouvy,  a dále aby předmětný pozemek stavebník  užíval v rámci realizace 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staveb</w:t>
                  </w:r>
                </w:p>
                <w:p>
                  <w:pPr>
                    <w:pStyle w:val="BodyText"/>
                    <w:spacing w:line="273" w:lineRule="auto"/>
                    <w:ind w:left="1986" w:right="1523"/>
                    <w:jc w:val="both"/>
                  </w:pPr>
                  <w:r>
                    <w:rPr/>
                    <w:t>„Geotermální  vertikální  vrty   pro  TČ   na   pozemku   p.č.318/3   a   657   v k.ú.   Velká   Úpa   I."  a „Likvidace splaškových a srážkových vod, vrtaná studna pro RD s ubytováním na p.č.657 </w:t>
                  </w:r>
                  <w:r>
                    <w:rPr>
                      <w:w w:val="98"/>
                    </w:rPr>
                    <w:t>v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7"/>
                    </w:rPr>
                    <w:t>k.ú.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w w:val="102"/>
                    </w:rPr>
                    <w:t>Velká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97"/>
                    </w:rPr>
                    <w:t>Úpa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-1"/>
                    </w:rPr>
                    <w:t>.</w:t>
                  </w:r>
                  <w:r>
                    <w:rPr>
                      <w:spacing w:val="-1"/>
                      <w:w w:val="125"/>
                    </w:rPr>
                    <w:t>“</w:t>
                  </w:r>
                  <w:r>
                    <w:rPr>
                      <w:w w:val="55"/>
                    </w:rPr>
                    <w:t>.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104"/>
                    </w:rPr>
                    <w:t>jež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103"/>
                    </w:rPr>
                    <w:t>jsou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w w:val="101"/>
                    </w:rPr>
                    <w:t>so</w:t>
                  </w:r>
                  <w:r>
                    <w:rPr>
                      <w:spacing w:val="-3"/>
                      <w:w w:val="101"/>
                    </w:rPr>
                    <w:t>u</w:t>
                  </w:r>
                  <w:r>
                    <w:rPr>
                      <w:w w:val="101"/>
                    </w:rPr>
                    <w:t>částí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1"/>
                    </w:rPr>
                    <w:t>záměr</w:t>
                  </w:r>
                  <w:r>
                    <w:rPr>
                      <w:spacing w:val="-3"/>
                      <w:w w:val="101"/>
                    </w:rPr>
                    <w:t>u</w:t>
                  </w:r>
                  <w:r>
                    <w:rPr>
                      <w:w w:val="101"/>
                    </w:rPr>
                    <w:t>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w w:val="105"/>
                    </w:rPr>
                    <w:t>jako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01"/>
                    </w:rPr>
                    <w:t>příst</w:t>
                  </w:r>
                  <w:r>
                    <w:rPr>
                      <w:spacing w:val="-3"/>
                      <w:w w:val="101"/>
                    </w:rPr>
                    <w:t>u</w:t>
                  </w:r>
                  <w:r>
                    <w:rPr>
                      <w:w w:val="101"/>
                    </w:rPr>
                    <w:t>p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95"/>
                    </w:rPr>
                    <w:t>na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100"/>
                    </w:rPr>
                    <w:t>st</w:t>
                  </w:r>
                  <w:r>
                    <w:rPr>
                      <w:spacing w:val="-3"/>
                      <w:w w:val="100"/>
                    </w:rPr>
                    <w:t>a</w:t>
                  </w:r>
                  <w:r>
                    <w:rPr>
                      <w:w w:val="100"/>
                    </w:rPr>
                    <w:t>ve</w:t>
                  </w:r>
                  <w:r>
                    <w:rPr>
                      <w:spacing w:val="-3"/>
                      <w:w w:val="100"/>
                    </w:rPr>
                    <w:t>n</w:t>
                  </w:r>
                  <w:r>
                    <w:rPr>
                      <w:w w:val="100"/>
                    </w:rPr>
                    <w:t>išt</w:t>
                  </w:r>
                  <w:r>
                    <w:rPr>
                      <w:spacing w:val="-3"/>
                      <w:w w:val="100"/>
                    </w:rPr>
                    <w:t>ě</w:t>
                  </w:r>
                  <w:r>
                    <w:rPr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line="280" w:lineRule="auto" w:before="104"/>
                    <w:ind w:left="1986" w:right="1529" w:hanging="345"/>
                    <w:jc w:val="both"/>
                  </w:pPr>
                  <w:r>
                    <w:rPr/>
                    <w:t>3. Na pozemku  p.č.602/2  v k.ú.  Velká  Úpa  I. bude vybudována  tzv.  zpevněná  plocha,  označená dle výkresu  č.   D.1.1.10   jako   „nové   zpevněné   pojízdné   plochy </w:t>
                  </w:r>
                  <w:r>
                    <w:rPr>
                      <w:w w:val="155"/>
                    </w:rPr>
                    <w:t>-  </w:t>
                  </w:r>
                  <w:r>
                    <w:rPr/>
                    <w:t>živice",   tvořící   napojení na stávající asfaltovou komunikaci „LC  Velkoúpská".</w:t>
                  </w:r>
                </w:p>
                <w:p>
                  <w:pPr>
                    <w:pStyle w:val="BodyText"/>
                    <w:spacing w:line="276" w:lineRule="auto" w:before="112"/>
                    <w:ind w:left="1986" w:right="1524"/>
                    <w:jc w:val="both"/>
                  </w:pPr>
                  <w:r>
                    <w:rPr/>
                    <w:t>Stavební  práce     na  tomto  pozemku  budou  spočívat  v úpravě  koruny  cesty,  tj.  její  nivelety    a rozšíření plošného rozsahu zpevněné plochy dle výkresů č. D.1.1.10 a 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D.1.1.11.</w:t>
                  </w:r>
                </w:p>
                <w:p>
                  <w:pPr>
                    <w:pStyle w:val="BodyText"/>
                    <w:spacing w:line="259" w:lineRule="auto" w:before="124"/>
                    <w:ind w:left="1986" w:right="1530" w:hanging="353"/>
                    <w:jc w:val="both"/>
                  </w:pPr>
                  <w:r>
                    <w:rPr/>
                    <w:t>4. Podpisem této smlouvy smluvní strany tímto deklarují, že jejím znám současný faktický stav předmětného pozemku, tento stav je bezvadný a nevykazuje žádné  poškození.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1657" w:right="1630" w:firstLine="0"/>
                    <w:jc w:val="center"/>
                    <w:rPr>
                      <w:i/>
                      <w:sz w:val="14"/>
                    </w:rPr>
                  </w:pPr>
                  <w:r>
                    <w:rPr>
                      <w:i/>
                      <w:w w:val="125"/>
                      <w:sz w:val="14"/>
                    </w:rPr>
                    <w:t>str. </w:t>
                  </w:r>
                  <w:r>
                    <w:rPr>
                      <w:i/>
                      <w:w w:val="130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7480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74;top:3796;width:11235;height:12952" coordorigin="74,3796" coordsize="11235,12952" path="m804,16290l74,16290,74,16748,804,16748,804,16290m6701,3796l3155,3796,3155,4056,6701,4056,6701,3796m11308,14605l10490,14605,10490,16008,11308,16008,11308,14605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13"/>
        </w:rPr>
      </w:pPr>
    </w:p>
    <w:tbl>
      <w:tblPr>
        <w:tblW w:w="0" w:type="auto"/>
        <w:jc w:val="left"/>
        <w:tblInd w:w="1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1344"/>
        <w:gridCol w:w="1602"/>
        <w:gridCol w:w="1257"/>
        <w:gridCol w:w="1682"/>
        <w:gridCol w:w="805"/>
      </w:tblGrid>
      <w:tr>
        <w:trPr>
          <w:trHeight w:val="171" w:hRule="exact"/>
        </w:trPr>
        <w:tc>
          <w:tcPr>
            <w:tcW w:w="1696" w:type="dxa"/>
          </w:tcPr>
          <w:p>
            <w:pPr/>
          </w:p>
        </w:tc>
        <w:tc>
          <w:tcPr>
            <w:tcW w:w="1344" w:type="dxa"/>
          </w:tcPr>
          <w:p>
            <w:pPr/>
          </w:p>
        </w:tc>
        <w:tc>
          <w:tcPr>
            <w:tcW w:w="1602" w:type="dxa"/>
          </w:tcPr>
          <w:p>
            <w:pPr/>
          </w:p>
        </w:tc>
        <w:tc>
          <w:tcPr>
            <w:tcW w:w="1257" w:type="dxa"/>
          </w:tcPr>
          <w:p>
            <w:pPr/>
          </w:p>
        </w:tc>
        <w:tc>
          <w:tcPr>
            <w:tcW w:w="1682" w:type="dxa"/>
          </w:tcPr>
          <w:p>
            <w:pPr/>
          </w:p>
        </w:tc>
        <w:tc>
          <w:tcPr>
            <w:tcW w:w="805" w:type="dxa"/>
          </w:tcPr>
          <w:p>
            <w:pPr/>
          </w:p>
        </w:tc>
      </w:tr>
      <w:tr>
        <w:trPr>
          <w:trHeight w:val="233" w:hRule="exact"/>
        </w:trPr>
        <w:tc>
          <w:tcPr>
            <w:tcW w:w="1696" w:type="dxa"/>
          </w:tcPr>
          <w:p>
            <w:pPr/>
          </w:p>
        </w:tc>
        <w:tc>
          <w:tcPr>
            <w:tcW w:w="1344" w:type="dxa"/>
          </w:tcPr>
          <w:p>
            <w:pPr/>
          </w:p>
        </w:tc>
        <w:tc>
          <w:tcPr>
            <w:tcW w:w="1602" w:type="dxa"/>
          </w:tcPr>
          <w:p>
            <w:pPr/>
          </w:p>
        </w:tc>
        <w:tc>
          <w:tcPr>
            <w:tcW w:w="1257" w:type="dxa"/>
          </w:tcPr>
          <w:p>
            <w:pPr/>
          </w:p>
        </w:tc>
        <w:tc>
          <w:tcPr>
            <w:tcW w:w="1682" w:type="dxa"/>
          </w:tcPr>
          <w:p>
            <w:pPr/>
          </w:p>
        </w:tc>
        <w:tc>
          <w:tcPr>
            <w:tcW w:w="805" w:type="dxa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680" w:right="1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.000015pt;width:600.85pt;height:845.65pt;mso-position-horizontal-relative:page;mso-position-vertical-relative:page;z-index:-7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spacing w:before="0"/>
                    <w:ind w:left="5474" w:right="5536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Článek II.</w:t>
                  </w:r>
                </w:p>
                <w:p>
                  <w:pPr>
                    <w:pStyle w:val="BodyText"/>
                    <w:spacing w:line="273" w:lineRule="auto" w:before="101"/>
                    <w:ind w:left="1570" w:right="1646" w:firstLine="266"/>
                    <w:jc w:val="both"/>
                  </w:pPr>
                  <w:r>
                    <w:rPr/>
                    <w:t>Vlastník pozemku souhlasí a Stavebník  se  zavazuje,  aby  pozemek  specifikovaný  v článku  I.  odst. 1) této smlouvy  Stavebník  užíval  v rámci  stavby,  potažmo  staveb  popsaných  včl.  I.  odst.  2) za těchto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podmínek:</w:t>
                  </w:r>
                </w:p>
                <w:p>
                  <w:pPr>
                    <w:pStyle w:val="BodyText"/>
                    <w:spacing w:line="268" w:lineRule="auto" w:before="132"/>
                    <w:ind w:left="1986" w:right="1653" w:hanging="331"/>
                    <w:jc w:val="both"/>
                  </w:pPr>
                  <w:r>
                    <w:rPr/>
                    <w:t>1.  Pozemek   bude   užíván   pouze   tak,   jak   je   uvedeno   včl.   I.   odst.   2)   této   smlouvy. Vlastník pozemku s tímto plánovaným záměrem  souhlasí.</w:t>
                  </w:r>
                </w:p>
                <w:p>
                  <w:pPr>
                    <w:pStyle w:val="BodyText"/>
                    <w:spacing w:before="115"/>
                    <w:ind w:left="1634"/>
                  </w:pPr>
                  <w:r>
                    <w:rPr/>
                    <w:t>2.    Na předmětném pozemku nebude, po skončení stavby, skladován žádný odpad ani Jiný materiál.</w:t>
                  </w:r>
                </w:p>
                <w:p>
                  <w:pPr>
                    <w:pStyle w:val="BodyText"/>
                    <w:spacing w:line="276" w:lineRule="auto" w:before="148"/>
                    <w:ind w:left="1980" w:right="1650" w:hanging="346"/>
                    <w:jc w:val="both"/>
                  </w:pPr>
                  <w:r>
                    <w:rPr/>
                    <w:t>3. Na pozemku popsaném v článku I. odst. 1) nedojde k umístění jakýchkoliv staveb nebo zařízení, které by byly v rozporu se stavbou popsanou v č. I. odst. 2) a podmínkami stanovenými touto smlouvou. V případě nedodržení této podmínky se Stavebník zavazuje provést neprodleně jejich odstranění a uhradit Vlastníkovi smluvní pokutu 5.000,-  Kč za  každý započatý den, ve  kterém  byla tato smluvní povinnost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porušena.</w:t>
                  </w:r>
                </w:p>
                <w:p>
                  <w:pPr>
                    <w:pStyle w:val="BodyText"/>
                    <w:spacing w:line="273" w:lineRule="auto" w:before="123"/>
                    <w:ind w:left="1973" w:right="1659" w:hanging="353"/>
                    <w:jc w:val="both"/>
                  </w:pPr>
                  <w:r>
                    <w:rPr/>
                    <w:t>4.    Případné  změny  ve  způsobu  provedení  stavby  budou  projednány  v rámci  místního  šetřením  s vlastníkem pozemků, ze kterého bude učiněn písemný zápis, a prováděny až v případě jejich odsouhlasení.</w:t>
                  </w:r>
                </w:p>
                <w:p>
                  <w:pPr>
                    <w:pStyle w:val="BodyText"/>
                    <w:spacing w:line="268" w:lineRule="auto" w:before="126"/>
                    <w:ind w:left="1973" w:right="1654" w:hanging="346"/>
                    <w:jc w:val="both"/>
                  </w:pPr>
                  <w:r>
                    <w:rPr/>
                    <w:t>5. Před zahájením prací, minimálně 10 pracovních dnů předem, je Stavebník povinen informovat Vlastníka (Územní pracoviště Pec pod Sněžkou, tel. 499 896 214) o termínu započetí   prací.</w:t>
                  </w:r>
                </w:p>
                <w:p>
                  <w:pPr>
                    <w:pStyle w:val="BodyText"/>
                    <w:spacing w:line="271" w:lineRule="auto" w:before="131"/>
                    <w:ind w:left="1966" w:right="1646" w:hanging="340"/>
                    <w:jc w:val="both"/>
                  </w:pPr>
                  <w:r>
                    <w:rPr/>
                    <w:t>6. Při provádění staveb uvedených v čl. I, odst. 2) budou dodrženy stavebně-technické podmínky stanovené   vyjádřeními   vydanými   pod   č.j.   KRNAP   00774/2020,    KRNAP    01479/2020. Dále budou dodrženy  podmínky  stanovené  vyjádřením  KRNAP  01223/2020  s  tím,  že  u  podm. č. 4 tohoto vyjádření ve smyslu odstupové vzdálenosti od hranice p.p.č.602/2 v k.ú. Velká  Úpa  I,  se uděluje výjimka pro realizaci zpevněných ploch v souladu  s projektovou  dokumentací  uvedenou v čl. I, odst. 2) této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smlouvy.</w:t>
                  </w:r>
                </w:p>
                <w:p>
                  <w:pPr>
                    <w:pStyle w:val="BodyText"/>
                    <w:spacing w:line="276" w:lineRule="auto" w:before="129"/>
                    <w:ind w:left="1957" w:right="1660" w:hanging="338"/>
                    <w:jc w:val="both"/>
                  </w:pPr>
                  <w:r>
                    <w:rPr/>
                    <w:t>7.    Betonový   obrubník   nájezdový   (snížený)   bude   umístěn   při   hranici   p.p.č.602/2   a   3018/3 v k.ú. Velká Úpa </w:t>
                  </w:r>
                  <w:r>
                    <w:rPr>
                      <w:w w:val="95"/>
                    </w:rPr>
                    <w:t>I </w:t>
                  </w:r>
                  <w:r>
                    <w:rPr/>
                    <w:t>tak, aby se celý nacházel mimo pozemek, se kterým je příslušná hospodařit Správa KRNAP, tedy na pozemku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stavebníka.</w:t>
                  </w:r>
                </w:p>
                <w:p>
                  <w:pPr>
                    <w:spacing w:line="280" w:lineRule="auto" w:before="130"/>
                    <w:ind w:left="1951" w:right="1666" w:hanging="331"/>
                    <w:jc w:val="both"/>
                    <w:rPr>
                      <w:sz w:val="19"/>
                    </w:rPr>
                  </w:pPr>
                  <w:r>
                    <w:rPr>
                      <w:w w:val="105"/>
                      <w:sz w:val="16"/>
                    </w:rPr>
                    <w:t>8.      Realizace   zpevněných    pojízdných    ploch,   jejichž   realizace    představuje   zásah    do   LC   Velkoúpská </w:t>
                  </w:r>
                  <w:r>
                    <w:rPr>
                      <w:w w:val="105"/>
                      <w:sz w:val="19"/>
                    </w:rPr>
                    <w:t>na p.p.č.602/2 v k.ú. Velká  Úpa  I, bude  prováděna  v jarním  či  letním  období;  na  podzim jen po předchozím  odsouhlasení  Územním  pracovištěm</w:t>
                  </w:r>
                  <w:r>
                    <w:rPr>
                      <w:spacing w:val="5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Horní  Maršov  (tel.:  499 874 110)  a</w:t>
                  </w:r>
                  <w:r>
                    <w:rPr>
                      <w:spacing w:val="-11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Pec</w:t>
                  </w:r>
                  <w:r>
                    <w:rPr>
                      <w:spacing w:val="-19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pod</w:t>
                  </w:r>
                  <w:r>
                    <w:rPr>
                      <w:spacing w:val="-6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Sněžkou</w:t>
                  </w:r>
                  <w:r>
                    <w:rPr>
                      <w:spacing w:val="-7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(499</w:t>
                  </w:r>
                  <w:r>
                    <w:rPr>
                      <w:spacing w:val="-1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896</w:t>
                  </w:r>
                  <w:r>
                    <w:rPr>
                      <w:spacing w:val="-2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214). O</w:t>
                  </w:r>
                  <w:r>
                    <w:rPr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omezení</w:t>
                  </w:r>
                  <w:r>
                    <w:rPr>
                      <w:spacing w:val="-13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vyplývajícího</w:t>
                  </w:r>
                  <w:r>
                    <w:rPr>
                      <w:spacing w:val="-1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z</w:t>
                  </w:r>
                  <w:r>
                    <w:rPr>
                      <w:spacing w:val="-2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tohoto</w:t>
                  </w:r>
                  <w:r>
                    <w:rPr>
                      <w:spacing w:val="-1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zásahu</w:t>
                  </w:r>
                  <w:r>
                    <w:rPr>
                      <w:spacing w:val="-9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budou</w:t>
                  </w:r>
                  <w:r>
                    <w:rPr>
                      <w:spacing w:val="-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informována výše</w:t>
                  </w:r>
                  <w:r>
                    <w:rPr>
                      <w:spacing w:val="-2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uvedená</w:t>
                  </w:r>
                  <w:r>
                    <w:rPr>
                      <w:spacing w:val="-1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Územní</w:t>
                  </w:r>
                  <w:r>
                    <w:rPr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pracoviště</w:t>
                  </w:r>
                  <w:r>
                    <w:rPr>
                      <w:spacing w:val="-27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min.</w:t>
                  </w:r>
                  <w:r>
                    <w:rPr>
                      <w:spacing w:val="-2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30</w:t>
                  </w:r>
                  <w:r>
                    <w:rPr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kalendářních</w:t>
                  </w:r>
                  <w:r>
                    <w:rPr>
                      <w:spacing w:val="-23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dnů</w:t>
                  </w:r>
                  <w:r>
                    <w:rPr>
                      <w:spacing w:val="-2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předem.</w:t>
                  </w:r>
                </w:p>
                <w:p>
                  <w:pPr>
                    <w:pStyle w:val="BodyText"/>
                    <w:spacing w:line="271" w:lineRule="auto" w:before="120"/>
                    <w:ind w:left="1958" w:right="1660" w:hanging="338"/>
                    <w:jc w:val="both"/>
                  </w:pPr>
                  <w:r>
                    <w:rPr/>
                    <w:t>9. Smluvní strany se za užívání pozemku pro účely předmětné  stavby,  respektive  prodloužení  termínu stanoveného k dokončení  stavby,  dohodly  na  paušální  úhradě  ve výši  1.000,-  Kč (slovy: tisíc korun českých); tato částka bude povýšena o DPH dle platných cenových předpisů. Sjednanou částku je Stavebník povinen uhradit na základě faktury, která mu bude Vlastníkem pozemku doručena a podle pokynů v ní uvedených. Faktura bude vystavena neprodleně po  podpisu této smlouvy, se splatností 14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dní.</w:t>
                  </w:r>
                </w:p>
                <w:p>
                  <w:pPr>
                    <w:spacing w:line="271" w:lineRule="auto" w:before="128"/>
                    <w:ind w:left="1936" w:right="1652" w:firstLine="43"/>
                    <w:jc w:val="both"/>
                    <w:rPr>
                      <w:i/>
                      <w:sz w:val="19"/>
                    </w:rPr>
                  </w:pPr>
                  <w:r>
                    <w:rPr>
                      <w:sz w:val="19"/>
                    </w:rPr>
                    <w:t>Výše </w:t>
                  </w:r>
                  <w:r>
                    <w:rPr>
                      <w:i/>
                      <w:sz w:val="19"/>
                    </w:rPr>
                    <w:t>uvedená částka byla stanovena ve vazbě na úhradu za užívání pozemku pro účely  </w:t>
                  </w:r>
                  <w:r>
                    <w:rPr>
                      <w:i/>
                      <w:sz w:val="19"/>
                    </w:rPr>
                    <w:t>předmětné    stavby   provedené    na   základě    Smlouvy   o   souhlasu    s   provedením    stavby č. SMLJ-22-231/2020   ve   výši   20.000,-    Kč    </w:t>
                  </w:r>
                  <w:r>
                    <w:rPr>
                      <w:sz w:val="19"/>
                    </w:rPr>
                    <w:t>+    </w:t>
                  </w:r>
                  <w:r>
                    <w:rPr>
                      <w:i/>
                      <w:sz w:val="19"/>
                    </w:rPr>
                    <w:t>DPH,    s původní    osobou    stavebníka,   </w:t>
                  </w:r>
                  <w:r>
                    <w:rPr>
                      <w:i/>
                      <w:sz w:val="19"/>
                    </w:rPr>
                    <w:t>jímž byla Královéhradecká     diecéze     Církve     československé     husitské     (IČO:     62695720) a dále na prohlášení    obchodní     firmy     Slavastav    s.r.o.    jako     nové     osoby     Stavebníka o dosavadním nezahájení stavebních</w:t>
                  </w:r>
                  <w:r>
                    <w:rPr>
                      <w:i/>
                      <w:spacing w:val="29"/>
                      <w:sz w:val="19"/>
                    </w:rPr>
                    <w:t> </w:t>
                  </w:r>
                  <w:r>
                    <w:rPr>
                      <w:i/>
                      <w:sz w:val="19"/>
                    </w:rPr>
                    <w:t>prací.</w:t>
                  </w:r>
                </w:p>
                <w:p>
                  <w:pPr>
                    <w:pStyle w:val="BodyText"/>
                    <w:spacing w:line="273" w:lineRule="auto" w:before="127"/>
                    <w:ind w:left="1944" w:right="1675" w:hanging="389"/>
                    <w:jc w:val="both"/>
                  </w:pPr>
                  <w:r>
                    <w:rPr/>
                    <w:t>10.  Stavebník  se   zavazuje   složit   kauci   ve   výši   50.000,-   Kč   (padesát   tisíc   korun   českých) na účet Správy KRNAP  uvedený  v  záhlaví  smlouvy  s  var.  symbolem:  377571,  a  to  30  dnů  od nabytí účinnosti této smlouvy. Kauce se sjednává jako bezúročná a  Správě  KRNAP  bude sloužit jako jistina pro případ poškození pozemku a komunikace uživatelem v rámci činnosti sjednané touto smlouvou a pro případ neuvedení pozemku do původního stavu.  Nebudou-li  zjištěny žádné škody na pozemku, bude Stavebníkovi  kauce v celém rozsahu vrácena do 14 dní  od   kontrolní   pochůzky   případně   od   uvedení   pozemku   Stavebníkem   do   řádného   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stavu</w:t>
                  </w:r>
                </w:p>
                <w:p>
                  <w:pPr>
                    <w:spacing w:before="63"/>
                    <w:ind w:left="5409" w:right="5536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str. 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600.85pt;height:845.65pt;mso-position-horizontal-relative:page;mso-position-vertical-relative:page;z-index:-7432" coordorigin="0,0" coordsize="12017,16913">
            <v:shape style="position:absolute;left:0;top:0;width:12017;height:16913" type="#_x0000_t75" stroked="false">
              <v:imagedata r:id="rId6" o:title=""/>
            </v:shape>
            <v:rect style="position:absolute;left:112;top:16340;width:806;height:409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2020" w:h="16920"/>
          <w:pgMar w:top="1600" w:bottom="280" w:left="1700" w:right="17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.00002pt;width:604.8pt;height:848.5pt;mso-position-horizontal-relative:page;mso-position-vertical-relative:page;z-index:-7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spacing w:line="273" w:lineRule="auto"/>
                    <w:ind w:left="2001" w:right="1708"/>
                    <w:jc w:val="both"/>
                  </w:pPr>
                  <w:r>
                    <w:rPr/>
                    <w:t>odpovídajícímu stavu původnímu, a to na účet uživatele uvedený v záhlaví  této  smlouvy.  Současně se smluvní strany shodly, že kauce vždy zůstává Správě KRNAP v případě jejího odstoupení od této dohody z důvodu  podstatného  porušení této  dohody- Stavebníkem,  zejména se jedná o případ neuvedení pozemku Stavebníkem do původního stavu v  případě  jeho poškození.</w:t>
                  </w:r>
                </w:p>
                <w:p>
                  <w:pPr>
                    <w:pStyle w:val="BodyText"/>
                    <w:spacing w:line="276" w:lineRule="auto" w:before="132"/>
                    <w:ind w:left="1994" w:right="1723" w:hanging="331"/>
                    <w:jc w:val="both"/>
                  </w:pPr>
                  <w:r>
                    <w:rPr/>
                    <w:t>11. Před vlastním započetím užívání pozemku pro sjednané účely bude stavebníkem provedena fotodokumentace skutečného stavu  předmětných  pozemků, cest a případného poškození.</w:t>
                  </w:r>
                </w:p>
                <w:p>
                  <w:pPr>
                    <w:pStyle w:val="BodyText"/>
                    <w:spacing w:line="273" w:lineRule="auto" w:before="109"/>
                    <w:ind w:left="1986" w:right="1717" w:hanging="331"/>
                    <w:jc w:val="both"/>
                  </w:pPr>
                  <w:r>
                    <w:rPr/>
                    <w:t>12. Veškeré práce v rámci realizace stavby budou prováděny na náklady a nebezpečí Stavebníka. Vlastník  pozemku  nenese   žádnou   odpovědnost   za   jakékoliv   případné   škody   způsobené při realizaci stavby jakýmkoliv osobám.</w:t>
                  </w:r>
                </w:p>
                <w:p>
                  <w:pPr>
                    <w:pStyle w:val="BodyText"/>
                    <w:spacing w:line="276" w:lineRule="auto" w:before="126"/>
                    <w:ind w:left="1986" w:right="1916" w:hanging="338"/>
                  </w:pPr>
                  <w:r>
                    <w:rPr/>
                    <w:t>13. Uživatel odpovídá za veškeré případné škody způsobené svými dodavateli podílejících se na realizaci stavby, včetně jejich poddodavatelů.</w:t>
                  </w:r>
                </w:p>
                <w:p>
                  <w:pPr>
                    <w:pStyle w:val="BodyText"/>
                    <w:spacing w:line="268" w:lineRule="auto" w:before="123"/>
                    <w:ind w:left="1980" w:right="1726" w:hanging="331"/>
                    <w:jc w:val="both"/>
                  </w:pPr>
                  <w:r>
                    <w:rPr/>
                    <w:t>14. Vlastník pozemku se nebude žádným způsobem podílet na realizaci a financování stavby specifikované v čl. I. odst. 2) této smlouvy.</w:t>
                  </w:r>
                </w:p>
                <w:p>
                  <w:pPr>
                    <w:pStyle w:val="BodyText"/>
                    <w:spacing w:line="276" w:lineRule="auto" w:before="116"/>
                    <w:ind w:left="1973" w:right="1724" w:hanging="331"/>
                    <w:jc w:val="both"/>
                  </w:pPr>
                  <w:r>
                    <w:rPr/>
                    <w:t>15. Investor tímto bere na vědomí, že LC Velkoúpská, nacházející se na pozemku uvedeném  v čl.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w w:val="65"/>
                    </w:rPr>
                    <w:t>I</w:t>
                  </w:r>
                  <w:r>
                    <w:rPr>
                      <w:spacing w:val="34"/>
                      <w:w w:val="65"/>
                    </w:rPr>
                    <w:t> </w:t>
                  </w:r>
                  <w:r>
                    <w:rPr/>
                    <w:t>této smlouvy, je užívána pro zajištění potřeb lesního hospodářství; z tohoto důvodu se investor zavazuje šetřit práva vlastníka, a stavební práce na tomto pozemku provést v nezbytně nutném časovém rozsahu, tzn. nejpozději do 7 dnů od zahájení  prací na tomto pozemku  zajistit užívání této cesty v plném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rozsahu.</w:t>
                  </w:r>
                </w:p>
                <w:p>
                  <w:pPr>
                    <w:pStyle w:val="BodyText"/>
                    <w:spacing w:line="273" w:lineRule="auto" w:before="116"/>
                    <w:ind w:left="1966" w:right="1726" w:hanging="325"/>
                    <w:jc w:val="both"/>
                  </w:pPr>
                  <w:r>
                    <w:rPr/>
                    <w:t>16. Po ukončení stavebních prací a dokončení terénních úprav bude pozemek vč. zpevněné plochy převzat po provedení kontrolní pochůzky na místě samém za účasti pracovníků Správy KRNAP oddělení  správy  majetku,   investičního   oddělení  a Územního   pracoviště   Pec   pod   Sněžkou. Z této pochůzky bude učiněn písemný zápis a protokol o předání díla.  Předmětná  zpevněná  plocha podpisem  protokolu o předání díla přechází do vlastnictví Správy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KRNAP.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24"/>
                    <w:ind w:left="5392" w:right="5569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Článek III.</w:t>
                  </w:r>
                </w:p>
                <w:p>
                  <w:pPr>
                    <w:pStyle w:val="BodyText"/>
                    <w:spacing w:line="276" w:lineRule="auto" w:before="180"/>
                    <w:ind w:left="1973" w:right="1737" w:hanging="339"/>
                    <w:jc w:val="both"/>
                  </w:pPr>
                  <w:r>
                    <w:rPr/>
                    <w:t>1. Případné poškození pozemku, způsobené při realizaci výše uvedené akce a zjištěné při místní pochůzce, se Stavebník zavazuje odstranit na vlastní náklady, nejpozději  před  ukončením uvedené akce. V případě nepříznivých povětrnostních podmínek, které neumožní provedení odstranění škod v dohodnutém čase, může Vlastník pozemku  a  Stavebník  samostatnou  smiouvou sjednat nový termín provedení oprav, odpovídající technickým a povětrnostním podmínkám v závislosti na nezbytném dodržení kvality prováděných 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oprav.</w:t>
                  </w:r>
                </w:p>
                <w:p>
                  <w:pPr>
                    <w:pStyle w:val="BodyText"/>
                    <w:spacing w:line="273" w:lineRule="auto" w:before="117"/>
                    <w:ind w:left="1958" w:right="1744" w:hanging="338"/>
                    <w:jc w:val="both"/>
                  </w:pPr>
                  <w:r>
                    <w:rPr/>
                    <w:t>2.  V případě,   že   Stavebník   ani   v dodatečně   sjednané   lhůtě   neodstraní   škody   způsobené   na pozemku, je Vlastník pozemku oprávněn zajistit odstranění těchto škod na účet Stavebníka. Stavebník se tímto zavazuje, řádně a včas uhradit veškeré  náklady vynaložené  na  odstranění škod vyfakturované mu Vlastníkem. Úhradou těchto nákladů není dotčena  možnost  uložení  sankce za porušení zákona o ochraně přírody a krajiny ze strany Stavebníka nebo realizátora předmětné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stavby.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5425" w:right="5559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Článek IV.</w:t>
                  </w:r>
                </w:p>
                <w:p>
                  <w:pPr>
                    <w:pStyle w:val="BodyText"/>
                    <w:spacing w:line="271" w:lineRule="auto" w:before="180"/>
                    <w:ind w:left="1951" w:right="1745" w:hanging="325"/>
                    <w:jc w:val="both"/>
                  </w:pPr>
                  <w:r>
                    <w:rPr/>
                    <w:t>1. Tato smlouva je sjednána na dobu určitou, a to na dobu realizace stavby uvedené v čl. I. odst. 2)  této smlouvy, nejpozději však do 30.09.2026. Smlouva nabývá platnosti dnem podpisu obou smluvních stran. Smluvní strany tímto souhlasí se zveřejněním celého znění této smlouvy včetně jejích dodatků v registru smluv. Dnem zveřejnění v registru smluv nabývá tato smlouva  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účinnosti.</w:t>
                  </w:r>
                </w:p>
                <w:p>
                  <w:pPr>
                    <w:pStyle w:val="BodyText"/>
                    <w:spacing w:line="285" w:lineRule="auto" w:before="113"/>
                    <w:ind w:left="1966" w:right="1756" w:hanging="354"/>
                    <w:jc w:val="both"/>
                  </w:pPr>
                  <w:r>
                    <w:rPr/>
                    <w:t>2. Tuto smlouvu lze doplnit nebo změnit pouze písemnými číslovanými dodatky, podepsanými oprávněnými zástupci obou smluvních  stran.</w:t>
                  </w:r>
                </w:p>
                <w:p>
                  <w:pPr>
                    <w:pStyle w:val="BodyText"/>
                    <w:spacing w:line="268" w:lineRule="auto" w:before="108"/>
                    <w:ind w:left="1958" w:right="1752" w:hanging="346"/>
                    <w:jc w:val="both"/>
                  </w:pPr>
                  <w:r>
                    <w:rPr/>
                    <w:t>3. Tato smlouva nenahrazuje vyjádření a případné podmínky stanovené v jednotlivých rozhodnutích příslušných orgánů státní správy.</w:t>
                  </w:r>
                </w:p>
                <w:p>
                  <w:pPr>
                    <w:pStyle w:val="BodyText"/>
                    <w:spacing w:line="276" w:lineRule="auto" w:before="123"/>
                    <w:ind w:left="1958" w:right="1916" w:hanging="417"/>
                  </w:pPr>
                  <w:r>
                    <w:rPr/>
                    <w:t>4.  Tato smlouva je  vyhotovena  ve  čtyřech  stejnopisech,  z nichž dvě vyhotovení  obdrží  Stavebník  a dvě vyhotovení Vlastník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pozemku.</w:t>
                  </w:r>
                </w:p>
                <w:p>
                  <w:pPr>
                    <w:spacing w:before="33"/>
                    <w:ind w:left="5363" w:right="5569" w:firstLine="0"/>
                    <w:jc w:val="center"/>
                    <w:rPr>
                      <w:i/>
                      <w:sz w:val="14"/>
                    </w:rPr>
                  </w:pPr>
                  <w:r>
                    <w:rPr>
                      <w:i/>
                      <w:w w:val="105"/>
                      <w:sz w:val="14"/>
                    </w:rPr>
                    <w:t>str. 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pt;width:604.8pt;height:848.5pt;mso-position-horizontal-relative:page;mso-position-vertical-relative:page;z-index:-7384" coordorigin="0,0" coordsize="12096,16970">
            <v:shape style="position:absolute;left:0;top:0;width:12096;height:16970" type="#_x0000_t75" stroked="false">
              <v:imagedata r:id="rId7" o:title=""/>
            </v:shape>
            <v:rect style="position:absolute;left:125;top:16429;width:601;height:339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2100" w:h="16970"/>
          <w:pgMar w:top="1600" w:bottom="280" w:left="1700" w:right="17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7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line="276" w:lineRule="auto" w:before="1"/>
                    <w:ind w:left="1894" w:right="1602" w:hanging="404"/>
                    <w:jc w:val="both"/>
                  </w:pPr>
                  <w:r>
                    <w:rPr/>
                    <w:t>5. Smluvní strany  podpisem  této  smlouvy  stvrzují,  že  tato  smlouva  byla  uzavřena  na  základě  jejich pravé, vážné a svobodné vůle, bez nátlaku,  nikoliv  v omylu,  že  si  obsah  této  smlouvy  před jejím podpisem přečetly a považují jej za určitý a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srozumitelný.</w:t>
                  </w:r>
                </w:p>
                <w:p>
                  <w:pPr>
                    <w:pStyle w:val="BodyText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spacing w:line="181" w:lineRule="exact"/>
                    <w:ind w:left="1476"/>
                  </w:pPr>
                  <w:r>
                    <w:rPr/>
                    <w:t>Za Stranu </w:t>
                  </w:r>
                  <w:r>
                    <w:rPr>
                      <w:w w:val="80"/>
                    </w:rPr>
                    <w:t>1</w:t>
                  </w:r>
                </w:p>
                <w:p>
                  <w:pPr>
                    <w:spacing w:line="259" w:lineRule="exact" w:before="0"/>
                    <w:ind w:left="1483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9"/>
                      <w:position w:val="-4"/>
                      <w:sz w:val="19"/>
                    </w:rPr>
                    <w:t>Ve</w:t>
                  </w:r>
                  <w:r>
                    <w:rPr>
                      <w:spacing w:val="1"/>
                      <w:position w:val="-4"/>
                      <w:sz w:val="19"/>
                    </w:rPr>
                    <w:t> </w:t>
                  </w:r>
                  <w:r>
                    <w:rPr>
                      <w:w w:val="102"/>
                      <w:position w:val="-4"/>
                      <w:sz w:val="19"/>
                    </w:rPr>
                    <w:t>Vrchla</w:t>
                  </w:r>
                  <w:r>
                    <w:rPr>
                      <w:spacing w:val="-3"/>
                      <w:w w:val="102"/>
                      <w:position w:val="-4"/>
                      <w:sz w:val="19"/>
                    </w:rPr>
                    <w:t>b</w:t>
                  </w:r>
                  <w:r>
                    <w:rPr>
                      <w:w w:val="102"/>
                      <w:position w:val="-4"/>
                      <w:sz w:val="19"/>
                    </w:rPr>
                    <w:t>í</w:t>
                  </w:r>
                  <w:r>
                    <w:rPr>
                      <w:spacing w:val="3"/>
                      <w:position w:val="-4"/>
                      <w:sz w:val="19"/>
                    </w:rPr>
                    <w:t> </w:t>
                  </w:r>
                  <w:r>
                    <w:rPr>
                      <w:w w:val="95"/>
                      <w:position w:val="-4"/>
                      <w:sz w:val="19"/>
                    </w:rPr>
                    <w:t>dne:</w:t>
                  </w:r>
                  <w:r>
                    <w:rPr>
                      <w:position w:val="-4"/>
                      <w:sz w:val="19"/>
                    </w:rPr>
                    <w:t>  </w:t>
                  </w:r>
                  <w:r>
                    <w:rPr>
                      <w:spacing w:val="-8"/>
                      <w:position w:val="-4"/>
                      <w:sz w:val="19"/>
                    </w:rPr>
                    <w:t> </w:t>
                  </w:r>
                  <w:r>
                    <w:rPr>
                      <w:spacing w:val="-2"/>
                      <w:w w:val="181"/>
                      <w:sz w:val="22"/>
                    </w:rPr>
                    <w:t>i</w:t>
                  </w:r>
                  <w:r>
                    <w:rPr>
                      <w:w w:val="80"/>
                      <w:sz w:val="22"/>
                    </w:rPr>
                    <w:t>va</w:t>
                  </w:r>
                  <w:r>
                    <w:rPr>
                      <w:spacing w:val="-16"/>
                      <w:sz w:val="22"/>
                    </w:rPr>
                    <w:t> </w:t>
                  </w:r>
                  <w:r>
                    <w:rPr>
                      <w:w w:val="87"/>
                      <w:sz w:val="22"/>
                    </w:rPr>
                    <w:t>Krkon</w:t>
                  </w:r>
                  <w:r>
                    <w:rPr>
                      <w:spacing w:val="-2"/>
                      <w:w w:val="87"/>
                      <w:sz w:val="22"/>
                    </w:rPr>
                    <w:t>W</w:t>
                  </w:r>
                  <w:r>
                    <w:rPr>
                      <w:w w:val="87"/>
                      <w:sz w:val="22"/>
                    </w:rPr>
                    <w:t>stéhMfarodní</w:t>
                  </w:r>
                  <w:r>
                    <w:rPr>
                      <w:spacing w:val="-2"/>
                      <w:w w:val="87"/>
                      <w:sz w:val="22"/>
                    </w:rPr>
                    <w:t>h</w:t>
                  </w:r>
                  <w:r>
                    <w:rPr>
                      <w:w w:val="87"/>
                      <w:sz w:val="22"/>
                    </w:rPr>
                    <w:t>o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w w:val="86"/>
                      <w:sz w:val="22"/>
                    </w:rPr>
                    <w:t>parku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142" w:right="1630" w:firstLine="0"/>
                    <w:jc w:val="center"/>
                    <w:rPr>
                      <w:sz w:val="18"/>
                    </w:rPr>
                  </w:pPr>
                  <w:r>
                    <w:rPr>
                      <w:w w:val="120"/>
                      <w:sz w:val="18"/>
                    </w:rPr>
                    <w:t>BI</w:t>
                  </w:r>
                </w:p>
                <w:p>
                  <w:pPr>
                    <w:tabs>
                      <w:tab w:pos="5098" w:val="left" w:leader="none"/>
                    </w:tabs>
                    <w:spacing w:before="35"/>
                    <w:ind w:left="2296" w:right="0" w:firstLine="0"/>
                    <w:jc w:val="left"/>
                    <w:rPr>
                      <w:sz w:val="19"/>
                    </w:rPr>
                  </w:pPr>
                  <w:r>
                    <w:rPr>
                      <w:b/>
                      <w:spacing w:val="-10"/>
                      <w:w w:val="110"/>
                      <w:position w:val="-8"/>
                      <w:sz w:val="16"/>
                    </w:rPr>
                    <w:t>........</w:t>
                    <w:tab/>
                  </w:r>
                  <w:r>
                    <w:rPr>
                      <w:w w:val="110"/>
                      <w:sz w:val="19"/>
                    </w:rPr>
                    <w:t>00088455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ind w:left="2304"/>
                  </w:pPr>
                  <w:r>
                    <w:rPr/>
                    <w:t>PhDr. Robin Bohnisch, ředi</w:t>
                  </w:r>
                </w:p>
                <w:p>
                  <w:pPr>
                    <w:pStyle w:val="BodyText"/>
                    <w:tabs>
                      <w:tab w:pos="2699" w:val="left" w:leader="none"/>
                    </w:tabs>
                    <w:spacing w:before="8"/>
                    <w:ind w:right="1630"/>
                    <w:jc w:val="center"/>
                  </w:pPr>
                  <w:r>
                    <w:rPr>
                      <w:position w:val="14"/>
                    </w:rPr>
                    <w:t>vlastník</w:t>
                    <w:tab/>
                  </w:r>
                  <w:r>
                    <w:rPr>
                      <w:w w:val="95"/>
                    </w:rPr>
                    <w:t>Za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správnost:</w:t>
                  </w:r>
                </w:p>
                <w:p>
                  <w:pPr>
                    <w:pStyle w:val="BodyText"/>
                    <w:spacing w:before="83"/>
                    <w:ind w:left="1469"/>
                  </w:pPr>
                  <w:r>
                    <w:rPr/>
                    <w:t>Za Stranu 2</w:t>
                  </w:r>
                </w:p>
                <w:p>
                  <w:pPr>
                    <w:pStyle w:val="BodyText"/>
                    <w:spacing w:before="12"/>
                    <w:ind w:left="2077" w:right="1630"/>
                    <w:jc w:val="center"/>
                  </w:pPr>
                  <w:r>
                    <w:rPr/>
                    <w:t>č. 04: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line="186" w:lineRule="exact"/>
                    <w:ind w:left="2491" w:right="8699" w:firstLine="417"/>
                  </w:pPr>
                  <w:r>
                    <w:rPr/>
                    <w:t>Sla Jan Sla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spacing w:before="0"/>
                    <w:ind w:left="1431" w:right="1630" w:firstLine="0"/>
                    <w:jc w:val="center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str. 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7336" coordorigin="0,0" coordsize="11902,16834">
            <v:shape style="position:absolute;left:0;top:0;width:11902;height:16834" type="#_x0000_t75" stroked="false">
              <v:imagedata r:id="rId8" o:title=""/>
            </v:shape>
            <v:shape style="position:absolute;left:1469;top:4234;width:3002;height:2542" type="#_x0000_t75" stroked="false">
              <v:imagedata r:id="rId9" o:title=""/>
            </v:shape>
            <v:shape style="position:absolute;left:7092;top:3204;width:2887;height:1656" type="#_x0000_t75" stroked="false">
              <v:imagedata r:id="rId10" o:title=""/>
            </v:shape>
            <v:shape style="position:absolute;left:74;top:2593;width:9359;height:14060" coordorigin="74,2593" coordsize="9359,14060" path="m618,16321l74,16321,74,16653,618,16653,618,16321m5127,2593l2684,2593,2684,3636,5127,3636,5127,2593m5159,4122l3170,4122,3170,6950,5159,6950,5159,4122m9432,3361l7635,3361,7635,5216,9432,5216,9432,3361e" filled="true" fillcolor="#000000" stroked="false">
              <v:path arrowok="t"/>
              <v:fill type="solid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2024-06-04T08:37:09Z</dcterms:created>
  <dcterms:modified xsi:type="dcterms:W3CDTF">2024-06-04T08:37:09Z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2024-06-04T00:00:00Z</vt:filetime>
  </property>
</Properties>
</file>