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96" w:rsidRPr="00FD7782" w:rsidRDefault="00635B96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:rsidR="00635B96" w:rsidRPr="00FD7782" w:rsidRDefault="00635B96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:rsidR="00635B96" w:rsidRDefault="00635B96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635B96">
        <w:trPr>
          <w:cantSplit/>
        </w:trPr>
        <w:tc>
          <w:tcPr>
            <w:tcW w:w="9212" w:type="dxa"/>
            <w:gridSpan w:val="2"/>
          </w:tcPr>
          <w:p w:rsidR="00635B96" w:rsidRPr="00D929BA" w:rsidRDefault="00635B96" w:rsidP="00EE468E">
            <w:pPr>
              <w:pStyle w:val="Nadpis2"/>
              <w:spacing w:before="60" w:after="6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635B96">
        <w:tc>
          <w:tcPr>
            <w:tcW w:w="3130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635B96">
        <w:tc>
          <w:tcPr>
            <w:tcW w:w="3130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Miroslavem Novákem, hejtmanem kraje</w:t>
            </w:r>
          </w:p>
        </w:tc>
      </w:tr>
      <w:tr w:rsidR="00635B96">
        <w:tc>
          <w:tcPr>
            <w:tcW w:w="3130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635B96">
        <w:tc>
          <w:tcPr>
            <w:tcW w:w="3130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635B96">
        <w:tc>
          <w:tcPr>
            <w:tcW w:w="3130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Czech Republic and Slovakia, a.s.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AE30D5">
              <w:rPr>
                <w:rFonts w:ascii="Tahoma" w:hAnsi="Tahoma" w:cs="Tahoma"/>
                <w:sz w:val="20"/>
                <w:szCs w:val="20"/>
              </w:rPr>
              <w:t>č.ú</w:t>
            </w:r>
            <w:proofErr w:type="spellEnd"/>
            <w:r w:rsidRPr="00AE30D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635B96">
        <w:tc>
          <w:tcPr>
            <w:tcW w:w="3130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635B96" w:rsidRDefault="00635B96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635B96">
        <w:trPr>
          <w:cantSplit/>
        </w:trPr>
        <w:tc>
          <w:tcPr>
            <w:tcW w:w="9212" w:type="dxa"/>
            <w:gridSpan w:val="2"/>
          </w:tcPr>
          <w:p w:rsidR="00635B96" w:rsidRDefault="00635B96" w:rsidP="00A957FF">
            <w:pPr>
              <w:spacing w:before="60" w:after="60"/>
              <w:rPr>
                <w:rFonts w:ascii="Tahoma" w:hAnsi="Tahoma" w:cs="Tahoma"/>
                <w:b/>
                <w:bCs/>
                <w:sz w:val="20"/>
              </w:rPr>
            </w:pPr>
            <w:r w:rsidRPr="00694DA1">
              <w:rPr>
                <w:rFonts w:ascii="Tahoma" w:hAnsi="Tahoma" w:cs="Tahoma"/>
                <w:b/>
                <w:bCs/>
                <w:noProof/>
                <w:sz w:val="20"/>
              </w:rPr>
              <w:t>Statutární město Opava</w:t>
            </w:r>
          </w:p>
        </w:tc>
      </w:tr>
      <w:tr w:rsidR="00635B96">
        <w:tc>
          <w:tcPr>
            <w:tcW w:w="3130" w:type="dxa"/>
          </w:tcPr>
          <w:p w:rsidR="00635B96" w:rsidRPr="00C96F74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C96F74"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:rsidR="00635B96" w:rsidRPr="00C96F74" w:rsidRDefault="00635B96" w:rsidP="00776FA7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94DA1">
              <w:rPr>
                <w:rFonts w:ascii="Tahoma" w:hAnsi="Tahoma" w:cs="Tahoma"/>
                <w:noProof/>
                <w:sz w:val="20"/>
              </w:rPr>
              <w:t>Horní náměstí 69,  746 26  Opava</w:t>
            </w:r>
          </w:p>
        </w:tc>
      </w:tr>
      <w:tr w:rsidR="00635B96">
        <w:tc>
          <w:tcPr>
            <w:tcW w:w="3130" w:type="dxa"/>
          </w:tcPr>
          <w:p w:rsidR="00635B96" w:rsidRPr="00C96F74" w:rsidRDefault="00635B96" w:rsidP="00A251E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94DA1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:rsidR="00635B96" w:rsidRPr="00C96F74" w:rsidRDefault="00635B96" w:rsidP="00776FA7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94DA1">
              <w:rPr>
                <w:rFonts w:ascii="Tahoma" w:hAnsi="Tahoma" w:cs="Tahoma"/>
                <w:noProof/>
                <w:sz w:val="20"/>
              </w:rPr>
              <w:t>Ing. Radimem Křupalou, primátorem</w:t>
            </w:r>
          </w:p>
        </w:tc>
      </w:tr>
      <w:tr w:rsidR="00635B96">
        <w:tc>
          <w:tcPr>
            <w:tcW w:w="3130" w:type="dxa"/>
          </w:tcPr>
          <w:p w:rsidR="00635B96" w:rsidRPr="00C96F74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C96F74"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:rsidR="00635B96" w:rsidRPr="00C96F74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94DA1">
              <w:rPr>
                <w:rFonts w:ascii="Tahoma" w:hAnsi="Tahoma" w:cs="Tahoma"/>
                <w:noProof/>
                <w:sz w:val="20"/>
              </w:rPr>
              <w:t>00300535</w:t>
            </w:r>
          </w:p>
        </w:tc>
      </w:tr>
      <w:tr w:rsidR="00635B96">
        <w:tc>
          <w:tcPr>
            <w:tcW w:w="3130" w:type="dxa"/>
          </w:tcPr>
          <w:p w:rsidR="00635B96" w:rsidRPr="00C96F74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C96F74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:rsidR="00635B96" w:rsidRPr="00C96F74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94DA1">
              <w:rPr>
                <w:rFonts w:ascii="Tahoma" w:hAnsi="Tahoma" w:cs="Tahoma"/>
                <w:noProof/>
                <w:sz w:val="20"/>
              </w:rPr>
              <w:t>CZ00300535</w:t>
            </w:r>
          </w:p>
        </w:tc>
      </w:tr>
      <w:tr w:rsidR="00635B96">
        <w:tc>
          <w:tcPr>
            <w:tcW w:w="3130" w:type="dxa"/>
          </w:tcPr>
          <w:p w:rsidR="00635B96" w:rsidRPr="00C96F74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C96F74"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:rsidR="00635B96" w:rsidRPr="00C96F74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94DA1">
              <w:rPr>
                <w:rFonts w:ascii="Tahoma" w:hAnsi="Tahoma" w:cs="Tahoma"/>
                <w:noProof/>
                <w:sz w:val="20"/>
              </w:rPr>
              <w:t>1842619349/0800, vedený u České spořitelny, a.s.</w:t>
            </w:r>
          </w:p>
        </w:tc>
      </w:tr>
      <w:tr w:rsidR="00635B96">
        <w:tc>
          <w:tcPr>
            <w:tcW w:w="3130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:rsidR="00635B96" w:rsidRDefault="00635B96" w:rsidP="00EE468E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:rsidR="00635B96" w:rsidRPr="00730D07" w:rsidRDefault="00635B96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:rsidR="00635B96" w:rsidRDefault="00635B96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:rsidR="00635B96" w:rsidRPr="00730D07" w:rsidRDefault="00635B96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730D07">
        <w:rPr>
          <w:rFonts w:ascii="Tahoma" w:hAnsi="Tahoma" w:cs="Tahoma"/>
          <w:sz w:val="20"/>
        </w:rPr>
        <w:t>Účelová dotace poskytnutá podle této smlouvy je veřejnou finanční podporou ve smyslu zákona č.</w:t>
      </w:r>
      <w:r>
        <w:rPr>
          <w:rFonts w:ascii="Tahoma" w:hAnsi="Tahoma" w:cs="Tahoma"/>
          <w:sz w:val="20"/>
        </w:rPr>
        <w:t> </w:t>
      </w:r>
      <w:r w:rsidRPr="00730D07">
        <w:rPr>
          <w:rFonts w:ascii="Tahoma" w:hAnsi="Tahoma" w:cs="Tahoma"/>
          <w:sz w:val="20"/>
        </w:rPr>
        <w:t>320/2001 Sb., o finanční kontrole ve veřejné správě a o změně některých zákonů (zákon o finanční kontrole), ve znění pozdějších předpisů</w:t>
      </w:r>
      <w:r>
        <w:rPr>
          <w:rFonts w:ascii="Tahoma" w:hAnsi="Tahoma" w:cs="Tahoma"/>
          <w:sz w:val="20"/>
        </w:rPr>
        <w:t xml:space="preserve"> </w:t>
      </w:r>
      <w:r w:rsidRPr="004D1B1E">
        <w:rPr>
          <w:rFonts w:ascii="Tahoma" w:hAnsi="Tahoma" w:cs="Tahoma"/>
          <w:sz w:val="20"/>
        </w:rPr>
        <w:t>(</w:t>
      </w:r>
      <w:r w:rsidRPr="004D1B1E">
        <w:rPr>
          <w:rFonts w:ascii="Tahoma" w:hAnsi="Tahoma" w:cs="Tahoma"/>
          <w:bCs/>
          <w:sz w:val="20"/>
        </w:rPr>
        <w:t>dále jen „zákon o finanční kontrole“)</w:t>
      </w:r>
      <w:r w:rsidRPr="00730D07">
        <w:rPr>
          <w:rFonts w:ascii="Tahoma" w:hAnsi="Tahoma" w:cs="Tahoma"/>
          <w:sz w:val="20"/>
        </w:rPr>
        <w:t>, se všemi právními důsledky s tím spojenými.</w:t>
      </w:r>
    </w:p>
    <w:p w:rsidR="00635B96" w:rsidRPr="00730D07" w:rsidRDefault="00635B96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:rsidR="00635B96" w:rsidRPr="00A97966" w:rsidRDefault="00635B96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97966">
        <w:rPr>
          <w:rFonts w:ascii="Tahoma" w:hAnsi="Tahoma" w:cs="Tahoma"/>
          <w:color w:val="000000"/>
          <w:sz w:val="20"/>
        </w:rPr>
        <w:t>Účelem této smlouvy je finanční podpora zabezpečení plošného pokrytí území Moravskoslezského kraje jednotkami požární ochrany sborů dobrovolných hasičů.</w:t>
      </w:r>
      <w:r>
        <w:rPr>
          <w:rFonts w:ascii="Tahoma" w:hAnsi="Tahoma" w:cs="Tahoma"/>
          <w:color w:val="000000"/>
          <w:sz w:val="20"/>
        </w:rPr>
        <w:t xml:space="preserve"> </w:t>
      </w:r>
    </w:p>
    <w:p w:rsidR="00635B96" w:rsidRDefault="00635B96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:rsidR="00635B96" w:rsidRDefault="00635B96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:rsidR="00635B96" w:rsidRDefault="00635B96" w:rsidP="00F62CEA">
      <w:pPr>
        <w:pStyle w:val="Zkladntext"/>
        <w:overflowPunct/>
        <w:autoSpaceDE/>
        <w:autoSpaceDN/>
        <w:adjustRightInd/>
        <w:spacing w:before="96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lastRenderedPageBreak/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:rsidR="00635B96" w:rsidRPr="003242AA" w:rsidRDefault="00635B96" w:rsidP="008D11C2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</w:t>
      </w:r>
      <w:r w:rsidRPr="00C96F74">
        <w:rPr>
          <w:rFonts w:ascii="Tahoma" w:hAnsi="Tahoma" w:cs="Tahoma"/>
          <w:sz w:val="20"/>
          <w:szCs w:val="20"/>
        </w:rPr>
        <w:t>podle této smlouvy poskytne příjemci neinvestiční dotaci ve výši</w:t>
      </w:r>
      <w:r w:rsidRPr="00C96F74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694DA1">
        <w:rPr>
          <w:rFonts w:ascii="Tahoma" w:hAnsi="Tahoma" w:cs="Tahoma"/>
          <w:b/>
          <w:bCs/>
          <w:noProof/>
          <w:sz w:val="20"/>
          <w:szCs w:val="20"/>
        </w:rPr>
        <w:t>50.000,--</w:t>
      </w:r>
      <w:r w:rsidRPr="00C96F74">
        <w:rPr>
          <w:rFonts w:ascii="Tahoma" w:hAnsi="Tahoma" w:cs="Tahoma"/>
          <w:sz w:val="20"/>
          <w:szCs w:val="20"/>
        </w:rPr>
        <w:t xml:space="preserve"> </w:t>
      </w:r>
      <w:r w:rsidRPr="00C96F74">
        <w:rPr>
          <w:rFonts w:ascii="Tahoma" w:hAnsi="Tahoma" w:cs="Tahoma"/>
          <w:b/>
          <w:sz w:val="20"/>
          <w:szCs w:val="20"/>
        </w:rPr>
        <w:t>Kč</w:t>
      </w:r>
      <w:r w:rsidRPr="00C96F74">
        <w:rPr>
          <w:rFonts w:ascii="Tahoma" w:hAnsi="Tahoma" w:cs="Tahoma"/>
          <w:sz w:val="20"/>
          <w:szCs w:val="20"/>
        </w:rPr>
        <w:t xml:space="preserve"> (slovy: </w:t>
      </w:r>
      <w:r w:rsidRPr="00694DA1">
        <w:rPr>
          <w:rFonts w:ascii="Tahoma" w:hAnsi="Tahoma" w:cs="Tahoma"/>
          <w:noProof/>
          <w:sz w:val="20"/>
          <w:szCs w:val="20"/>
        </w:rPr>
        <w:t>padesáttisíckorunčeských</w:t>
      </w:r>
      <w:r w:rsidRPr="00C96F74">
        <w:rPr>
          <w:rFonts w:ascii="Tahoma" w:hAnsi="Tahoma" w:cs="Tahoma"/>
          <w:sz w:val="20"/>
          <w:szCs w:val="20"/>
        </w:rPr>
        <w:t>)</w:t>
      </w:r>
      <w:r w:rsidRPr="008A5471">
        <w:rPr>
          <w:rFonts w:ascii="Tahoma" w:hAnsi="Tahoma" w:cs="Tahoma"/>
          <w:sz w:val="20"/>
          <w:szCs w:val="20"/>
        </w:rPr>
        <w:t xml:space="preserve"> účelově určenou k dofinancování nákladů 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obce kategorie JPO II (dále také „projekt“),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  <w:r w:rsidRPr="003242AA">
        <w:rPr>
          <w:rFonts w:ascii="Tahoma" w:hAnsi="Tahoma" w:cs="Tahoma"/>
          <w:bCs/>
          <w:iCs/>
          <w:color w:val="000000"/>
          <w:sz w:val="20"/>
          <w:szCs w:val="20"/>
        </w:rPr>
        <w:t xml:space="preserve">Podíl obce na zabezpečení akceschopnosti jednotky z jejího rozpočtu činí minimálně </w:t>
      </w:r>
      <w:r w:rsidRPr="003242AA">
        <w:rPr>
          <w:rFonts w:ascii="Tahoma" w:hAnsi="Tahoma" w:cs="Tahoma"/>
          <w:b/>
          <w:bCs/>
          <w:iCs/>
          <w:color w:val="000000"/>
          <w:sz w:val="20"/>
          <w:szCs w:val="20"/>
        </w:rPr>
        <w:t>20 %</w:t>
      </w:r>
      <w:r w:rsidRPr="003242AA">
        <w:rPr>
          <w:rFonts w:ascii="Tahoma" w:hAnsi="Tahoma" w:cs="Tahoma"/>
          <w:bCs/>
          <w:iCs/>
          <w:color w:val="000000"/>
          <w:sz w:val="20"/>
          <w:szCs w:val="20"/>
        </w:rPr>
        <w:t xml:space="preserve"> částky poskytované účelové neinvestiční dotace na zabezpečení akceschopnosti jednotky dle této smlouvy.</w:t>
      </w:r>
    </w:p>
    <w:p w:rsidR="00635B96" w:rsidRPr="003242AA" w:rsidRDefault="00635B96" w:rsidP="008D11C2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A5471">
        <w:rPr>
          <w:rFonts w:ascii="Tahoma" w:hAnsi="Tahoma" w:cs="Tahoma"/>
          <w:sz w:val="20"/>
          <w:szCs w:val="20"/>
        </w:rPr>
        <w:t xml:space="preserve">Pokud nebude zabezpečena akceschopnost jednotky SDH obce za celé období kalendářního roku, krátí se dotace pro obec </w:t>
      </w:r>
      <w:r w:rsidRPr="00927FF7">
        <w:rPr>
          <w:rFonts w:ascii="Tahoma" w:hAnsi="Tahoma" w:cs="Tahoma"/>
          <w:sz w:val="20"/>
          <w:szCs w:val="20"/>
        </w:rPr>
        <w:t>o 1/12 částky poskytnuté dle této smlouvy za každý měsíc, kdy akceschopnost jednotky SDH obce nebyla plně zajištěna.</w:t>
      </w:r>
    </w:p>
    <w:p w:rsidR="00635B96" w:rsidRPr="003242AA" w:rsidRDefault="00635B96" w:rsidP="008D11C2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:rsidR="00635B96" w:rsidRDefault="00635B96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:rsidR="00635B96" w:rsidRDefault="00635B96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jednorázovou úhradou ve lhůtě do 21 dnů od nabytí účinnosti této smlouvy, a to pod variabilním symbolem</w:t>
      </w:r>
      <w:r>
        <w:rPr>
          <w:rFonts w:ascii="Tahoma" w:hAnsi="Tahoma" w:cs="Tahoma"/>
          <w:sz w:val="20"/>
        </w:rPr>
        <w:t xml:space="preserve"> </w:t>
      </w:r>
      <w:r w:rsidRPr="00C96F74">
        <w:rPr>
          <w:rFonts w:ascii="Tahoma" w:hAnsi="Tahoma" w:cs="Tahoma"/>
          <w:b/>
          <w:sz w:val="20"/>
        </w:rPr>
        <w:t>16211</w:t>
      </w:r>
      <w:r w:rsidRPr="00694DA1">
        <w:rPr>
          <w:rFonts w:ascii="Tahoma" w:hAnsi="Tahoma" w:cs="Tahoma"/>
          <w:b/>
          <w:noProof/>
          <w:sz w:val="20"/>
        </w:rPr>
        <w:t>10556</w:t>
      </w:r>
      <w:r w:rsidRPr="00C96F74">
        <w:rPr>
          <w:rFonts w:ascii="Tahoma" w:hAnsi="Tahoma" w:cs="Tahoma"/>
          <w:sz w:val="20"/>
        </w:rPr>
        <w:t>.</w:t>
      </w:r>
    </w:p>
    <w:p w:rsidR="00635B96" w:rsidRDefault="00635B96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:rsidR="00635B96" w:rsidRDefault="00635B96" w:rsidP="008D11C2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platnými právními předpisy</w:t>
      </w:r>
      <w:r>
        <w:rPr>
          <w:rFonts w:ascii="Tahoma" w:hAnsi="Tahoma" w:cs="Tahoma"/>
          <w:sz w:val="20"/>
        </w:rPr>
        <w:t>,</w:t>
      </w:r>
    </w:p>
    <w:p w:rsidR="00635B96" w:rsidRPr="002F6C80" w:rsidRDefault="00635B96" w:rsidP="008D11C2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:rsidR="00635B96" w:rsidRDefault="00635B96" w:rsidP="008D11C2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Kč 10,--,</w:t>
      </w:r>
      <w:r w:rsidRPr="00F318B1">
        <w:rPr>
          <w:rFonts w:ascii="Tahoma" w:hAnsi="Tahoma" w:cs="Tahoma"/>
          <w:sz w:val="20"/>
        </w:rPr>
        <w:t xml:space="preserve"> zpět na</w:t>
      </w:r>
      <w:r>
        <w:rPr>
          <w:rFonts w:ascii="Tahoma" w:hAnsi="Tahoma" w:cs="Tahoma"/>
          <w:sz w:val="20"/>
        </w:rPr>
        <w:t> </w:t>
      </w:r>
      <w:r w:rsidRPr="00F318B1">
        <w:rPr>
          <w:rFonts w:ascii="Tahoma" w:hAnsi="Tahoma" w:cs="Tahoma"/>
          <w:sz w:val="20"/>
        </w:rPr>
        <w:t>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635B96" w:rsidRDefault="00635B96" w:rsidP="008D11C2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635B96" w:rsidRDefault="00635B96" w:rsidP="008D11C2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:rsidR="00635B96" w:rsidRPr="00F62CEA" w:rsidRDefault="00635B96" w:rsidP="008D11C2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:rsidR="00635B96" w:rsidRDefault="00635B96" w:rsidP="008D11C2">
      <w:pPr>
        <w:numPr>
          <w:ilvl w:val="0"/>
          <w:numId w:val="21"/>
        </w:numPr>
        <w:tabs>
          <w:tab w:val="clear" w:pos="1095"/>
        </w:tabs>
        <w:spacing w:before="60"/>
        <w:ind w:left="709" w:hanging="352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:rsidR="00635B96" w:rsidRDefault="00635B96" w:rsidP="008D11C2">
      <w:pPr>
        <w:numPr>
          <w:ilvl w:val="0"/>
          <w:numId w:val="21"/>
        </w:numPr>
        <w:tabs>
          <w:tab w:val="clear" w:pos="1095"/>
        </w:tabs>
        <w:spacing w:before="60"/>
        <w:ind w:left="709" w:hanging="352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>
        <w:rPr>
          <w:rFonts w:ascii="Tahoma" w:hAnsi="Tahoma" w:cs="Tahoma"/>
          <w:sz w:val="20"/>
        </w:rPr>
        <w:t>,</w:t>
      </w:r>
    </w:p>
    <w:p w:rsidR="00635B96" w:rsidRDefault="00635B96" w:rsidP="008D11C2">
      <w:pPr>
        <w:numPr>
          <w:ilvl w:val="0"/>
          <w:numId w:val="21"/>
        </w:numPr>
        <w:tabs>
          <w:tab w:val="clear" w:pos="1095"/>
        </w:tabs>
        <w:spacing w:before="60"/>
        <w:ind w:left="709" w:hanging="352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b/>
          <w:sz w:val="20"/>
        </w:rPr>
        <w:t>nejpozději</w:t>
      </w:r>
      <w:r w:rsidRPr="00602E0C">
        <w:rPr>
          <w:rFonts w:ascii="Tahoma" w:hAnsi="Tahoma" w:cs="Tahoma"/>
          <w:sz w:val="20"/>
        </w:rPr>
        <w:t xml:space="preserve"> do </w:t>
      </w:r>
      <w:r w:rsidRPr="001836A3">
        <w:rPr>
          <w:rFonts w:ascii="Tahoma" w:hAnsi="Tahoma" w:cs="Tahoma"/>
          <w:b/>
          <w:sz w:val="20"/>
        </w:rPr>
        <w:t>31. 12. 201</w:t>
      </w:r>
      <w:r>
        <w:rPr>
          <w:rFonts w:ascii="Tahoma" w:hAnsi="Tahoma" w:cs="Tahoma"/>
          <w:b/>
          <w:sz w:val="20"/>
        </w:rPr>
        <w:t>6</w:t>
      </w:r>
      <w:r w:rsidRPr="00602E0C">
        <w:rPr>
          <w:rFonts w:ascii="Tahoma" w:hAnsi="Tahoma" w:cs="Tahoma"/>
          <w:sz w:val="20"/>
        </w:rPr>
        <w:t>; nebude-li jednotka SDH akceschopná po celé toto období, poskytnutá dotace se krátí postupem uvedeným v čl</w:t>
      </w:r>
      <w:r w:rsidRPr="004A5E06">
        <w:rPr>
          <w:rFonts w:ascii="Tahoma" w:hAnsi="Tahoma" w:cs="Tahoma"/>
          <w:sz w:val="20"/>
        </w:rPr>
        <w:t>. IV odst. 2</w:t>
      </w:r>
      <w:r w:rsidRPr="00602E0C">
        <w:rPr>
          <w:rFonts w:ascii="Tahoma" w:hAnsi="Tahoma" w:cs="Tahoma"/>
          <w:sz w:val="20"/>
        </w:rPr>
        <w:t xml:space="preserve"> této smlouvy</w:t>
      </w:r>
      <w:r>
        <w:rPr>
          <w:rFonts w:ascii="Tahoma" w:hAnsi="Tahoma" w:cs="Tahoma"/>
          <w:sz w:val="20"/>
        </w:rPr>
        <w:t>,</w:t>
      </w:r>
    </w:p>
    <w:p w:rsidR="00635B96" w:rsidRDefault="00635B96" w:rsidP="008D11C2">
      <w:pPr>
        <w:numPr>
          <w:ilvl w:val="0"/>
          <w:numId w:val="21"/>
        </w:numPr>
        <w:tabs>
          <w:tab w:val="clear" w:pos="1095"/>
        </w:tabs>
        <w:spacing w:before="60"/>
        <w:ind w:left="709" w:hanging="35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oddělenou účetní evidenci celého realizovaného projektu, a to v členění na náklady financované z prostředků dotace označené účelovým znakem 211 a náklady financované z jiných zdrojů. Tato evidence musí být podložena účetními doklady ve smyslu zákona č. 563/1991 Sb., o účetnictví, ve znění pozdějších předpisů. Čestné prohlášení příjemce </w:t>
      </w:r>
      <w:r>
        <w:rPr>
          <w:rFonts w:ascii="Tahoma" w:hAnsi="Tahoma" w:cs="Tahoma"/>
          <w:sz w:val="20"/>
        </w:rPr>
        <w:lastRenderedPageBreak/>
        <w:t>o vynaložení finančních prostředků v rámci uznatelných nákladů realizovaného projektu není považováno za účetní doklad,</w:t>
      </w:r>
    </w:p>
    <w:p w:rsidR="00635B96" w:rsidRPr="00B42FB1" w:rsidRDefault="00635B96" w:rsidP="008D11C2">
      <w:pPr>
        <w:numPr>
          <w:ilvl w:val="0"/>
          <w:numId w:val="21"/>
        </w:numPr>
        <w:tabs>
          <w:tab w:val="clear" w:pos="1095"/>
        </w:tabs>
        <w:spacing w:before="60"/>
        <w:ind w:left="709" w:hanging="352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>
        <w:rPr>
          <w:rFonts w:ascii="Tahoma" w:hAnsi="Tahoma" w:cs="Tahoma"/>
          <w:sz w:val="20"/>
        </w:rPr>
        <w:t>projektu</w:t>
      </w:r>
      <w:r w:rsidRPr="00B42FB1">
        <w:rPr>
          <w:rFonts w:ascii="Tahoma" w:hAnsi="Tahoma" w:cs="Tahoma"/>
          <w:sz w:val="20"/>
        </w:rPr>
        <w:t xml:space="preserve"> číslem smlouvy, </w:t>
      </w:r>
      <w:r>
        <w:rPr>
          <w:rFonts w:ascii="Tahoma" w:hAnsi="Tahoma" w:cs="Tahoma"/>
          <w:sz w:val="20"/>
        </w:rPr>
        <w:t>nebo jiným označením, které projekt jasně identifikuje,</w:t>
      </w:r>
      <w:r w:rsidRPr="00B42FB1">
        <w:rPr>
          <w:rFonts w:ascii="Tahoma" w:hAnsi="Tahoma" w:cs="Tahoma"/>
          <w:sz w:val="20"/>
        </w:rPr>
        <w:t xml:space="preserve"> 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pak navíc uvést formulaci „Financováno z rozpočtu MSK“ a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výši použité dotace v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Kč</w:t>
      </w:r>
      <w:r>
        <w:rPr>
          <w:rFonts w:ascii="Tahoma" w:hAnsi="Tahoma" w:cs="Tahoma"/>
          <w:sz w:val="20"/>
        </w:rPr>
        <w:t xml:space="preserve"> a účelový znak 211</w:t>
      </w:r>
      <w:r w:rsidRPr="00B42FB1">
        <w:rPr>
          <w:rFonts w:ascii="Tahoma" w:hAnsi="Tahoma" w:cs="Tahoma"/>
          <w:sz w:val="20"/>
        </w:rPr>
        <w:t>,</w:t>
      </w:r>
    </w:p>
    <w:p w:rsidR="00635B96" w:rsidRDefault="00635B96" w:rsidP="008D11C2">
      <w:pPr>
        <w:numPr>
          <w:ilvl w:val="0"/>
          <w:numId w:val="21"/>
        </w:numPr>
        <w:tabs>
          <w:tab w:val="clear" w:pos="1095"/>
        </w:tabs>
        <w:spacing w:before="60"/>
        <w:ind w:left="709" w:hanging="35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 projektu,</w:t>
      </w:r>
    </w:p>
    <w:p w:rsidR="00635B96" w:rsidRDefault="00635B96" w:rsidP="008D11C2">
      <w:pPr>
        <w:numPr>
          <w:ilvl w:val="0"/>
          <w:numId w:val="21"/>
        </w:numPr>
        <w:tabs>
          <w:tab w:val="clear" w:pos="1095"/>
        </w:tabs>
        <w:spacing w:before="60"/>
        <w:ind w:left="709" w:hanging="352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Pr="000E1BFD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 20</w:t>
      </w:r>
      <w:r w:rsidRPr="00177EB1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177EB1">
        <w:rPr>
          <w:rFonts w:ascii="Tahoma" w:hAnsi="Tahoma" w:cs="Tahoma"/>
          <w:b/>
          <w:bCs/>
          <w:sz w:val="20"/>
          <w:szCs w:val="20"/>
        </w:rPr>
        <w:t>1.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177EB1">
        <w:rPr>
          <w:rFonts w:ascii="Tahoma" w:hAnsi="Tahoma" w:cs="Tahoma"/>
          <w:b/>
          <w:bCs/>
          <w:sz w:val="20"/>
          <w:szCs w:val="20"/>
        </w:rPr>
        <w:t>2017</w:t>
      </w:r>
      <w:r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:rsidR="00635B96" w:rsidRPr="000249A4" w:rsidRDefault="00635B96" w:rsidP="008D11C2">
      <w:pPr>
        <w:numPr>
          <w:ilvl w:val="0"/>
          <w:numId w:val="21"/>
        </w:numPr>
        <w:tabs>
          <w:tab w:val="clear" w:pos="1095"/>
        </w:tabs>
        <w:spacing w:before="60"/>
        <w:ind w:left="709" w:hanging="35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7C0E64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:rsidR="00635B96" w:rsidRDefault="00635B96" w:rsidP="008D11C2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:rsidR="00635B96" w:rsidRDefault="00635B96" w:rsidP="008D11C2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:rsidR="00635B96" w:rsidRDefault="00635B96" w:rsidP="008D11C2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 w:hanging="357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:rsidR="00635B96" w:rsidRDefault="00635B96" w:rsidP="008D11C2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 ostatních uznatelných nákladů projektu),</w:t>
      </w:r>
    </w:p>
    <w:p w:rsidR="00635B96" w:rsidRDefault="00635B96" w:rsidP="008D11C2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jednat za příjemce o úplnosti, správnosti a pravdivosti závěrečného vyúčtování,</w:t>
      </w:r>
    </w:p>
    <w:p w:rsidR="00635B96" w:rsidRDefault="00635B96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Pr="00005F7E">
        <w:rPr>
          <w:rFonts w:ascii="Tahoma" w:hAnsi="Tahoma" w:cs="Tahoma"/>
          <w:b/>
          <w:sz w:val="20"/>
        </w:rPr>
        <w:t>15211</w:t>
      </w:r>
      <w:r w:rsidRPr="00694DA1">
        <w:rPr>
          <w:rFonts w:ascii="Tahoma" w:hAnsi="Tahoma" w:cs="Tahoma"/>
          <w:b/>
          <w:noProof/>
          <w:sz w:val="20"/>
        </w:rPr>
        <w:t>10556</w:t>
      </w:r>
      <w:r w:rsidRPr="00C96F74">
        <w:rPr>
          <w:rFonts w:ascii="Tahoma" w:hAnsi="Tahoma" w:cs="Tahoma"/>
          <w:sz w:val="20"/>
        </w:rPr>
        <w:t>,</w:t>
      </w:r>
    </w:p>
    <w:p w:rsidR="00635B96" w:rsidRDefault="00635B96" w:rsidP="007C0E64">
      <w:pPr>
        <w:numPr>
          <w:ilvl w:val="0"/>
          <w:numId w:val="21"/>
        </w:numPr>
        <w:tabs>
          <w:tab w:val="clear" w:pos="1095"/>
        </w:tabs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</w:t>
      </w:r>
      <w:r>
        <w:rPr>
          <w:rFonts w:ascii="Tahoma" w:hAnsi="Tahoma" w:cs="Tahoma"/>
          <w:sz w:val="20"/>
        </w:rPr>
        <w:t> </w:t>
      </w:r>
      <w:r w:rsidRPr="000F470B">
        <w:rPr>
          <w:rFonts w:ascii="Tahoma" w:hAnsi="Tahoma" w:cs="Tahoma"/>
          <w:sz w:val="20"/>
        </w:rPr>
        <w:t>k</w:t>
      </w:r>
      <w:r>
        <w:rPr>
          <w:rFonts w:ascii="Tahoma" w:hAnsi="Tahoma" w:cs="Tahoma"/>
          <w:sz w:val="20"/>
        </w:rPr>
        <w:t> dotaci</w:t>
      </w:r>
      <w:r w:rsidRPr="000F470B">
        <w:rPr>
          <w:rFonts w:ascii="Tahoma" w:hAnsi="Tahoma" w:cs="Tahoma"/>
          <w:sz w:val="20"/>
        </w:rPr>
        <w:t>,</w:t>
      </w:r>
    </w:p>
    <w:p w:rsidR="00635B96" w:rsidRDefault="00635B96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:rsidR="00635B96" w:rsidRPr="00AB3440" w:rsidRDefault="00635B96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:rsidR="00635B96" w:rsidRDefault="00635B96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příjemce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635B96" w:rsidRDefault="00635B96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3A0484">
        <w:rPr>
          <w:rFonts w:ascii="Tahoma" w:hAnsi="Tahoma" w:cs="Tahoma"/>
          <w:sz w:val="20"/>
        </w:rPr>
        <w:t xml:space="preserve">nebo zrušení s likvidací, v případě přeměny i </w:t>
      </w:r>
      <w:r w:rsidRPr="008C51C7">
        <w:rPr>
          <w:rFonts w:ascii="Tahoma" w:hAnsi="Tahoma" w:cs="Tahoma"/>
          <w:sz w:val="20"/>
        </w:rPr>
        <w:t>o tom,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.</w:t>
      </w:r>
    </w:p>
    <w:p w:rsidR="00635B96" w:rsidRPr="00D74746" w:rsidRDefault="00635B96" w:rsidP="008D11C2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m)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:rsidR="00635B96" w:rsidRPr="00E17F05" w:rsidRDefault="00635B96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:rsidR="00635B96" w:rsidRPr="00E17F05" w:rsidRDefault="00635B96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635B96" w:rsidRPr="00E17F05" w:rsidRDefault="00635B96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635B96" w:rsidRPr="00E17F05" w:rsidRDefault="00635B96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635B96" w:rsidRDefault="00635B96" w:rsidP="002E7A1A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709" w:hanging="349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>Porušení podmínky stanovené v odst. 3 písm. h) spočívající ve formálních nedostatcích průběžného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:rsidR="00635B96" w:rsidRDefault="00635B96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635B96" w:rsidRDefault="00635B96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635B96" w:rsidRPr="00E17F05" w:rsidRDefault="00635B96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:rsidR="00635B96" w:rsidRPr="00833982" w:rsidRDefault="00635B96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:rsidR="00635B96" w:rsidRDefault="00635B96" w:rsidP="008D11C2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3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:rsidR="00635B96" w:rsidRDefault="00635B96" w:rsidP="007C0E64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2016</w:t>
      </w:r>
      <w:r>
        <w:rPr>
          <w:rFonts w:ascii="Tahoma" w:hAnsi="Tahoma" w:cs="Tahoma"/>
          <w:b/>
          <w:color w:val="000000"/>
          <w:sz w:val="20"/>
          <w:szCs w:val="20"/>
        </w:rPr>
        <w:br/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 201</w:t>
      </w:r>
      <w:r>
        <w:rPr>
          <w:rFonts w:ascii="Tahoma" w:hAnsi="Tahoma" w:cs="Tahoma"/>
          <w:b/>
          <w:color w:val="000000"/>
          <w:sz w:val="20"/>
          <w:szCs w:val="20"/>
        </w:rPr>
        <w:t>6,</w:t>
      </w:r>
    </w:p>
    <w:p w:rsidR="00635B96" w:rsidRDefault="00635B96" w:rsidP="007C0E64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:rsidR="00635B96" w:rsidRDefault="00635B96" w:rsidP="007C0E64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kontrole,</w:t>
      </w:r>
    </w:p>
    <w:p w:rsidR="00635B96" w:rsidRDefault="00635B96" w:rsidP="007C0E64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 w:rsidRPr="00FA03E9">
        <w:rPr>
          <w:rFonts w:ascii="Tahoma" w:hAnsi="Tahoma" w:cs="Tahoma"/>
          <w:sz w:val="20"/>
        </w:rPr>
        <w:t>Z</w:t>
      </w:r>
      <w:r w:rsidRPr="003242AA">
        <w:rPr>
          <w:rFonts w:ascii="Tahoma" w:hAnsi="Tahoma" w:cs="Tahoma"/>
          <w:color w:val="000000"/>
          <w:sz w:val="20"/>
        </w:rPr>
        <w:t>a splnění podmínek uvedených v odst. 1 tohoto článku smlouvy jsou uznatelnými náklady pouze náklady na</w:t>
      </w:r>
      <w:r>
        <w:rPr>
          <w:rFonts w:ascii="Tahoma" w:hAnsi="Tahoma" w:cs="Tahoma"/>
          <w:color w:val="000000"/>
          <w:sz w:val="20"/>
        </w:rPr>
        <w:t>:</w:t>
      </w:r>
    </w:p>
    <w:p w:rsidR="00635B96" w:rsidRPr="00EE468E" w:rsidRDefault="00635B96" w:rsidP="007C0E64">
      <w:pPr>
        <w:pStyle w:val="Odstavecseseznamem"/>
        <w:numPr>
          <w:ilvl w:val="0"/>
          <w:numId w:val="33"/>
        </w:numPr>
        <w:spacing w:before="60"/>
        <w:ind w:left="1134"/>
        <w:jc w:val="both"/>
        <w:rPr>
          <w:rFonts w:ascii="Tahoma" w:hAnsi="Tahoma" w:cs="Tahoma"/>
          <w:sz w:val="20"/>
        </w:rPr>
      </w:pPr>
      <w:r w:rsidRPr="00EE468E"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:rsidR="00635B96" w:rsidRPr="00EE468E" w:rsidRDefault="00635B96" w:rsidP="007C0E64">
      <w:pPr>
        <w:pStyle w:val="Odstavecseseznamem"/>
        <w:numPr>
          <w:ilvl w:val="0"/>
          <w:numId w:val="33"/>
        </w:numPr>
        <w:spacing w:before="60"/>
        <w:ind w:left="1134"/>
        <w:jc w:val="both"/>
        <w:rPr>
          <w:rFonts w:ascii="Tahoma" w:hAnsi="Tahoma" w:cs="Tahoma"/>
          <w:bCs/>
          <w:iCs/>
          <w:sz w:val="20"/>
        </w:rPr>
      </w:pPr>
      <w:r w:rsidRPr="00EE468E">
        <w:rPr>
          <w:rFonts w:ascii="Tahoma" w:hAnsi="Tahoma" w:cs="Tahoma"/>
          <w:sz w:val="20"/>
        </w:rPr>
        <w:t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o členství v jednotce podle zvláštního předpisu za</w:t>
      </w:r>
      <w:r>
        <w:rPr>
          <w:rFonts w:ascii="Tahoma" w:hAnsi="Tahoma" w:cs="Tahoma"/>
          <w:sz w:val="20"/>
        </w:rPr>
        <w:t> </w:t>
      </w:r>
      <w:r w:rsidRPr="00EE468E">
        <w:rPr>
          <w:rFonts w:ascii="Tahoma" w:hAnsi="Tahoma" w:cs="Tahoma"/>
          <w:sz w:val="20"/>
        </w:rPr>
        <w:t>zabezpečení připravenosti k výjezdu jednotky dle plánu výkonu služby zpracovaného velitelem jednotky.</w:t>
      </w:r>
    </w:p>
    <w:p w:rsidR="00635B96" w:rsidRDefault="00635B96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635B96" w:rsidRDefault="00635B96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:rsidR="00635B96" w:rsidRDefault="00635B96" w:rsidP="007C0E6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:rsidR="00635B96" w:rsidRDefault="00635B96" w:rsidP="008D11C2">
      <w:pPr>
        <w:numPr>
          <w:ilvl w:val="0"/>
          <w:numId w:val="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635B96" w:rsidRDefault="00635B96" w:rsidP="008D11C2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:rsidR="00635B96" w:rsidRDefault="00635B96" w:rsidP="008D11C2">
      <w:pPr>
        <w:numPr>
          <w:ilvl w:val="1"/>
          <w:numId w:val="24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</w:t>
      </w:r>
      <w:r>
        <w:rPr>
          <w:rFonts w:ascii="Tahoma" w:hAnsi="Tahoma" w:cs="Tahoma"/>
          <w:sz w:val="20"/>
        </w:rPr>
        <w:br/>
      </w:r>
      <w:r w:rsidRPr="00A863D4">
        <w:rPr>
          <w:rFonts w:ascii="Tahoma" w:hAnsi="Tahoma" w:cs="Tahoma"/>
          <w:sz w:val="20"/>
        </w:rPr>
        <w:t xml:space="preserve">v čl. V odst. 2 této smlouvy, nepřesáhne-li výše neoprávněně použitých nebo zadržených peněžních prostředků 50 % peněžních prostředků poskytnutých ke dni porušení rozpočtové kázně, nebo </w:t>
      </w:r>
    </w:p>
    <w:p w:rsidR="00635B96" w:rsidRDefault="00635B96" w:rsidP="008D11C2">
      <w:pPr>
        <w:numPr>
          <w:ilvl w:val="1"/>
          <w:numId w:val="24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</w:t>
      </w:r>
      <w:r>
        <w:rPr>
          <w:rFonts w:ascii="Tahoma" w:hAnsi="Tahoma" w:cs="Tahoma"/>
          <w:sz w:val="20"/>
        </w:rPr>
        <w:br/>
      </w:r>
      <w:r w:rsidRPr="00A863D4">
        <w:rPr>
          <w:rFonts w:ascii="Tahoma" w:hAnsi="Tahoma" w:cs="Tahoma"/>
          <w:sz w:val="20"/>
        </w:rPr>
        <w:t>v čl. V odst. 3 této smlouvy, jedná-li se o méně závažné porušení podmínky, za něž je</w:t>
      </w:r>
      <w:r>
        <w:rPr>
          <w:rFonts w:ascii="Tahoma" w:hAnsi="Tahoma" w:cs="Tahoma"/>
          <w:sz w:val="20"/>
        </w:rPr>
        <w:br/>
      </w:r>
      <w:r w:rsidRPr="00A863D4">
        <w:rPr>
          <w:rFonts w:ascii="Tahoma" w:hAnsi="Tahoma" w:cs="Tahoma"/>
          <w:sz w:val="20"/>
        </w:rPr>
        <w:t>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:rsidR="00635B96" w:rsidRDefault="00635B96" w:rsidP="008D11C2">
      <w:pPr>
        <w:numPr>
          <w:ilvl w:val="0"/>
          <w:numId w:val="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635B96" w:rsidRDefault="00635B96" w:rsidP="008D11C2">
      <w:pPr>
        <w:numPr>
          <w:ilvl w:val="0"/>
          <w:numId w:val="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:rsidR="00635B96" w:rsidRDefault="00635B96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Tato smlouva nabývá platnosti a účinnosti dnem, kdy vyjádření souhlasu s obsahem návrhu dojde druhé smluvní straně. </w:t>
      </w:r>
    </w:p>
    <w:p w:rsidR="00635B96" w:rsidRDefault="00635B96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</w:t>
      </w:r>
      <w:r>
        <w:rPr>
          <w:rFonts w:ascii="Tahoma" w:hAnsi="Tahoma" w:cs="Tahoma"/>
          <w:sz w:val="20"/>
        </w:rPr>
        <w:br/>
        <w:t>a že se dohodly o celém jejím obsahu, což stvrzují svými podpisy.</w:t>
      </w:r>
    </w:p>
    <w:p w:rsidR="00635B96" w:rsidRDefault="00635B96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811B9">
        <w:rPr>
          <w:rFonts w:ascii="Tahoma" w:hAnsi="Tahoma" w:cs="Tahoma"/>
          <w:sz w:val="20"/>
        </w:rPr>
        <w:t>Příjemce bere na vědomí, že smlouva včetně případných dodatků bude zveřejněna na oficiálních webových stránkách Moravskoslezského kraje.</w:t>
      </w:r>
    </w:p>
    <w:p w:rsidR="006C0B05" w:rsidRDefault="006C0B0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07058">
        <w:rPr>
          <w:rFonts w:ascii="Tahoma" w:hAnsi="Tahoma" w:cs="Tahoma"/>
          <w:sz w:val="20"/>
          <w:szCs w:val="20"/>
        </w:rPr>
        <w:t>Smluvní strany tímto výslovně souhlasí s tím, že tato smlouva může být bez jakéhokoliv omezení zveřejněna na oficiálních internetových stránkách Statutárního města Opavy (www.opava-city.cz). Souhlas se zveřejněním se týká i případných osobních údajů uvedených v této smlouvě, kdy je tento odstavec smluvními stranami brán jako souhlas se zpracováním osobních údajů ve smyslu zákona</w:t>
      </w:r>
      <w:r>
        <w:rPr>
          <w:rFonts w:ascii="Tahoma" w:hAnsi="Tahoma" w:cs="Tahoma"/>
          <w:sz w:val="20"/>
          <w:szCs w:val="20"/>
        </w:rPr>
        <w:t xml:space="preserve"> č. </w:t>
      </w:r>
      <w:r w:rsidRPr="00607058">
        <w:rPr>
          <w:rFonts w:ascii="Tahoma" w:hAnsi="Tahoma" w:cs="Tahoma"/>
          <w:sz w:val="20"/>
          <w:szCs w:val="20"/>
        </w:rPr>
        <w:t>101/2000</w:t>
      </w:r>
      <w:r>
        <w:rPr>
          <w:rFonts w:ascii="Tahoma" w:hAnsi="Tahoma" w:cs="Tahoma"/>
          <w:sz w:val="20"/>
          <w:szCs w:val="20"/>
        </w:rPr>
        <w:t xml:space="preserve"> </w:t>
      </w:r>
      <w:r w:rsidRPr="00607058">
        <w:rPr>
          <w:rFonts w:ascii="Tahoma" w:hAnsi="Tahoma" w:cs="Tahoma"/>
          <w:sz w:val="20"/>
          <w:szCs w:val="20"/>
        </w:rPr>
        <w:t>Sb., o ochraně osobních údajů a o změně některých zákonů, ve znění pozdějších předpisů, a tedy Statutární město Opava má mimo jiné právo uchovávat a zveřejňovat osobní údaje v této smlouvě obsažené.</w:t>
      </w:r>
    </w:p>
    <w:p w:rsidR="00635B96" w:rsidRDefault="00635B96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635B96" w:rsidRDefault="00635B96" w:rsidP="008D11C2">
      <w:pPr>
        <w:spacing w:after="120"/>
        <w:ind w:left="44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</w:t>
      </w:r>
      <w:r w:rsidRPr="00C96F74">
        <w:rPr>
          <w:rFonts w:ascii="Tahoma" w:hAnsi="Tahoma" w:cs="Tahoma"/>
          <w:sz w:val="20"/>
        </w:rPr>
        <w:t>č. 19/1923 ze dne 21. 4. 2016</w:t>
      </w:r>
    </w:p>
    <w:p w:rsidR="00635B96" w:rsidRDefault="00635B96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635B96" w:rsidRDefault="000164FE" w:rsidP="008D11C2">
      <w:pPr>
        <w:spacing w:before="120" w:after="120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</w:t>
      </w:r>
      <w:r w:rsidR="00635B96">
        <w:rPr>
          <w:rFonts w:ascii="Tahoma" w:hAnsi="Tahoma" w:cs="Tahoma"/>
          <w:sz w:val="20"/>
        </w:rPr>
        <w:t xml:space="preserve"> přijetí dotace </w:t>
      </w:r>
      <w:r>
        <w:rPr>
          <w:rFonts w:ascii="Tahoma" w:hAnsi="Tahoma" w:cs="Tahoma"/>
          <w:iCs/>
          <w:sz w:val="20"/>
        </w:rPr>
        <w:t>Rada Statutárního města Opavy</w:t>
      </w:r>
      <w:r w:rsidR="00635B96">
        <w:rPr>
          <w:rFonts w:ascii="Tahoma" w:hAnsi="Tahoma" w:cs="Tahoma"/>
          <w:sz w:val="20"/>
        </w:rPr>
        <w:t xml:space="preserve"> svým usnesením č.</w:t>
      </w:r>
      <w:r w:rsidR="007F6D76">
        <w:rPr>
          <w:rFonts w:ascii="Tahoma" w:hAnsi="Tahoma" w:cs="Tahoma"/>
          <w:sz w:val="20"/>
        </w:rPr>
        <w:t xml:space="preserve"> 1368/40 RM 16 </w:t>
      </w:r>
      <w:r w:rsidR="00635B96">
        <w:rPr>
          <w:rFonts w:ascii="Tahoma" w:hAnsi="Tahoma" w:cs="Tahoma"/>
          <w:sz w:val="20"/>
        </w:rPr>
        <w:t xml:space="preserve">ze dne </w:t>
      </w:r>
      <w:r w:rsidR="007F6D76">
        <w:rPr>
          <w:rFonts w:ascii="Tahoma" w:hAnsi="Tahoma" w:cs="Tahoma"/>
          <w:sz w:val="20"/>
        </w:rPr>
        <w:br/>
        <w:t>08. 06. 2016</w:t>
      </w:r>
      <w:r w:rsidR="00635B96">
        <w:rPr>
          <w:rFonts w:ascii="Tahoma" w:hAnsi="Tahoma" w:cs="Tahoma"/>
          <w:sz w:val="20"/>
        </w:rPr>
        <w:t>.</w:t>
      </w:r>
    </w:p>
    <w:p w:rsidR="00635B96" w:rsidRDefault="00635B96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635B96" w:rsidTr="001836A3">
        <w:trPr>
          <w:jc w:val="center"/>
        </w:trPr>
        <w:tc>
          <w:tcPr>
            <w:tcW w:w="4682" w:type="dxa"/>
          </w:tcPr>
          <w:p w:rsidR="00635B96" w:rsidRDefault="00635B96" w:rsidP="000164F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</w:t>
            </w:r>
            <w:r w:rsidR="000164FE">
              <w:rPr>
                <w:rFonts w:ascii="Tahoma" w:hAnsi="Tahoma" w:cs="Tahoma"/>
                <w:sz w:val="20"/>
              </w:rPr>
              <w:t>:</w:t>
            </w:r>
            <w:r w:rsidR="00E3498C">
              <w:rPr>
                <w:rFonts w:ascii="Tahoma" w:hAnsi="Tahoma" w:cs="Tahoma"/>
                <w:sz w:val="20"/>
              </w:rPr>
              <w:t xml:space="preserve"> 13. 7. 2016</w:t>
            </w:r>
          </w:p>
        </w:tc>
        <w:tc>
          <w:tcPr>
            <w:tcW w:w="4678" w:type="dxa"/>
          </w:tcPr>
          <w:p w:rsidR="00635B96" w:rsidRDefault="00635B96" w:rsidP="000164F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0164FE">
              <w:rPr>
                <w:rFonts w:ascii="Tahoma" w:hAnsi="Tahoma" w:cs="Tahoma"/>
                <w:sz w:val="20"/>
              </w:rPr>
              <w:t>Opavě</w:t>
            </w:r>
            <w:r>
              <w:rPr>
                <w:rFonts w:ascii="Tahoma" w:hAnsi="Tahoma" w:cs="Tahoma"/>
                <w:sz w:val="20"/>
              </w:rPr>
              <w:t xml:space="preserve"> dne</w:t>
            </w:r>
            <w:r w:rsidR="000164FE">
              <w:rPr>
                <w:rFonts w:ascii="Tahoma" w:hAnsi="Tahoma" w:cs="Tahoma"/>
                <w:sz w:val="20"/>
              </w:rPr>
              <w:t>:</w:t>
            </w:r>
            <w:r w:rsidR="00E3498C">
              <w:rPr>
                <w:rFonts w:ascii="Tahoma" w:hAnsi="Tahoma" w:cs="Tahoma"/>
                <w:sz w:val="20"/>
              </w:rPr>
              <w:t xml:space="preserve"> 27. 6. 2016</w:t>
            </w:r>
          </w:p>
        </w:tc>
      </w:tr>
      <w:tr w:rsidR="00635B96" w:rsidTr="001836A3">
        <w:trPr>
          <w:jc w:val="center"/>
        </w:trPr>
        <w:tc>
          <w:tcPr>
            <w:tcW w:w="4682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635B96" w:rsidTr="001836A3">
        <w:trPr>
          <w:jc w:val="center"/>
        </w:trPr>
        <w:tc>
          <w:tcPr>
            <w:tcW w:w="4682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635B96" w:rsidTr="001836A3">
        <w:trPr>
          <w:jc w:val="center"/>
        </w:trPr>
        <w:tc>
          <w:tcPr>
            <w:tcW w:w="4682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0164FE" w:rsidRDefault="000164F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0164FE" w:rsidRDefault="000164F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0164FE" w:rsidRDefault="000164F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0164FE" w:rsidRDefault="000164FE" w:rsidP="000164F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635B96" w:rsidTr="001836A3">
        <w:trPr>
          <w:jc w:val="center"/>
        </w:trPr>
        <w:tc>
          <w:tcPr>
            <w:tcW w:w="4682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635B96" w:rsidTr="001836A3">
        <w:trPr>
          <w:jc w:val="center"/>
        </w:trPr>
        <w:tc>
          <w:tcPr>
            <w:tcW w:w="4682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635B96" w:rsidTr="001836A3">
        <w:trPr>
          <w:jc w:val="center"/>
        </w:trPr>
        <w:tc>
          <w:tcPr>
            <w:tcW w:w="4682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635B96" w:rsidTr="001836A3">
        <w:trPr>
          <w:jc w:val="center"/>
        </w:trPr>
        <w:tc>
          <w:tcPr>
            <w:tcW w:w="4682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635B96" w:rsidTr="001836A3">
        <w:trPr>
          <w:trHeight w:val="647"/>
          <w:jc w:val="center"/>
        </w:trPr>
        <w:tc>
          <w:tcPr>
            <w:tcW w:w="4682" w:type="dxa"/>
          </w:tcPr>
          <w:p w:rsidR="00635B96" w:rsidRDefault="00635B96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Miroslav Novák</w:t>
            </w:r>
            <w:r w:rsidR="00E3498C">
              <w:rPr>
                <w:rFonts w:ascii="Tahoma" w:hAnsi="Tahoma" w:cs="Tahoma"/>
                <w:sz w:val="20"/>
              </w:rPr>
              <w:t xml:space="preserve"> v. r.</w:t>
            </w:r>
          </w:p>
          <w:p w:rsidR="00635B96" w:rsidRDefault="00635B96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:rsidR="00635B96" w:rsidRPr="00C96F74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  <w:r w:rsidRPr="00694DA1">
              <w:rPr>
                <w:rFonts w:ascii="Tahoma" w:hAnsi="Tahoma" w:cs="Tahoma"/>
                <w:noProof/>
                <w:sz w:val="20"/>
              </w:rPr>
              <w:t>Ing. Radim Křupala</w:t>
            </w:r>
            <w:r w:rsidR="00E3498C">
              <w:rPr>
                <w:rFonts w:ascii="Tahoma" w:hAnsi="Tahoma" w:cs="Tahoma"/>
                <w:noProof/>
                <w:sz w:val="20"/>
              </w:rPr>
              <w:t xml:space="preserve"> v. r.</w:t>
            </w:r>
            <w:bookmarkStart w:id="0" w:name="_GoBack"/>
            <w:bookmarkEnd w:id="0"/>
          </w:p>
          <w:p w:rsidR="00635B96" w:rsidRDefault="00635B96" w:rsidP="000F3505">
            <w:pPr>
              <w:jc w:val="center"/>
              <w:rPr>
                <w:rFonts w:ascii="Tahoma" w:hAnsi="Tahoma" w:cs="Tahoma"/>
                <w:sz w:val="20"/>
              </w:rPr>
            </w:pPr>
            <w:r w:rsidRPr="00694DA1">
              <w:rPr>
                <w:rFonts w:ascii="Tahoma" w:hAnsi="Tahoma" w:cs="Tahoma"/>
                <w:noProof/>
                <w:sz w:val="20"/>
              </w:rPr>
              <w:t>primátor</w:t>
            </w:r>
          </w:p>
        </w:tc>
      </w:tr>
    </w:tbl>
    <w:p w:rsidR="00635B96" w:rsidRDefault="00635B96" w:rsidP="00D85624">
      <w:pPr>
        <w:pStyle w:val="Zhlav"/>
        <w:tabs>
          <w:tab w:val="clear" w:pos="4536"/>
          <w:tab w:val="clear" w:pos="9072"/>
        </w:tabs>
      </w:pPr>
    </w:p>
    <w:p w:rsidR="00635B96" w:rsidRDefault="00635B96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635B96" w:rsidSect="00185ABE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635B96" w:rsidRDefault="00635B96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635B96" w:rsidSect="00185ABE">
          <w:footerReference w:type="even" r:id="rId11"/>
          <w:footerReference w:type="default" r:id="rId12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35B96" w:rsidRDefault="00635B96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635B96" w:rsidSect="00635B96">
      <w:footerReference w:type="even" r:id="rId13"/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E9" w:rsidRDefault="00DC73E9">
      <w:r>
        <w:separator/>
      </w:r>
    </w:p>
  </w:endnote>
  <w:endnote w:type="continuationSeparator" w:id="0">
    <w:p w:rsidR="00DC73E9" w:rsidRDefault="00D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96" w:rsidRDefault="00635B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35B96" w:rsidRDefault="00635B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96" w:rsidRPr="008F1628" w:rsidRDefault="00635B96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E3498C">
      <w:rPr>
        <w:rStyle w:val="slostrnky"/>
        <w:rFonts w:ascii="Tahoma" w:hAnsi="Tahoma" w:cs="Tahoma"/>
        <w:noProof/>
      </w:rPr>
      <w:t>5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96" w:rsidRDefault="00635B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35B96" w:rsidRDefault="00635B9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B96" w:rsidRPr="008F1628" w:rsidRDefault="00635B96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1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55" w:rsidRDefault="0041795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2501">
      <w:rPr>
        <w:rStyle w:val="slostrnky"/>
        <w:noProof/>
      </w:rPr>
      <w:t>1</w:t>
    </w:r>
    <w:r>
      <w:rPr>
        <w:rStyle w:val="slostrnky"/>
      </w:rPr>
      <w:fldChar w:fldCharType="end"/>
    </w:r>
  </w:p>
  <w:p w:rsidR="00417955" w:rsidRDefault="00417955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55" w:rsidRPr="008F1628" w:rsidRDefault="00417955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0F2501">
      <w:rPr>
        <w:rStyle w:val="slostrnky"/>
        <w:rFonts w:ascii="Tahoma" w:hAnsi="Tahoma" w:cs="Tahoma"/>
        <w:noProof/>
      </w:rPr>
      <w:t>1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E9" w:rsidRDefault="00DC73E9">
      <w:pPr>
        <w:pStyle w:val="Zkladntext"/>
      </w:pPr>
      <w:r>
        <w:separator/>
      </w:r>
    </w:p>
  </w:footnote>
  <w:footnote w:type="continuationSeparator" w:id="0">
    <w:p w:rsidR="00DC73E9" w:rsidRDefault="00DC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>
    <w:nsid w:val="0E546454"/>
    <w:multiLevelType w:val="hybridMultilevel"/>
    <w:tmpl w:val="8DE05A18"/>
    <w:lvl w:ilvl="0" w:tplc="985ED3D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</w:num>
  <w:num w:numId="7">
    <w:abstractNumId w:val="9"/>
  </w:num>
  <w:num w:numId="8">
    <w:abstractNumId w:val="10"/>
  </w:num>
  <w:num w:numId="9">
    <w:abstractNumId w:val="25"/>
  </w:num>
  <w:num w:numId="10">
    <w:abstractNumId w:val="26"/>
  </w:num>
  <w:num w:numId="11">
    <w:abstractNumId w:val="8"/>
  </w:num>
  <w:num w:numId="12">
    <w:abstractNumId w:val="13"/>
  </w:num>
  <w:num w:numId="13">
    <w:abstractNumId w:val="5"/>
  </w:num>
  <w:num w:numId="14">
    <w:abstractNumId w:val="4"/>
  </w:num>
  <w:num w:numId="15">
    <w:abstractNumId w:val="28"/>
  </w:num>
  <w:num w:numId="16">
    <w:abstractNumId w:val="11"/>
  </w:num>
  <w:num w:numId="17">
    <w:abstractNumId w:val="1"/>
  </w:num>
  <w:num w:numId="18">
    <w:abstractNumId w:val="16"/>
  </w:num>
  <w:num w:numId="19">
    <w:abstractNumId w:val="21"/>
  </w:num>
  <w:num w:numId="20">
    <w:abstractNumId w:val="18"/>
  </w:num>
  <w:num w:numId="21">
    <w:abstractNumId w:val="23"/>
  </w:num>
  <w:num w:numId="22">
    <w:abstractNumId w:val="6"/>
  </w:num>
  <w:num w:numId="23">
    <w:abstractNumId w:val="27"/>
  </w:num>
  <w:num w:numId="24">
    <w:abstractNumId w:val="15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0"/>
  </w:num>
  <w:num w:numId="30">
    <w:abstractNumId w:val="7"/>
  </w:num>
  <w:num w:numId="31">
    <w:abstractNumId w:val="24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65"/>
    <w:rsid w:val="00005F7E"/>
    <w:rsid w:val="000164FE"/>
    <w:rsid w:val="000249A4"/>
    <w:rsid w:val="000527F2"/>
    <w:rsid w:val="00072465"/>
    <w:rsid w:val="000733DC"/>
    <w:rsid w:val="000944FE"/>
    <w:rsid w:val="000A64EE"/>
    <w:rsid w:val="000C5712"/>
    <w:rsid w:val="000D54A8"/>
    <w:rsid w:val="000D594D"/>
    <w:rsid w:val="000E1BFD"/>
    <w:rsid w:val="000F2501"/>
    <w:rsid w:val="000F3505"/>
    <w:rsid w:val="001148AA"/>
    <w:rsid w:val="001169C5"/>
    <w:rsid w:val="00121492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06FC4"/>
    <w:rsid w:val="0021061C"/>
    <w:rsid w:val="00227A74"/>
    <w:rsid w:val="00227DAD"/>
    <w:rsid w:val="002439B8"/>
    <w:rsid w:val="00243D19"/>
    <w:rsid w:val="00257408"/>
    <w:rsid w:val="00257570"/>
    <w:rsid w:val="0026587B"/>
    <w:rsid w:val="00275A3E"/>
    <w:rsid w:val="002771A4"/>
    <w:rsid w:val="002921B4"/>
    <w:rsid w:val="002C40CA"/>
    <w:rsid w:val="002D216B"/>
    <w:rsid w:val="002E235A"/>
    <w:rsid w:val="002E7A1A"/>
    <w:rsid w:val="00303EE2"/>
    <w:rsid w:val="003106D2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E3131"/>
    <w:rsid w:val="003F7FB6"/>
    <w:rsid w:val="004037CD"/>
    <w:rsid w:val="00406A2E"/>
    <w:rsid w:val="004111D6"/>
    <w:rsid w:val="00417955"/>
    <w:rsid w:val="004257A9"/>
    <w:rsid w:val="004324D2"/>
    <w:rsid w:val="00433BD4"/>
    <w:rsid w:val="00460951"/>
    <w:rsid w:val="00476E65"/>
    <w:rsid w:val="004821CA"/>
    <w:rsid w:val="00484D05"/>
    <w:rsid w:val="00494225"/>
    <w:rsid w:val="00497E4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A62EA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27936"/>
    <w:rsid w:val="00635B96"/>
    <w:rsid w:val="00657040"/>
    <w:rsid w:val="006577D5"/>
    <w:rsid w:val="00664F1E"/>
    <w:rsid w:val="00671B52"/>
    <w:rsid w:val="00680A27"/>
    <w:rsid w:val="006B20EF"/>
    <w:rsid w:val="006B3542"/>
    <w:rsid w:val="006B644F"/>
    <w:rsid w:val="006C0B05"/>
    <w:rsid w:val="006E4C40"/>
    <w:rsid w:val="006E5E01"/>
    <w:rsid w:val="00723228"/>
    <w:rsid w:val="0072701A"/>
    <w:rsid w:val="00730B42"/>
    <w:rsid w:val="00730D07"/>
    <w:rsid w:val="00740730"/>
    <w:rsid w:val="0077299B"/>
    <w:rsid w:val="007764FE"/>
    <w:rsid w:val="00776FA7"/>
    <w:rsid w:val="00783A3B"/>
    <w:rsid w:val="007921F2"/>
    <w:rsid w:val="007945A8"/>
    <w:rsid w:val="007B4887"/>
    <w:rsid w:val="007B76E6"/>
    <w:rsid w:val="007C0E64"/>
    <w:rsid w:val="007C58AC"/>
    <w:rsid w:val="007E2DCA"/>
    <w:rsid w:val="007F6D76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A5471"/>
    <w:rsid w:val="008C08DA"/>
    <w:rsid w:val="008C51C7"/>
    <w:rsid w:val="008D11C2"/>
    <w:rsid w:val="008E15BA"/>
    <w:rsid w:val="008F1049"/>
    <w:rsid w:val="008F1628"/>
    <w:rsid w:val="0090274A"/>
    <w:rsid w:val="00905316"/>
    <w:rsid w:val="009231D8"/>
    <w:rsid w:val="00927FF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251E8"/>
    <w:rsid w:val="00A26788"/>
    <w:rsid w:val="00A26DCC"/>
    <w:rsid w:val="00A344DD"/>
    <w:rsid w:val="00A34848"/>
    <w:rsid w:val="00A41E33"/>
    <w:rsid w:val="00A43D58"/>
    <w:rsid w:val="00A47234"/>
    <w:rsid w:val="00A55AC4"/>
    <w:rsid w:val="00A707EB"/>
    <w:rsid w:val="00A72DEA"/>
    <w:rsid w:val="00A72ECF"/>
    <w:rsid w:val="00A957FF"/>
    <w:rsid w:val="00A97966"/>
    <w:rsid w:val="00A979BB"/>
    <w:rsid w:val="00AA5CC6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81089"/>
    <w:rsid w:val="00B849BB"/>
    <w:rsid w:val="00BA676F"/>
    <w:rsid w:val="00BB6844"/>
    <w:rsid w:val="00BC074C"/>
    <w:rsid w:val="00BF24DE"/>
    <w:rsid w:val="00BF3721"/>
    <w:rsid w:val="00C040D0"/>
    <w:rsid w:val="00C07AC0"/>
    <w:rsid w:val="00C07CAF"/>
    <w:rsid w:val="00C30AE9"/>
    <w:rsid w:val="00C34E20"/>
    <w:rsid w:val="00C36E90"/>
    <w:rsid w:val="00C423E4"/>
    <w:rsid w:val="00C4624B"/>
    <w:rsid w:val="00C518B3"/>
    <w:rsid w:val="00C96F74"/>
    <w:rsid w:val="00C97393"/>
    <w:rsid w:val="00CB08B6"/>
    <w:rsid w:val="00CC4238"/>
    <w:rsid w:val="00CD042B"/>
    <w:rsid w:val="00CD18A0"/>
    <w:rsid w:val="00CF7EA7"/>
    <w:rsid w:val="00D000F5"/>
    <w:rsid w:val="00D15823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C73E9"/>
    <w:rsid w:val="00DD37EC"/>
    <w:rsid w:val="00DF2139"/>
    <w:rsid w:val="00E112EC"/>
    <w:rsid w:val="00E1499E"/>
    <w:rsid w:val="00E2493E"/>
    <w:rsid w:val="00E32EC3"/>
    <w:rsid w:val="00E3498C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68E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0FF1"/>
    <w:rsid w:val="00F57784"/>
    <w:rsid w:val="00F62CEA"/>
    <w:rsid w:val="00F834BF"/>
    <w:rsid w:val="00F92ACF"/>
    <w:rsid w:val="00FA4560"/>
    <w:rsid w:val="00FB1D8F"/>
    <w:rsid w:val="00FB2F2B"/>
    <w:rsid w:val="00FD2AD0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FCF2-B142-45CF-A9F8-4FC9D164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</TotalTime>
  <Pages>1</Pages>
  <Words>2040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Bennová Jindra</cp:lastModifiedBy>
  <cp:revision>4</cp:revision>
  <cp:lastPrinted>2010-03-10T09:30:00Z</cp:lastPrinted>
  <dcterms:created xsi:type="dcterms:W3CDTF">2016-07-25T13:34:00Z</dcterms:created>
  <dcterms:modified xsi:type="dcterms:W3CDTF">2016-07-25T14:17:00Z</dcterms:modified>
</cp:coreProperties>
</file>