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80A52" w14:textId="77777777" w:rsidR="00D0293E" w:rsidRDefault="00D0293E" w:rsidP="00D0293E">
      <w:pPr>
        <w:pStyle w:val="Zkladntext"/>
        <w:ind w:left="118"/>
        <w:rPr>
          <w:rFonts w:ascii="Times New Roman"/>
          <w:sz w:val="20"/>
        </w:rPr>
      </w:pPr>
    </w:p>
    <w:p w14:paraId="1012854B" w14:textId="7EDB938A" w:rsidR="00F20EE1" w:rsidRDefault="00060788" w:rsidP="00D0293E">
      <w:pPr>
        <w:pStyle w:val="Zkladn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 wp14:anchorId="3A3E4507" wp14:editId="01EAE82D">
            <wp:extent cx="5742948" cy="396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94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0367C" w14:textId="77777777" w:rsidR="00F20EE1" w:rsidRDefault="00F20EE1" w:rsidP="00D0293E">
      <w:pPr>
        <w:pStyle w:val="Zkladntext"/>
        <w:spacing w:before="6"/>
        <w:ind w:left="118"/>
        <w:rPr>
          <w:rFonts w:ascii="Times New Roman"/>
          <w:sz w:val="11"/>
        </w:rPr>
      </w:pPr>
    </w:p>
    <w:p w14:paraId="0486FB48" w14:textId="128B6DAD" w:rsidR="00F20EE1" w:rsidRDefault="00B55BE6" w:rsidP="00D0293E">
      <w:pPr>
        <w:spacing w:before="100"/>
        <w:ind w:left="118" w:right="160"/>
        <w:jc w:val="center"/>
        <w:rPr>
          <w:b/>
          <w:sz w:val="28"/>
        </w:rPr>
      </w:pPr>
      <w:proofErr w:type="spellStart"/>
      <w:r>
        <w:rPr>
          <w:b/>
          <w:sz w:val="28"/>
        </w:rPr>
        <w:t>Dodatek</w:t>
      </w:r>
      <w:proofErr w:type="spellEnd"/>
      <w:r>
        <w:rPr>
          <w:b/>
          <w:sz w:val="28"/>
        </w:rPr>
        <w:t xml:space="preserve"> č. 1 </w:t>
      </w:r>
      <w:proofErr w:type="spellStart"/>
      <w:r>
        <w:rPr>
          <w:b/>
          <w:sz w:val="28"/>
        </w:rPr>
        <w:t>smlouvy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partnerství</w:t>
      </w:r>
      <w:proofErr w:type="spellEnd"/>
    </w:p>
    <w:p w14:paraId="4962B087" w14:textId="77777777" w:rsidR="00F20EE1" w:rsidRDefault="00060788" w:rsidP="00D0293E">
      <w:pPr>
        <w:pStyle w:val="Zkladntext"/>
        <w:spacing w:before="244" w:line="225" w:lineRule="auto"/>
        <w:ind w:left="118" w:right="163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Občanský</w:t>
      </w:r>
      <w:proofErr w:type="spellEnd"/>
      <w:r>
        <w:t xml:space="preserve"> </w:t>
      </w:r>
      <w:proofErr w:type="spellStart"/>
      <w:proofErr w:type="gramStart"/>
      <w:r>
        <w:t>zákoník</w:t>
      </w:r>
      <w:proofErr w:type="spellEnd"/>
      <w:r>
        <w:t>“</w:t>
      </w:r>
      <w:proofErr w:type="gramEnd"/>
      <w:r>
        <w:t>)</w:t>
      </w:r>
    </w:p>
    <w:p w14:paraId="6A1B0DCC" w14:textId="77777777" w:rsidR="00F20EE1" w:rsidRDefault="00F20EE1" w:rsidP="00D0293E">
      <w:pPr>
        <w:pStyle w:val="Zkladntext"/>
        <w:spacing w:before="6"/>
        <w:ind w:left="118"/>
        <w:rPr>
          <w:sz w:val="26"/>
        </w:rPr>
      </w:pPr>
    </w:p>
    <w:p w14:paraId="2AED3463" w14:textId="77777777" w:rsidR="00F20EE1" w:rsidRDefault="00060788" w:rsidP="00D0293E">
      <w:pPr>
        <w:pStyle w:val="Nadpis2"/>
        <w:spacing w:before="1"/>
        <w:ind w:left="118"/>
        <w:jc w:val="both"/>
      </w:pPr>
      <w:proofErr w:type="spellStart"/>
      <w:r>
        <w:t>Iuridicum</w:t>
      </w:r>
      <w:proofErr w:type="spellEnd"/>
      <w:r>
        <w:t xml:space="preserve"> </w:t>
      </w:r>
      <w:proofErr w:type="spellStart"/>
      <w:r>
        <w:t>Remedium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</w:p>
    <w:p w14:paraId="68FF754E" w14:textId="77777777" w:rsidR="00F20EE1" w:rsidRDefault="00060788" w:rsidP="00D0293E">
      <w:pPr>
        <w:pStyle w:val="Nadpis3"/>
        <w:spacing w:before="61"/>
        <w:ind w:left="118"/>
        <w:jc w:val="both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Přístavní</w:t>
      </w:r>
      <w:proofErr w:type="spellEnd"/>
      <w:r>
        <w:t xml:space="preserve"> 1236/35, 170 00 Praha 7,</w:t>
      </w:r>
    </w:p>
    <w:p w14:paraId="2B442C25" w14:textId="77777777" w:rsidR="00F20EE1" w:rsidRDefault="00060788" w:rsidP="00D0293E">
      <w:pPr>
        <w:spacing w:before="41" w:line="276" w:lineRule="auto"/>
        <w:ind w:left="118" w:right="3027"/>
        <w:jc w:val="both"/>
        <w:rPr>
          <w:sz w:val="24"/>
        </w:rPr>
      </w:pPr>
      <w:proofErr w:type="spellStart"/>
      <w:r>
        <w:rPr>
          <w:b/>
          <w:sz w:val="24"/>
        </w:rPr>
        <w:t>adresa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doručování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Jeseniova</w:t>
      </w:r>
      <w:proofErr w:type="spellEnd"/>
      <w:r>
        <w:rPr>
          <w:b/>
          <w:sz w:val="24"/>
        </w:rPr>
        <w:t xml:space="preserve"> 10, Praha 3, 130 00 </w:t>
      </w:r>
      <w:proofErr w:type="spellStart"/>
      <w:r>
        <w:rPr>
          <w:sz w:val="24"/>
        </w:rPr>
        <w:t>zastoupené</w:t>
      </w:r>
      <w:proofErr w:type="spellEnd"/>
      <w:r>
        <w:rPr>
          <w:sz w:val="24"/>
        </w:rPr>
        <w:t xml:space="preserve">: JUDr. Ing. </w:t>
      </w:r>
      <w:proofErr w:type="spellStart"/>
      <w:r>
        <w:rPr>
          <w:sz w:val="24"/>
        </w:rPr>
        <w:t>Helenou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Svatošovou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jednatelkou</w:t>
      </w:r>
      <w:proofErr w:type="spellEnd"/>
      <w:r>
        <w:rPr>
          <w:sz w:val="24"/>
        </w:rPr>
        <w:t xml:space="preserve"> IČ 265 34 487</w:t>
      </w:r>
    </w:p>
    <w:p w14:paraId="715E561D" w14:textId="48A5BB05" w:rsidR="00F20EE1" w:rsidRDefault="00060788" w:rsidP="00D0293E">
      <w:pPr>
        <w:pStyle w:val="Nadpis2"/>
        <w:spacing w:line="277" w:lineRule="exact"/>
        <w:ind w:left="118"/>
        <w:jc w:val="both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</w:p>
    <w:p w14:paraId="4B1A8C19" w14:textId="77777777" w:rsidR="00F20EE1" w:rsidRDefault="00060788" w:rsidP="00D0293E">
      <w:pPr>
        <w:spacing w:before="42" w:line="448" w:lineRule="auto"/>
        <w:ind w:left="118" w:right="6767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b/>
          <w:sz w:val="24"/>
        </w:rPr>
        <w:t>Příjemce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 a</w:t>
      </w:r>
    </w:p>
    <w:p w14:paraId="125FD289" w14:textId="2A1BBB12" w:rsidR="00F20EE1" w:rsidRDefault="00060788" w:rsidP="00D0293E">
      <w:pPr>
        <w:spacing w:before="1"/>
        <w:ind w:left="118" w:right="2654"/>
        <w:rPr>
          <w:sz w:val="24"/>
        </w:rPr>
      </w:pPr>
      <w:r>
        <w:rPr>
          <w:b/>
          <w:sz w:val="24"/>
        </w:rPr>
        <w:t xml:space="preserve">Ústav státu a práva Akademie </w:t>
      </w:r>
      <w:proofErr w:type="spellStart"/>
      <w:r>
        <w:rPr>
          <w:b/>
          <w:sz w:val="24"/>
        </w:rPr>
        <w:t>věd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České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republiky</w:t>
      </w:r>
      <w:proofErr w:type="spellEnd"/>
      <w:r>
        <w:rPr>
          <w:b/>
          <w:spacing w:val="-3"/>
          <w:sz w:val="24"/>
        </w:rPr>
        <w:t xml:space="preserve">, </w:t>
      </w:r>
      <w:r>
        <w:rPr>
          <w:b/>
          <w:spacing w:val="-11"/>
          <w:sz w:val="24"/>
        </w:rPr>
        <w:t>v.</w:t>
      </w:r>
      <w:r w:rsidR="00FA2CA9">
        <w:rPr>
          <w:b/>
          <w:spacing w:val="-11"/>
          <w:sz w:val="24"/>
        </w:rPr>
        <w:t xml:space="preserve"> </w:t>
      </w:r>
      <w:r>
        <w:rPr>
          <w:b/>
          <w:spacing w:val="-11"/>
          <w:sz w:val="24"/>
        </w:rPr>
        <w:t>v.</w:t>
      </w:r>
      <w:r w:rsidR="00FA2CA9">
        <w:rPr>
          <w:b/>
          <w:spacing w:val="-11"/>
          <w:sz w:val="24"/>
        </w:rPr>
        <w:t xml:space="preserve"> </w:t>
      </w:r>
      <w:proofErr w:type="spellStart"/>
      <w:r>
        <w:rPr>
          <w:b/>
          <w:spacing w:val="-11"/>
          <w:sz w:val="24"/>
        </w:rPr>
        <w:t>i</w:t>
      </w:r>
      <w:proofErr w:type="spellEnd"/>
      <w:r>
        <w:rPr>
          <w:b/>
          <w:spacing w:val="-11"/>
          <w:sz w:val="24"/>
        </w:rPr>
        <w:t xml:space="preserve">. </w:t>
      </w:r>
      <w:r>
        <w:rPr>
          <w:sz w:val="24"/>
        </w:rPr>
        <w:t xml:space="preserve">se </w:t>
      </w:r>
      <w:proofErr w:type="spellStart"/>
      <w:r>
        <w:rPr>
          <w:sz w:val="24"/>
        </w:rPr>
        <w:t>sídlem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18, 11</w:t>
      </w:r>
      <w:r w:rsidR="00B640CF">
        <w:rPr>
          <w:sz w:val="24"/>
        </w:rPr>
        <w:t>0</w:t>
      </w:r>
      <w:r>
        <w:rPr>
          <w:sz w:val="24"/>
        </w:rPr>
        <w:t xml:space="preserve"> 00 </w:t>
      </w:r>
      <w:r>
        <w:rPr>
          <w:spacing w:val="-3"/>
          <w:sz w:val="24"/>
        </w:rPr>
        <w:t xml:space="preserve">Praha </w:t>
      </w:r>
      <w:r>
        <w:rPr>
          <w:sz w:val="24"/>
        </w:rPr>
        <w:t xml:space="preserve">1 –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Zastoupený</w:t>
      </w:r>
      <w:proofErr w:type="spellEnd"/>
      <w:r>
        <w:rPr>
          <w:sz w:val="24"/>
        </w:rPr>
        <w:t xml:space="preserve"> </w:t>
      </w:r>
      <w:r>
        <w:rPr>
          <w:spacing w:val="-8"/>
          <w:sz w:val="24"/>
        </w:rPr>
        <w:t xml:space="preserve">JUDr. </w:t>
      </w:r>
      <w:proofErr w:type="spellStart"/>
      <w:r>
        <w:rPr>
          <w:sz w:val="24"/>
        </w:rPr>
        <w:t>Jánem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Matejkou</w:t>
      </w:r>
      <w:proofErr w:type="spellEnd"/>
      <w:r>
        <w:rPr>
          <w:sz w:val="24"/>
        </w:rPr>
        <w:t xml:space="preserve">, </w:t>
      </w:r>
      <w:r>
        <w:rPr>
          <w:spacing w:val="-5"/>
          <w:sz w:val="24"/>
        </w:rPr>
        <w:t xml:space="preserve">Ph. </w:t>
      </w:r>
      <w:r>
        <w:rPr>
          <w:sz w:val="24"/>
        </w:rPr>
        <w:t xml:space="preserve">D., </w:t>
      </w:r>
      <w:proofErr w:type="spellStart"/>
      <w:r>
        <w:rPr>
          <w:sz w:val="24"/>
        </w:rPr>
        <w:t>ředitelem</w:t>
      </w:r>
      <w:proofErr w:type="spellEnd"/>
    </w:p>
    <w:p w14:paraId="011C9B6E" w14:textId="77777777" w:rsidR="00F20EE1" w:rsidRDefault="00060788" w:rsidP="00D0293E">
      <w:pPr>
        <w:pStyle w:val="Nadpis3"/>
        <w:spacing w:before="4"/>
        <w:ind w:left="118"/>
      </w:pPr>
      <w:r>
        <w:t>IČ 68378122</w:t>
      </w:r>
    </w:p>
    <w:p w14:paraId="41836D47" w14:textId="19048D01" w:rsidR="00F20EE1" w:rsidRDefault="00060788" w:rsidP="00D0293E">
      <w:pPr>
        <w:spacing w:before="4"/>
        <w:ind w:left="118"/>
        <w:rPr>
          <w:rFonts w:ascii="Arial" w:hAnsi="Arial"/>
          <w:b/>
          <w:sz w:val="28"/>
        </w:rPr>
      </w:pPr>
      <w:proofErr w:type="spellStart"/>
      <w:r>
        <w:rPr>
          <w:b/>
          <w:sz w:val="24"/>
        </w:rPr>
        <w:t>bankovní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spojení</w:t>
      </w:r>
      <w:proofErr w:type="spellEnd"/>
      <w:r>
        <w:rPr>
          <w:b/>
          <w:sz w:val="24"/>
        </w:rPr>
        <w:t xml:space="preserve">: </w:t>
      </w:r>
    </w:p>
    <w:p w14:paraId="6A041DF9" w14:textId="77777777" w:rsidR="00F20EE1" w:rsidRDefault="00060788" w:rsidP="00D0293E">
      <w:pPr>
        <w:spacing w:before="55"/>
        <w:ind w:left="118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gramStart"/>
      <w:r>
        <w:rPr>
          <w:b/>
          <w:sz w:val="24"/>
        </w:rPr>
        <w:t>ÚSP</w:t>
      </w:r>
      <w:r>
        <w:rPr>
          <w:sz w:val="24"/>
        </w:rPr>
        <w:t>“</w:t>
      </w:r>
      <w:proofErr w:type="gramEnd"/>
      <w:r>
        <w:rPr>
          <w:sz w:val="24"/>
        </w:rPr>
        <w:t>)</w:t>
      </w:r>
    </w:p>
    <w:p w14:paraId="2A345824" w14:textId="77777777" w:rsidR="00F20EE1" w:rsidRDefault="00F20EE1" w:rsidP="00D0293E">
      <w:pPr>
        <w:pStyle w:val="Zkladntext"/>
        <w:ind w:left="118"/>
        <w:rPr>
          <w:sz w:val="28"/>
        </w:rPr>
      </w:pPr>
    </w:p>
    <w:p w14:paraId="35263545" w14:textId="77777777" w:rsidR="00F20EE1" w:rsidRDefault="00F20EE1" w:rsidP="00D0293E">
      <w:pPr>
        <w:pStyle w:val="Zkladntext"/>
        <w:spacing w:before="7"/>
        <w:ind w:left="118"/>
        <w:rPr>
          <w:sz w:val="30"/>
        </w:rPr>
      </w:pPr>
    </w:p>
    <w:p w14:paraId="5DA910CA" w14:textId="41B0200A" w:rsidR="00F20EE1" w:rsidRDefault="00060788" w:rsidP="00D0293E">
      <w:pPr>
        <w:spacing w:before="1"/>
        <w:ind w:left="118" w:right="168"/>
        <w:jc w:val="center"/>
        <w:rPr>
          <w:sz w:val="24"/>
        </w:rPr>
      </w:pPr>
      <w:proofErr w:type="spellStart"/>
      <w:r>
        <w:rPr>
          <w:sz w:val="24"/>
        </w:rPr>
        <w:t>uzavírají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měsíce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="00B55BE6">
        <w:rPr>
          <w:sz w:val="24"/>
        </w:rPr>
        <w:t>ento</w:t>
      </w:r>
      <w:proofErr w:type="spellEnd"/>
      <w:r w:rsidR="00B55BE6">
        <w:rPr>
          <w:sz w:val="24"/>
        </w:rPr>
        <w:t xml:space="preserve"> </w:t>
      </w:r>
      <w:proofErr w:type="spellStart"/>
      <w:r w:rsidR="00B55BE6"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</w:t>
      </w:r>
      <w:r w:rsidR="00B55BE6">
        <w:rPr>
          <w:sz w:val="24"/>
        </w:rPr>
        <w:t>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partnerství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 w:rsidR="00B55BE6">
        <w:rPr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 w:rsidR="00B55BE6">
        <w:rPr>
          <w:sz w:val="24"/>
        </w:rPr>
        <w:t>Dodatek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217BD1CD" w14:textId="77777777" w:rsidR="00F20EE1" w:rsidRDefault="00F20EE1" w:rsidP="00D0293E">
      <w:pPr>
        <w:pStyle w:val="Zkladntext"/>
        <w:ind w:left="118"/>
        <w:rPr>
          <w:sz w:val="20"/>
        </w:rPr>
      </w:pPr>
    </w:p>
    <w:p w14:paraId="262C5760" w14:textId="77777777" w:rsidR="00F20EE1" w:rsidRDefault="00F20EE1" w:rsidP="00D0293E">
      <w:pPr>
        <w:pStyle w:val="Zkladntext"/>
        <w:spacing w:before="7"/>
        <w:ind w:left="118"/>
        <w:rPr>
          <w:sz w:val="15"/>
        </w:rPr>
      </w:pPr>
    </w:p>
    <w:p w14:paraId="0E20D6AB" w14:textId="461A1524" w:rsidR="00F20EE1" w:rsidRDefault="00060788" w:rsidP="00D0293E">
      <w:pPr>
        <w:pStyle w:val="Nadpis4"/>
        <w:spacing w:before="100"/>
        <w:ind w:left="118" w:right="157"/>
      </w:pPr>
      <w:proofErr w:type="spellStart"/>
      <w:r>
        <w:t>Článek</w:t>
      </w:r>
      <w:proofErr w:type="spellEnd"/>
      <w:r>
        <w:t xml:space="preserve"> 1 - </w:t>
      </w:r>
      <w:proofErr w:type="spellStart"/>
      <w:r w:rsidR="00B55BE6">
        <w:t>Ú</w:t>
      </w:r>
      <w:r>
        <w:t>čel</w:t>
      </w:r>
      <w:proofErr w:type="spellEnd"/>
      <w:r>
        <w:t xml:space="preserve"> </w:t>
      </w:r>
      <w:proofErr w:type="spellStart"/>
      <w:r w:rsidR="00B55BE6">
        <w:t>Dodatku</w:t>
      </w:r>
      <w:proofErr w:type="spellEnd"/>
    </w:p>
    <w:p w14:paraId="1CD81AF7" w14:textId="77777777" w:rsidR="00F20EE1" w:rsidRDefault="00F20EE1" w:rsidP="00D0293E">
      <w:pPr>
        <w:pStyle w:val="Zkladntext"/>
        <w:spacing w:before="4"/>
        <w:ind w:left="118"/>
        <w:rPr>
          <w:b/>
          <w:sz w:val="20"/>
        </w:rPr>
      </w:pPr>
    </w:p>
    <w:p w14:paraId="59C72C5D" w14:textId="4163818F" w:rsidR="00B55BE6" w:rsidRDefault="00B55BE6" w:rsidP="00D0293E">
      <w:pPr>
        <w:pStyle w:val="Odstavecseseznamem"/>
        <w:numPr>
          <w:ilvl w:val="0"/>
          <w:numId w:val="8"/>
        </w:numPr>
        <w:tabs>
          <w:tab w:val="left" w:pos="480"/>
        </w:tabs>
        <w:spacing w:line="225" w:lineRule="auto"/>
        <w:ind w:left="118" w:right="195" w:firstLine="0"/>
      </w:pPr>
      <w:proofErr w:type="spellStart"/>
      <w:r>
        <w:t>Strany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uzavřel</w:t>
      </w:r>
      <w:r w:rsidR="00044275">
        <w:t>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14.</w:t>
      </w:r>
      <w:r w:rsidR="00FA2CA9">
        <w:t xml:space="preserve"> </w:t>
      </w:r>
      <w:r>
        <w:t>12.</w:t>
      </w:r>
      <w:r w:rsidR="00FA2CA9">
        <w:t xml:space="preserve"> </w:t>
      </w:r>
      <w:r>
        <w:t xml:space="preserve">2021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partnery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„</w:t>
      </w:r>
      <w:proofErr w:type="spellStart"/>
      <w:r>
        <w:rPr>
          <w:b/>
          <w:i/>
        </w:rPr>
        <w:t>Podpora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lidských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práv</w:t>
      </w:r>
      <w:proofErr w:type="spellEnd"/>
      <w:r>
        <w:rPr>
          <w:b/>
          <w:i/>
        </w:rPr>
        <w:t xml:space="preserve"> v </w:t>
      </w:r>
      <w:proofErr w:type="spellStart"/>
      <w:r>
        <w:rPr>
          <w:b/>
          <w:i/>
        </w:rPr>
        <w:t>digitální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době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zvyšování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povědomí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standardů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novinářské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práce</w:t>
      </w:r>
      <w:proofErr w:type="spellEnd"/>
      <w:r>
        <w:rPr>
          <w:b/>
          <w:i/>
        </w:rPr>
        <w:t xml:space="preserve"> v </w:t>
      </w:r>
      <w:proofErr w:type="spellStart"/>
      <w:r>
        <w:rPr>
          <w:b/>
          <w:i/>
        </w:rPr>
        <w:t>oblasti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dopadu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moderních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technologií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lidská</w:t>
      </w:r>
      <w:proofErr w:type="spellEnd"/>
      <w:r>
        <w:rPr>
          <w:b/>
          <w:i/>
        </w:rPr>
        <w:t xml:space="preserve"> práva/Promoting Human Rights in the Digital Era: Raising awareness and professional standards in journalism about </w:t>
      </w:r>
      <w:r>
        <w:rPr>
          <w:b/>
          <w:i/>
          <w:spacing w:val="-4"/>
        </w:rPr>
        <w:t xml:space="preserve">the </w:t>
      </w:r>
      <w:r>
        <w:rPr>
          <w:b/>
          <w:i/>
        </w:rPr>
        <w:t xml:space="preserve">impact of modern technologies on human </w:t>
      </w:r>
      <w:proofErr w:type="gramStart"/>
      <w:r>
        <w:rPr>
          <w:b/>
          <w:i/>
        </w:rPr>
        <w:t>rights</w:t>
      </w:r>
      <w:r>
        <w:t>“ v</w:t>
      </w:r>
      <w:proofErr w:type="gramEnd"/>
      <w:r>
        <w:t xml:space="preserve">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Lidská</w:t>
      </w:r>
      <w:proofErr w:type="spellEnd"/>
      <w:r>
        <w:t xml:space="preserve"> práva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„Program“) </w:t>
      </w:r>
      <w:proofErr w:type="spellStart"/>
      <w:r>
        <w:t>spolufinancovaného</w:t>
      </w:r>
      <w:proofErr w:type="spellEnd"/>
      <w:r>
        <w:t xml:space="preserve"> z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mechanismu</w:t>
      </w:r>
      <w:proofErr w:type="spellEnd"/>
      <w:r>
        <w:rPr>
          <w:spacing w:val="-7"/>
        </w:rPr>
        <w:t xml:space="preserve"> </w:t>
      </w:r>
      <w:r>
        <w:rPr>
          <w:shd w:val="clear" w:color="auto" w:fill="C0C0C0"/>
        </w:rPr>
        <w:t>EHP/</w:t>
      </w:r>
      <w:proofErr w:type="spellStart"/>
      <w:r>
        <w:rPr>
          <w:shd w:val="clear" w:color="auto" w:fill="C0C0C0"/>
        </w:rPr>
        <w:t>Norska</w:t>
      </w:r>
      <w:proofErr w:type="spellEnd"/>
    </w:p>
    <w:p w14:paraId="298F3C17" w14:textId="60DF3D2B" w:rsidR="00F20EE1" w:rsidRDefault="00B55BE6" w:rsidP="00D0293E">
      <w:pPr>
        <w:pStyle w:val="Odstavecseseznamem"/>
        <w:tabs>
          <w:tab w:val="left" w:pos="480"/>
        </w:tabs>
        <w:spacing w:line="225" w:lineRule="auto"/>
        <w:ind w:left="118" w:firstLine="0"/>
        <w:jc w:val="left"/>
      </w:pPr>
      <w:r>
        <w:t>2014-2021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Projekt</w:t>
      </w:r>
      <w:proofErr w:type="spellEnd"/>
      <w:r>
        <w:t>“</w:t>
      </w:r>
      <w:proofErr w:type="gramEnd"/>
      <w:r>
        <w:t xml:space="preserve">)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partnerství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si</w:t>
      </w:r>
      <w:proofErr w:type="spellEnd"/>
      <w:r w:rsidR="009A27BD">
        <w:t xml:space="preserve"> </w:t>
      </w:r>
      <w:proofErr w:type="spellStart"/>
      <w:r>
        <w:t>m</w:t>
      </w:r>
      <w:r w:rsidR="009A27BD">
        <w:t>j</w:t>
      </w:r>
      <w:proofErr w:type="spellEnd"/>
      <w:r w:rsidR="009A27BD">
        <w:t>.</w:t>
      </w:r>
      <w:r>
        <w:t xml:space="preserve"> </w:t>
      </w:r>
      <w:proofErr w:type="spellStart"/>
      <w:r>
        <w:t>stanovily</w:t>
      </w:r>
      <w:proofErr w:type="spellEnd"/>
      <w:r>
        <w:t xml:space="preserve"> </w:t>
      </w:r>
      <w:proofErr w:type="spellStart"/>
      <w:r>
        <w:t>rozpočet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z </w:t>
      </w:r>
      <w:proofErr w:type="spellStart"/>
      <w:r>
        <w:t>partner</w:t>
      </w:r>
      <w:r w:rsidR="009A27BD">
        <w:t>a</w:t>
      </w:r>
      <w:proofErr w:type="spellEnd"/>
      <w:r>
        <w:t xml:space="preserve"> </w:t>
      </w:r>
      <w:proofErr w:type="spellStart"/>
      <w:r>
        <w:t>projektu</w:t>
      </w:r>
      <w:proofErr w:type="spellEnd"/>
      <w:r w:rsidR="00044275">
        <w:t xml:space="preserve"> (dale </w:t>
      </w:r>
      <w:proofErr w:type="spellStart"/>
      <w:r w:rsidR="00044275">
        <w:t>jen</w:t>
      </w:r>
      <w:proofErr w:type="spellEnd"/>
      <w:r w:rsidR="00044275">
        <w:t xml:space="preserve"> “</w:t>
      </w:r>
      <w:proofErr w:type="spellStart"/>
      <w:r w:rsidR="00044275">
        <w:t>Smlouva</w:t>
      </w:r>
      <w:proofErr w:type="spellEnd"/>
      <w:r w:rsidR="00044275">
        <w:t>”)</w:t>
      </w:r>
      <w:r>
        <w:t>.</w:t>
      </w:r>
    </w:p>
    <w:p w14:paraId="77010755" w14:textId="77777777" w:rsidR="00F20EE1" w:rsidRDefault="00F20EE1" w:rsidP="00D0293E">
      <w:pPr>
        <w:pStyle w:val="Zkladntext"/>
        <w:spacing w:before="8"/>
        <w:ind w:left="118"/>
        <w:rPr>
          <w:sz w:val="20"/>
        </w:rPr>
      </w:pPr>
    </w:p>
    <w:p w14:paraId="30CB4AA2" w14:textId="316F88BE" w:rsidR="009A27BD" w:rsidRDefault="00060788" w:rsidP="00D0293E">
      <w:pPr>
        <w:ind w:left="118"/>
        <w:jc w:val="both"/>
        <w:rPr>
          <w:b/>
        </w:rPr>
      </w:pPr>
      <w:proofErr w:type="spellStart"/>
      <w:r>
        <w:t>Účelem</w:t>
      </w:r>
      <w:proofErr w:type="spellEnd"/>
      <w:r>
        <w:t xml:space="preserve"> </w:t>
      </w:r>
      <w:proofErr w:type="spellStart"/>
      <w:r w:rsidR="00B55BE6">
        <w:t>tohoto</w:t>
      </w:r>
      <w:proofErr w:type="spellEnd"/>
      <w:r w:rsidR="00B55BE6">
        <w:t xml:space="preserve"> </w:t>
      </w:r>
      <w:proofErr w:type="spellStart"/>
      <w:r w:rsidR="00B55BE6">
        <w:t>Dodatku</w:t>
      </w:r>
      <w:proofErr w:type="spellEnd"/>
      <w:r w:rsidR="00B55BE6">
        <w:t xml:space="preserve"> je </w:t>
      </w:r>
      <w:proofErr w:type="spellStart"/>
      <w:r w:rsidR="00B55BE6">
        <w:t>úprava</w:t>
      </w:r>
      <w:proofErr w:type="spellEnd"/>
      <w:r w:rsidR="00B55BE6">
        <w:t xml:space="preserve"> </w:t>
      </w:r>
      <w:proofErr w:type="spellStart"/>
      <w:r w:rsidR="00B55BE6">
        <w:t>rozpočtů</w:t>
      </w:r>
      <w:proofErr w:type="spellEnd"/>
      <w:r w:rsidR="00B55BE6">
        <w:t xml:space="preserve"> </w:t>
      </w:r>
      <w:proofErr w:type="spellStart"/>
      <w:r w:rsidR="00B55BE6">
        <w:t>Příjemce</w:t>
      </w:r>
      <w:proofErr w:type="spellEnd"/>
      <w:r w:rsidR="00B55BE6">
        <w:t xml:space="preserve"> a ÚSP </w:t>
      </w:r>
      <w:proofErr w:type="spellStart"/>
      <w:r w:rsidR="00B55BE6">
        <w:t>tak</w:t>
      </w:r>
      <w:proofErr w:type="spellEnd"/>
      <w:r w:rsidR="00B55BE6">
        <w:t xml:space="preserve">, aby </w:t>
      </w:r>
      <w:proofErr w:type="spellStart"/>
      <w:r w:rsidR="00B55BE6">
        <w:t>byl</w:t>
      </w:r>
      <w:proofErr w:type="spellEnd"/>
      <w:r w:rsidR="00B55BE6">
        <w:t xml:space="preserve"> </w:t>
      </w:r>
      <w:proofErr w:type="spellStart"/>
      <w:r w:rsidR="00B55BE6">
        <w:t>lépe</w:t>
      </w:r>
      <w:proofErr w:type="spellEnd"/>
      <w:r w:rsidR="00B55BE6">
        <w:t xml:space="preserve"> </w:t>
      </w:r>
      <w:proofErr w:type="spellStart"/>
      <w:r w:rsidR="00B55BE6">
        <w:t>naplněn</w:t>
      </w:r>
      <w:proofErr w:type="spellEnd"/>
      <w:r w:rsidR="00B55BE6">
        <w:t xml:space="preserve"> </w:t>
      </w:r>
      <w:proofErr w:type="spellStart"/>
      <w:r w:rsidR="00B55BE6">
        <w:t>účel</w:t>
      </w:r>
      <w:proofErr w:type="spellEnd"/>
      <w:r w:rsidR="00B55BE6">
        <w:t xml:space="preserve"> </w:t>
      </w:r>
      <w:proofErr w:type="spellStart"/>
      <w:r w:rsidR="00B55BE6">
        <w:t>Projektu</w:t>
      </w:r>
      <w:proofErr w:type="spellEnd"/>
      <w:r w:rsidR="00B55BE6">
        <w:t xml:space="preserve"> – </w:t>
      </w:r>
      <w:proofErr w:type="spellStart"/>
      <w:r w:rsidR="00B55BE6">
        <w:t>ve</w:t>
      </w:r>
      <w:proofErr w:type="spellEnd"/>
      <w:r w:rsidR="00B55BE6">
        <w:t xml:space="preserve"> </w:t>
      </w:r>
      <w:proofErr w:type="spellStart"/>
      <w:r w:rsidR="00B55BE6">
        <w:t>vztahu</w:t>
      </w:r>
      <w:proofErr w:type="spellEnd"/>
      <w:r w:rsidR="00B55BE6">
        <w:t xml:space="preserve"> k </w:t>
      </w:r>
      <w:proofErr w:type="spellStart"/>
      <w:r w:rsidR="00B55BE6">
        <w:t>norskému</w:t>
      </w:r>
      <w:proofErr w:type="spellEnd"/>
      <w:r w:rsidR="00B55BE6">
        <w:t xml:space="preserve"> </w:t>
      </w:r>
      <w:proofErr w:type="spellStart"/>
      <w:r w:rsidR="00B55BE6">
        <w:t>partnerovi</w:t>
      </w:r>
      <w:proofErr w:type="spellEnd"/>
      <w:r w:rsidR="00B55BE6">
        <w:t xml:space="preserve"> </w:t>
      </w:r>
      <w:proofErr w:type="spellStart"/>
      <w:r w:rsidR="00B55BE6">
        <w:t>Elektronik</w:t>
      </w:r>
      <w:proofErr w:type="spellEnd"/>
      <w:r w:rsidR="00B55BE6">
        <w:t xml:space="preserve"> </w:t>
      </w:r>
      <w:proofErr w:type="spellStart"/>
      <w:r w:rsidR="00B55BE6">
        <w:t>Forpost</w:t>
      </w:r>
      <w:proofErr w:type="spellEnd"/>
      <w:r w:rsidR="00B55BE6">
        <w:t xml:space="preserve"> Norge se </w:t>
      </w:r>
      <w:proofErr w:type="spellStart"/>
      <w:r w:rsidR="00B55BE6">
        <w:t>strany</w:t>
      </w:r>
      <w:proofErr w:type="spellEnd"/>
      <w:r w:rsidR="00B55BE6">
        <w:t xml:space="preserve"> </w:t>
      </w:r>
      <w:proofErr w:type="spellStart"/>
      <w:r w:rsidR="00B55BE6">
        <w:t>dohodly</w:t>
      </w:r>
      <w:proofErr w:type="spellEnd"/>
      <w:r w:rsidR="00B55BE6">
        <w:t xml:space="preserve">, </w:t>
      </w:r>
      <w:proofErr w:type="spellStart"/>
      <w:r w:rsidR="00B55BE6">
        <w:t>že</w:t>
      </w:r>
      <w:proofErr w:type="spellEnd"/>
      <w:r w:rsidR="00B55BE6">
        <w:t xml:space="preserve"> </w:t>
      </w:r>
      <w:proofErr w:type="spellStart"/>
      <w:r w:rsidR="009A27BD">
        <w:t>částka</w:t>
      </w:r>
      <w:proofErr w:type="spellEnd"/>
      <w:r w:rsidR="009A27BD">
        <w:t xml:space="preserve"> </w:t>
      </w:r>
      <w:r w:rsidR="00267A4A">
        <w:t xml:space="preserve">6 571,61 </w:t>
      </w:r>
      <w:proofErr w:type="spellStart"/>
      <w:r w:rsidR="009A27BD">
        <w:t>Kč</w:t>
      </w:r>
      <w:proofErr w:type="spellEnd"/>
      <w:r w:rsidR="009A27BD">
        <w:t xml:space="preserve"> </w:t>
      </w:r>
      <w:proofErr w:type="spellStart"/>
      <w:r w:rsidR="009A27BD">
        <w:t>odpovídající</w:t>
      </w:r>
      <w:proofErr w:type="spellEnd"/>
      <w:r w:rsidR="009A27BD">
        <w:t xml:space="preserve"> </w:t>
      </w:r>
      <w:proofErr w:type="spellStart"/>
      <w:r w:rsidR="00267A4A">
        <w:t>kurzem</w:t>
      </w:r>
      <w:proofErr w:type="spellEnd"/>
      <w:r w:rsidR="00267A4A">
        <w:t xml:space="preserve"> </w:t>
      </w:r>
      <w:proofErr w:type="spellStart"/>
      <w:r w:rsidR="00267A4A">
        <w:t>banky</w:t>
      </w:r>
      <w:proofErr w:type="spellEnd"/>
      <w:r w:rsidR="00267A4A">
        <w:t xml:space="preserve"> </w:t>
      </w:r>
      <w:proofErr w:type="spellStart"/>
      <w:r w:rsidR="00267A4A">
        <w:t>Příjemce</w:t>
      </w:r>
      <w:proofErr w:type="spellEnd"/>
      <w:r w:rsidR="00267A4A">
        <w:t xml:space="preserve"> v den </w:t>
      </w:r>
      <w:proofErr w:type="spellStart"/>
      <w:r w:rsidR="00267A4A">
        <w:t>převodu</w:t>
      </w:r>
      <w:proofErr w:type="spellEnd"/>
      <w:r w:rsidR="00267A4A">
        <w:t xml:space="preserve"> </w:t>
      </w:r>
      <w:proofErr w:type="spellStart"/>
      <w:r w:rsidR="009A27BD">
        <w:t>částce</w:t>
      </w:r>
      <w:proofErr w:type="spellEnd"/>
      <w:r w:rsidR="009A27BD">
        <w:t xml:space="preserve"> 3000 NOK </w:t>
      </w:r>
      <w:proofErr w:type="spellStart"/>
      <w:r w:rsidR="009A27BD">
        <w:t>nárokovaných</w:t>
      </w:r>
      <w:proofErr w:type="spellEnd"/>
      <w:r w:rsidR="009A27BD">
        <w:t xml:space="preserve"> </w:t>
      </w:r>
      <w:proofErr w:type="spellStart"/>
      <w:r w:rsidR="009A27BD">
        <w:t>partnerem</w:t>
      </w:r>
      <w:proofErr w:type="spellEnd"/>
      <w:r w:rsidR="009A27BD">
        <w:t xml:space="preserve"> </w:t>
      </w:r>
      <w:proofErr w:type="spellStart"/>
      <w:r w:rsidR="009A27BD">
        <w:t>na</w:t>
      </w:r>
      <w:proofErr w:type="spellEnd"/>
      <w:r w:rsidR="009A27BD">
        <w:t xml:space="preserve"> </w:t>
      </w:r>
      <w:proofErr w:type="spellStart"/>
      <w:r w:rsidR="009A27BD">
        <w:t>úhradu</w:t>
      </w:r>
      <w:proofErr w:type="spellEnd"/>
      <w:r w:rsidR="009A27BD">
        <w:t xml:space="preserve"> </w:t>
      </w:r>
      <w:proofErr w:type="spellStart"/>
      <w:r w:rsidR="009A27BD">
        <w:t>nákladů</w:t>
      </w:r>
      <w:proofErr w:type="spellEnd"/>
      <w:r w:rsidR="009A27BD">
        <w:t xml:space="preserve"> </w:t>
      </w:r>
      <w:proofErr w:type="spellStart"/>
      <w:r w:rsidR="009A27BD">
        <w:t>na</w:t>
      </w:r>
      <w:proofErr w:type="spellEnd"/>
      <w:r w:rsidR="009A27BD">
        <w:t xml:space="preserve"> </w:t>
      </w:r>
      <w:proofErr w:type="spellStart"/>
      <w:r w:rsidR="009A27BD">
        <w:t>vznik</w:t>
      </w:r>
      <w:proofErr w:type="spellEnd"/>
      <w:r w:rsidR="009A27BD">
        <w:t xml:space="preserve"> </w:t>
      </w:r>
      <w:proofErr w:type="spellStart"/>
      <w:r w:rsidR="009A27BD">
        <w:t>videospotu</w:t>
      </w:r>
      <w:proofErr w:type="spellEnd"/>
      <w:r w:rsidR="009A27BD">
        <w:t xml:space="preserve"> </w:t>
      </w:r>
      <w:r w:rsidR="009A27BD" w:rsidRPr="0077456D">
        <w:rPr>
          <w:b/>
        </w:rPr>
        <w:t>z </w:t>
      </w:r>
      <w:proofErr w:type="spellStart"/>
      <w:r w:rsidR="009A27BD" w:rsidRPr="0077456D">
        <w:rPr>
          <w:b/>
        </w:rPr>
        <w:t>položky</w:t>
      </w:r>
      <w:proofErr w:type="spellEnd"/>
      <w:r w:rsidR="009A27BD" w:rsidRPr="0077456D">
        <w:rPr>
          <w:b/>
        </w:rPr>
        <w:t xml:space="preserve"> v </w:t>
      </w:r>
      <w:proofErr w:type="spellStart"/>
      <w:r w:rsidR="009A27BD" w:rsidRPr="0077456D">
        <w:rPr>
          <w:b/>
        </w:rPr>
        <w:t>rozpočtu</w:t>
      </w:r>
      <w:proofErr w:type="spellEnd"/>
      <w:r w:rsidR="009A27BD" w:rsidRPr="0077456D">
        <w:rPr>
          <w:b/>
        </w:rPr>
        <w:t xml:space="preserve"> ÚSP „</w:t>
      </w:r>
      <w:proofErr w:type="spellStart"/>
      <w:r w:rsidR="009A27BD" w:rsidRPr="0077456D">
        <w:rPr>
          <w:b/>
        </w:rPr>
        <w:t>Publicita</w:t>
      </w:r>
      <w:proofErr w:type="spellEnd"/>
      <w:r w:rsidR="009A27BD" w:rsidRPr="0077456D">
        <w:rPr>
          <w:b/>
        </w:rPr>
        <w:t xml:space="preserve">: </w:t>
      </w:r>
      <w:proofErr w:type="spellStart"/>
      <w:r w:rsidR="009A27BD" w:rsidRPr="0077456D">
        <w:rPr>
          <w:b/>
        </w:rPr>
        <w:t>nákup</w:t>
      </w:r>
      <w:proofErr w:type="spellEnd"/>
      <w:r w:rsidR="009A27BD" w:rsidRPr="0077456D">
        <w:rPr>
          <w:b/>
        </w:rPr>
        <w:t xml:space="preserve"> </w:t>
      </w:r>
      <w:proofErr w:type="spellStart"/>
      <w:r w:rsidR="009A27BD" w:rsidRPr="0077456D">
        <w:rPr>
          <w:b/>
        </w:rPr>
        <w:t>grafických</w:t>
      </w:r>
      <w:proofErr w:type="spellEnd"/>
      <w:r w:rsidR="009A27BD" w:rsidRPr="0077456D">
        <w:rPr>
          <w:b/>
        </w:rPr>
        <w:t xml:space="preserve"> </w:t>
      </w:r>
      <w:proofErr w:type="spellStart"/>
      <w:r w:rsidR="009A27BD" w:rsidRPr="0077456D">
        <w:rPr>
          <w:b/>
        </w:rPr>
        <w:t>materiálů</w:t>
      </w:r>
      <w:proofErr w:type="spellEnd"/>
      <w:r w:rsidR="009A27BD" w:rsidRPr="0077456D">
        <w:rPr>
          <w:b/>
        </w:rPr>
        <w:t xml:space="preserve"> (</w:t>
      </w:r>
      <w:proofErr w:type="spellStart"/>
      <w:r w:rsidR="009A27BD" w:rsidRPr="0077456D">
        <w:rPr>
          <w:b/>
        </w:rPr>
        <w:t>grafika</w:t>
      </w:r>
      <w:proofErr w:type="spellEnd"/>
      <w:r w:rsidR="009A27BD" w:rsidRPr="0077456D">
        <w:rPr>
          <w:b/>
        </w:rPr>
        <w:t xml:space="preserve">, </w:t>
      </w:r>
      <w:proofErr w:type="spellStart"/>
      <w:r w:rsidR="009A27BD" w:rsidRPr="0077456D">
        <w:rPr>
          <w:b/>
        </w:rPr>
        <w:t>fonty</w:t>
      </w:r>
      <w:proofErr w:type="spellEnd"/>
      <w:r w:rsidR="009A27BD" w:rsidRPr="0077456D">
        <w:rPr>
          <w:b/>
        </w:rPr>
        <w:t xml:space="preserve">), </w:t>
      </w:r>
      <w:proofErr w:type="spellStart"/>
      <w:r w:rsidR="009A27BD" w:rsidRPr="0077456D">
        <w:rPr>
          <w:b/>
        </w:rPr>
        <w:t>šablony</w:t>
      </w:r>
      <w:proofErr w:type="spellEnd"/>
      <w:r w:rsidR="009A27BD" w:rsidRPr="0077456D">
        <w:rPr>
          <w:b/>
        </w:rPr>
        <w:t xml:space="preserve"> WordPress a software, </w:t>
      </w:r>
      <w:proofErr w:type="spellStart"/>
      <w:r w:rsidR="009A27BD" w:rsidRPr="0077456D">
        <w:rPr>
          <w:b/>
        </w:rPr>
        <w:t>nákup</w:t>
      </w:r>
      <w:proofErr w:type="spellEnd"/>
      <w:r w:rsidR="009A27BD" w:rsidRPr="0077456D">
        <w:rPr>
          <w:b/>
        </w:rPr>
        <w:t xml:space="preserve"> </w:t>
      </w:r>
      <w:proofErr w:type="spellStart"/>
      <w:r w:rsidR="009A27BD" w:rsidRPr="0077456D">
        <w:rPr>
          <w:b/>
        </w:rPr>
        <w:t>grafických</w:t>
      </w:r>
      <w:proofErr w:type="spellEnd"/>
      <w:r w:rsidR="009A27BD" w:rsidRPr="0077456D">
        <w:rPr>
          <w:b/>
        </w:rPr>
        <w:t xml:space="preserve"> a AV </w:t>
      </w:r>
      <w:proofErr w:type="spellStart"/>
      <w:r w:rsidR="009A27BD" w:rsidRPr="0077456D">
        <w:rPr>
          <w:b/>
        </w:rPr>
        <w:t>služeb</w:t>
      </w:r>
      <w:proofErr w:type="spellEnd"/>
      <w:r w:rsidR="009A27BD" w:rsidRPr="0077456D">
        <w:rPr>
          <w:b/>
        </w:rPr>
        <w:t xml:space="preserve">“ do </w:t>
      </w:r>
      <w:proofErr w:type="spellStart"/>
      <w:r w:rsidR="009A27BD" w:rsidRPr="0077456D">
        <w:rPr>
          <w:b/>
        </w:rPr>
        <w:t>rozpočtu</w:t>
      </w:r>
      <w:proofErr w:type="spellEnd"/>
      <w:r w:rsidR="009A27BD" w:rsidRPr="0077456D">
        <w:rPr>
          <w:b/>
        </w:rPr>
        <w:t xml:space="preserve"> </w:t>
      </w:r>
      <w:proofErr w:type="spellStart"/>
      <w:r w:rsidR="009A27BD" w:rsidRPr="0077456D">
        <w:rPr>
          <w:b/>
        </w:rPr>
        <w:t>Iuridica</w:t>
      </w:r>
      <w:proofErr w:type="spellEnd"/>
      <w:r w:rsidR="009A27BD" w:rsidRPr="0077456D">
        <w:rPr>
          <w:b/>
        </w:rPr>
        <w:t xml:space="preserve"> </w:t>
      </w:r>
      <w:proofErr w:type="spellStart"/>
      <w:r w:rsidR="009A27BD" w:rsidRPr="0077456D">
        <w:rPr>
          <w:b/>
        </w:rPr>
        <w:t>Rem</w:t>
      </w:r>
      <w:r w:rsidR="009A27BD">
        <w:rPr>
          <w:b/>
        </w:rPr>
        <w:t>e</w:t>
      </w:r>
      <w:r w:rsidR="009A27BD" w:rsidRPr="0077456D">
        <w:rPr>
          <w:b/>
        </w:rPr>
        <w:t>dia</w:t>
      </w:r>
      <w:proofErr w:type="spellEnd"/>
      <w:r w:rsidR="009A27BD" w:rsidRPr="0077456D">
        <w:rPr>
          <w:b/>
        </w:rPr>
        <w:t xml:space="preserve"> do </w:t>
      </w:r>
      <w:proofErr w:type="spellStart"/>
      <w:r w:rsidR="009A27BD" w:rsidRPr="0077456D">
        <w:rPr>
          <w:b/>
        </w:rPr>
        <w:t>stejně</w:t>
      </w:r>
      <w:proofErr w:type="spellEnd"/>
      <w:r w:rsidR="009A27BD" w:rsidRPr="0077456D">
        <w:rPr>
          <w:b/>
        </w:rPr>
        <w:t xml:space="preserve"> </w:t>
      </w:r>
      <w:proofErr w:type="spellStart"/>
      <w:r w:rsidR="009A27BD" w:rsidRPr="0077456D">
        <w:rPr>
          <w:b/>
        </w:rPr>
        <w:t>pojmenované</w:t>
      </w:r>
      <w:proofErr w:type="spellEnd"/>
      <w:r w:rsidR="009A27BD" w:rsidRPr="0077456D">
        <w:rPr>
          <w:b/>
        </w:rPr>
        <w:t xml:space="preserve"> </w:t>
      </w:r>
      <w:proofErr w:type="spellStart"/>
      <w:r w:rsidR="009A27BD" w:rsidRPr="0077456D">
        <w:rPr>
          <w:b/>
        </w:rPr>
        <w:t>položky</w:t>
      </w:r>
      <w:proofErr w:type="spellEnd"/>
      <w:r w:rsidR="009A27BD" w:rsidRPr="0077456D">
        <w:rPr>
          <w:b/>
        </w:rPr>
        <w:t>.</w:t>
      </w:r>
    </w:p>
    <w:p w14:paraId="27E959DE" w14:textId="012A8911" w:rsidR="009A27BD" w:rsidRPr="00267A4A" w:rsidRDefault="009A27BD" w:rsidP="00D0293E">
      <w:pPr>
        <w:ind w:left="118"/>
        <w:jc w:val="both"/>
        <w:rPr>
          <w:bCs/>
        </w:rPr>
      </w:pPr>
      <w:r>
        <w:rPr>
          <w:b/>
        </w:rPr>
        <w:t>V </w:t>
      </w:r>
      <w:proofErr w:type="spellStart"/>
      <w:r>
        <w:rPr>
          <w:b/>
        </w:rPr>
        <w:t>rámci</w:t>
      </w:r>
      <w:proofErr w:type="spellEnd"/>
      <w:r>
        <w:rPr>
          <w:b/>
        </w:rPr>
        <w:t xml:space="preserve"> IS CEDR </w:t>
      </w:r>
      <w:proofErr w:type="spellStart"/>
      <w:r>
        <w:rPr>
          <w:b/>
        </w:rPr>
        <w:t>sloužícího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vykazování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poskytovateli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podpory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uvedený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náklad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hrazen</w:t>
      </w:r>
      <w:proofErr w:type="spellEnd"/>
      <w:r>
        <w:rPr>
          <w:b/>
        </w:rPr>
        <w:t xml:space="preserve"> z </w:t>
      </w:r>
      <w:proofErr w:type="spellStart"/>
      <w:r>
        <w:rPr>
          <w:b/>
        </w:rPr>
        <w:t>položky</w:t>
      </w:r>
      <w:proofErr w:type="spellEnd"/>
      <w:r>
        <w:rPr>
          <w:b/>
        </w:rPr>
        <w:t xml:space="preserve"> „</w:t>
      </w:r>
      <w:proofErr w:type="spellStart"/>
      <w:r w:rsidRPr="00914133">
        <w:rPr>
          <w:b/>
        </w:rPr>
        <w:t>nákup</w:t>
      </w:r>
      <w:proofErr w:type="spellEnd"/>
      <w:r w:rsidRPr="00914133">
        <w:rPr>
          <w:b/>
        </w:rPr>
        <w:t xml:space="preserve"> </w:t>
      </w:r>
      <w:proofErr w:type="spellStart"/>
      <w:r w:rsidRPr="00914133">
        <w:rPr>
          <w:b/>
        </w:rPr>
        <w:t>grafických</w:t>
      </w:r>
      <w:proofErr w:type="spellEnd"/>
      <w:r w:rsidRPr="00914133">
        <w:rPr>
          <w:b/>
        </w:rPr>
        <w:t xml:space="preserve"> a AV </w:t>
      </w:r>
      <w:proofErr w:type="spellStart"/>
      <w:proofErr w:type="gramStart"/>
      <w:r w:rsidRPr="00914133">
        <w:rPr>
          <w:b/>
        </w:rPr>
        <w:t>služeb</w:t>
      </w:r>
      <w:proofErr w:type="spellEnd"/>
      <w:r>
        <w:rPr>
          <w:b/>
        </w:rPr>
        <w:t>“</w:t>
      </w:r>
      <w:proofErr w:type="gramEnd"/>
      <w:r w:rsidR="00060788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které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lastRenderedPageBreak/>
        <w:t>alokována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částka</w:t>
      </w:r>
      <w:proofErr w:type="spellEnd"/>
      <w:r>
        <w:rPr>
          <w:b/>
        </w:rPr>
        <w:t xml:space="preserve"> 2.800,-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, plus do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položky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převedena</w:t>
      </w:r>
      <w:proofErr w:type="spellEnd"/>
      <w:r>
        <w:rPr>
          <w:b/>
        </w:rPr>
        <w:t xml:space="preserve"> </w:t>
      </w:r>
      <w:r w:rsidRPr="00914133">
        <w:rPr>
          <w:b/>
        </w:rPr>
        <w:t>4200,-</w:t>
      </w:r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 w:rsidRPr="00914133">
        <w:rPr>
          <w:b/>
        </w:rPr>
        <w:t xml:space="preserve"> z </w:t>
      </w:r>
      <w:proofErr w:type="spellStart"/>
      <w:r w:rsidRPr="00914133">
        <w:rPr>
          <w:b/>
        </w:rPr>
        <w:t>položky</w:t>
      </w:r>
      <w:proofErr w:type="spellEnd"/>
      <w:r w:rsidRPr="00914133">
        <w:rPr>
          <w:b/>
        </w:rPr>
        <w:t xml:space="preserve"> </w:t>
      </w:r>
      <w:r>
        <w:rPr>
          <w:b/>
        </w:rPr>
        <w:t>„</w:t>
      </w:r>
      <w:proofErr w:type="spellStart"/>
      <w:r w:rsidRPr="00914133">
        <w:rPr>
          <w:b/>
        </w:rPr>
        <w:t>nákup</w:t>
      </w:r>
      <w:proofErr w:type="spellEnd"/>
      <w:r w:rsidRPr="00914133">
        <w:rPr>
          <w:b/>
        </w:rPr>
        <w:t xml:space="preserve"> </w:t>
      </w:r>
      <w:proofErr w:type="spellStart"/>
      <w:r w:rsidRPr="00914133">
        <w:rPr>
          <w:b/>
        </w:rPr>
        <w:t>grafického</w:t>
      </w:r>
      <w:proofErr w:type="spellEnd"/>
      <w:r w:rsidRPr="00914133">
        <w:rPr>
          <w:b/>
        </w:rPr>
        <w:t xml:space="preserve"> software</w:t>
      </w:r>
      <w:r>
        <w:rPr>
          <w:b/>
        </w:rPr>
        <w:t xml:space="preserve">“ – </w:t>
      </w:r>
      <w:proofErr w:type="spellStart"/>
      <w:r>
        <w:rPr>
          <w:b/>
        </w:rPr>
        <w:t>položka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rozpočtu</w:t>
      </w:r>
      <w:proofErr w:type="spellEnd"/>
      <w:r>
        <w:rPr>
          <w:b/>
        </w:rPr>
        <w:t xml:space="preserve"> ÚSP.</w:t>
      </w:r>
    </w:p>
    <w:p w14:paraId="12029BBF" w14:textId="77777777" w:rsidR="009A27BD" w:rsidRDefault="009A27BD" w:rsidP="00D0293E">
      <w:pPr>
        <w:ind w:left="118"/>
        <w:jc w:val="both"/>
      </w:pPr>
    </w:p>
    <w:p w14:paraId="0B5F230A" w14:textId="091DBC2B" w:rsidR="00B55BE6" w:rsidRDefault="00B55BE6" w:rsidP="00D0293E">
      <w:pPr>
        <w:pStyle w:val="Odstavecseseznamem"/>
        <w:tabs>
          <w:tab w:val="left" w:pos="480"/>
        </w:tabs>
        <w:spacing w:line="225" w:lineRule="auto"/>
        <w:ind w:left="118" w:right="195" w:firstLine="0"/>
      </w:pPr>
    </w:p>
    <w:p w14:paraId="6D300082" w14:textId="464A126F" w:rsidR="00787FC7" w:rsidRPr="00044275" w:rsidRDefault="00B55BE6" w:rsidP="00D0293E">
      <w:pPr>
        <w:pStyle w:val="Odstavecseseznamem"/>
        <w:numPr>
          <w:ilvl w:val="0"/>
          <w:numId w:val="8"/>
        </w:numPr>
        <w:tabs>
          <w:tab w:val="left" w:pos="480"/>
        </w:tabs>
        <w:spacing w:line="225" w:lineRule="auto"/>
        <w:ind w:left="118" w:right="195" w:firstLine="0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práva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ÚSP, bez </w:t>
      </w:r>
      <w:proofErr w:type="spellStart"/>
      <w:r>
        <w:t>vlivu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práva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part</w:t>
      </w:r>
      <w:r w:rsidR="009A27BD">
        <w:t>ne</w:t>
      </w:r>
      <w:r>
        <w:t>rů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proto je </w:t>
      </w:r>
      <w:proofErr w:type="spellStart"/>
      <w:r>
        <w:t>uzavírán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dotčenými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035C367F" w14:textId="77777777" w:rsidR="00F20EE1" w:rsidRPr="00044275" w:rsidRDefault="00F20EE1" w:rsidP="00D0293E">
      <w:pPr>
        <w:pStyle w:val="Zkladntext"/>
        <w:ind w:left="118"/>
        <w:rPr>
          <w:sz w:val="26"/>
        </w:rPr>
      </w:pPr>
    </w:p>
    <w:p w14:paraId="03A36B13" w14:textId="77777777" w:rsidR="00F20EE1" w:rsidRPr="00044275" w:rsidRDefault="00F20EE1" w:rsidP="00D0293E">
      <w:pPr>
        <w:pStyle w:val="Zkladntext"/>
        <w:spacing w:before="10"/>
        <w:ind w:left="118"/>
        <w:rPr>
          <w:sz w:val="34"/>
        </w:rPr>
      </w:pPr>
    </w:p>
    <w:p w14:paraId="0F924F23" w14:textId="4228158A" w:rsidR="00B55BE6" w:rsidRPr="00044275" w:rsidRDefault="00060788" w:rsidP="00D0293E">
      <w:pPr>
        <w:pStyle w:val="Nadpis4"/>
        <w:ind w:left="118" w:right="164"/>
      </w:pPr>
      <w:proofErr w:type="spellStart"/>
      <w:r w:rsidRPr="00044275">
        <w:t>Článek</w:t>
      </w:r>
      <w:proofErr w:type="spellEnd"/>
      <w:r w:rsidRPr="00044275">
        <w:t xml:space="preserve"> 2 – </w:t>
      </w:r>
      <w:proofErr w:type="spellStart"/>
      <w:r w:rsidRPr="00044275">
        <w:t>P</w:t>
      </w:r>
      <w:r w:rsidR="00B55BE6" w:rsidRPr="00044275">
        <w:t>ředmět</w:t>
      </w:r>
      <w:proofErr w:type="spellEnd"/>
      <w:r w:rsidR="00B55BE6" w:rsidRPr="00044275">
        <w:t xml:space="preserve"> </w:t>
      </w:r>
      <w:proofErr w:type="spellStart"/>
      <w:r w:rsidR="00B55BE6" w:rsidRPr="00044275">
        <w:t>Dodatku</w:t>
      </w:r>
      <w:proofErr w:type="spellEnd"/>
      <w:r w:rsidR="00B55BE6" w:rsidRPr="00044275">
        <w:t xml:space="preserve"> </w:t>
      </w:r>
    </w:p>
    <w:p w14:paraId="16D6A527" w14:textId="77777777" w:rsidR="009A27BD" w:rsidRPr="00044275" w:rsidRDefault="009A27BD" w:rsidP="00D0293E">
      <w:pPr>
        <w:pStyle w:val="Nadpis4"/>
        <w:ind w:left="118" w:right="164"/>
      </w:pPr>
    </w:p>
    <w:p w14:paraId="2208054A" w14:textId="10B12F5C" w:rsidR="009A27BD" w:rsidRPr="00044275" w:rsidRDefault="009A27BD" w:rsidP="00D0293E">
      <w:pPr>
        <w:pStyle w:val="Odstavecseseznamem"/>
        <w:numPr>
          <w:ilvl w:val="0"/>
          <w:numId w:val="7"/>
        </w:numPr>
        <w:tabs>
          <w:tab w:val="left" w:pos="480"/>
        </w:tabs>
        <w:spacing w:before="1" w:line="225" w:lineRule="auto"/>
        <w:ind w:left="118" w:firstLine="0"/>
      </w:pPr>
      <w:proofErr w:type="spellStart"/>
      <w:r w:rsidRPr="00044275">
        <w:t>Čl</w:t>
      </w:r>
      <w:proofErr w:type="spellEnd"/>
      <w:r w:rsidRPr="00044275">
        <w:t xml:space="preserve"> 4 </w:t>
      </w:r>
      <w:proofErr w:type="spellStart"/>
      <w:r w:rsidRPr="00044275">
        <w:t>odst</w:t>
      </w:r>
      <w:proofErr w:type="spellEnd"/>
      <w:r w:rsidRPr="00044275">
        <w:t xml:space="preserve">. 2 </w:t>
      </w:r>
      <w:proofErr w:type="spellStart"/>
      <w:r w:rsidRPr="00044275">
        <w:t>Smlouvy</w:t>
      </w:r>
      <w:proofErr w:type="spellEnd"/>
      <w:r w:rsidRPr="00044275">
        <w:t xml:space="preserve"> </w:t>
      </w:r>
      <w:proofErr w:type="spellStart"/>
      <w:r w:rsidRPr="00044275">
        <w:t>nově</w:t>
      </w:r>
      <w:proofErr w:type="spellEnd"/>
      <w:r w:rsidRPr="00044275">
        <w:t xml:space="preserve"> </w:t>
      </w:r>
      <w:proofErr w:type="spellStart"/>
      <w:r w:rsidRPr="00044275">
        <w:t>zní</w:t>
      </w:r>
      <w:proofErr w:type="spellEnd"/>
      <w:r w:rsidRPr="00044275">
        <w:t xml:space="preserve">: </w:t>
      </w:r>
    </w:p>
    <w:p w14:paraId="3F3F9B5C" w14:textId="25A3F8E0" w:rsidR="009A27BD" w:rsidRPr="00044275" w:rsidRDefault="009A27BD" w:rsidP="00D0293E">
      <w:pPr>
        <w:widowControl/>
        <w:adjustRightInd w:val="0"/>
        <w:ind w:left="118"/>
        <w:rPr>
          <w:rFonts w:eastAsiaTheme="minorHAnsi" w:cs="TrebuchetMS"/>
          <w:lang w:val="cs-CZ"/>
        </w:rPr>
      </w:pPr>
      <w:r w:rsidRPr="00044275">
        <w:t>“V</w:t>
      </w:r>
      <w:proofErr w:type="spellStart"/>
      <w:r w:rsidRPr="00044275">
        <w:rPr>
          <w:rFonts w:eastAsiaTheme="minorHAnsi" w:cs="TrebuchetMS"/>
          <w:lang w:val="cs-CZ"/>
        </w:rPr>
        <w:t>ýdaje</w:t>
      </w:r>
      <w:proofErr w:type="spellEnd"/>
      <w:r w:rsidRPr="00044275">
        <w:rPr>
          <w:rFonts w:eastAsiaTheme="minorHAnsi" w:cs="TrebuchetMS"/>
          <w:lang w:val="cs-CZ"/>
        </w:rPr>
        <w:t xml:space="preserve"> na činnosti, jimiž se Partner podílí na Projektu, jsou podrobně rozepsány</w:t>
      </w:r>
    </w:p>
    <w:p w14:paraId="0637E082" w14:textId="77777777" w:rsidR="009A27BD" w:rsidRPr="00044275" w:rsidRDefault="009A27BD" w:rsidP="00D0293E">
      <w:pPr>
        <w:widowControl/>
        <w:adjustRightInd w:val="0"/>
        <w:ind w:left="118"/>
        <w:rPr>
          <w:rFonts w:eastAsiaTheme="minorHAnsi" w:cs="TrebuchetMS"/>
          <w:lang w:val="cs-CZ"/>
        </w:rPr>
      </w:pPr>
      <w:r w:rsidRPr="00044275">
        <w:rPr>
          <w:rFonts w:eastAsiaTheme="minorHAnsi" w:cs="TrebuchetMS"/>
          <w:lang w:val="cs-CZ"/>
        </w:rPr>
        <w:t>v rozpočtu každého Partnera, který je přílohou č. 3 této Smlouvy. Celkové výdaje</w:t>
      </w:r>
    </w:p>
    <w:p w14:paraId="28AC84AA" w14:textId="77777777" w:rsidR="009A27BD" w:rsidRPr="00044275" w:rsidRDefault="009A27BD" w:rsidP="00D0293E">
      <w:pPr>
        <w:widowControl/>
        <w:adjustRightInd w:val="0"/>
        <w:ind w:left="118"/>
        <w:rPr>
          <w:rFonts w:eastAsiaTheme="minorHAnsi" w:cs="TrebuchetMS"/>
          <w:lang w:val="cs-CZ"/>
        </w:rPr>
      </w:pPr>
      <w:r w:rsidRPr="00044275">
        <w:rPr>
          <w:rFonts w:eastAsiaTheme="minorHAnsi" w:cs="TrebuchetMS"/>
          <w:lang w:val="cs-CZ"/>
        </w:rPr>
        <w:t>Partnerů související s jejich zapojením v projektu činí</w:t>
      </w:r>
    </w:p>
    <w:p w14:paraId="7D6A3264" w14:textId="77777777" w:rsidR="009A27BD" w:rsidRPr="00044275" w:rsidRDefault="009A27BD" w:rsidP="00D0293E">
      <w:pPr>
        <w:widowControl/>
        <w:adjustRightInd w:val="0"/>
        <w:ind w:left="118"/>
        <w:rPr>
          <w:rFonts w:eastAsiaTheme="minorHAnsi" w:cs="TrebuchetMS"/>
          <w:lang w:val="cs-CZ"/>
        </w:rPr>
      </w:pPr>
      <w:r w:rsidRPr="00044275">
        <w:rPr>
          <w:rFonts w:eastAsiaTheme="minorHAnsi" w:cs="TrebuchetMS"/>
          <w:lang w:val="cs-CZ"/>
        </w:rPr>
        <w:t>1 899 634 Kč u FSV;</w:t>
      </w:r>
    </w:p>
    <w:p w14:paraId="6E1C0EDA" w14:textId="77777777" w:rsidR="009A27BD" w:rsidRPr="00044275" w:rsidRDefault="009A27BD" w:rsidP="00D0293E">
      <w:pPr>
        <w:widowControl/>
        <w:adjustRightInd w:val="0"/>
        <w:ind w:left="118"/>
        <w:rPr>
          <w:rFonts w:eastAsiaTheme="minorHAnsi" w:cs="TrebuchetMS"/>
          <w:lang w:val="cs-CZ"/>
        </w:rPr>
      </w:pPr>
      <w:r w:rsidRPr="00044275">
        <w:rPr>
          <w:rFonts w:eastAsiaTheme="minorHAnsi" w:cs="TrebuchetMS"/>
          <w:lang w:val="cs-CZ"/>
        </w:rPr>
        <w:t>1 065 870 Kč u PCMS;</w:t>
      </w:r>
    </w:p>
    <w:p w14:paraId="60012577" w14:textId="3B28F2AF" w:rsidR="009A27BD" w:rsidRPr="00044275" w:rsidRDefault="009A27BD" w:rsidP="00D0293E">
      <w:pPr>
        <w:tabs>
          <w:tab w:val="left" w:pos="480"/>
        </w:tabs>
        <w:spacing w:before="1" w:line="225" w:lineRule="auto"/>
        <w:ind w:left="118"/>
        <w:rPr>
          <w:rFonts w:eastAsiaTheme="minorHAnsi" w:cs="TrebuchetMS"/>
          <w:lang w:val="cs-CZ"/>
        </w:rPr>
      </w:pPr>
      <w:r w:rsidRPr="00044275">
        <w:rPr>
          <w:rFonts w:eastAsiaTheme="minorHAnsi" w:cs="TrebuchetMS"/>
          <w:b/>
          <w:bCs/>
          <w:lang w:val="cs-CZ"/>
        </w:rPr>
        <w:t>5</w:t>
      </w:r>
      <w:r w:rsidR="000B7F11" w:rsidRPr="00044275">
        <w:rPr>
          <w:rFonts w:eastAsiaTheme="minorHAnsi" w:cs="TrebuchetMS"/>
          <w:b/>
          <w:bCs/>
          <w:lang w:val="cs-CZ"/>
        </w:rPr>
        <w:t>26 129,39</w:t>
      </w:r>
      <w:r w:rsidRPr="00044275">
        <w:rPr>
          <w:rFonts w:eastAsiaTheme="minorHAnsi" w:cs="TrebuchetMS"/>
          <w:lang w:val="cs-CZ"/>
        </w:rPr>
        <w:t xml:space="preserve"> Kč u ÚSP</w:t>
      </w:r>
      <w:r w:rsidR="000B7F11" w:rsidRPr="00044275">
        <w:rPr>
          <w:rFonts w:eastAsiaTheme="minorHAnsi" w:cs="TrebuchetMS"/>
          <w:lang w:val="cs-CZ"/>
        </w:rPr>
        <w:t>.</w:t>
      </w:r>
    </w:p>
    <w:p w14:paraId="02DF06F1" w14:textId="77777777" w:rsidR="000B7F11" w:rsidRPr="00044275" w:rsidRDefault="000B7F11" w:rsidP="00D0293E">
      <w:pPr>
        <w:tabs>
          <w:tab w:val="left" w:pos="480"/>
        </w:tabs>
        <w:spacing w:before="1" w:line="225" w:lineRule="auto"/>
        <w:ind w:left="118"/>
        <w:rPr>
          <w:rFonts w:eastAsiaTheme="minorHAnsi" w:cs="TrebuchetMS"/>
          <w:lang w:val="cs-CZ"/>
        </w:rPr>
      </w:pPr>
    </w:p>
    <w:p w14:paraId="181F0A21" w14:textId="77777777" w:rsidR="000B7F11" w:rsidRPr="00044275" w:rsidRDefault="000B7F11" w:rsidP="00D0293E">
      <w:pPr>
        <w:widowControl/>
        <w:adjustRightInd w:val="0"/>
        <w:ind w:left="118"/>
        <w:rPr>
          <w:rFonts w:eastAsiaTheme="minorHAnsi" w:cs="TrebuchetMS"/>
          <w:lang w:val="cs-CZ"/>
        </w:rPr>
      </w:pPr>
      <w:r w:rsidRPr="00044275">
        <w:rPr>
          <w:rFonts w:eastAsiaTheme="minorHAnsi" w:cs="TrebuchetMS"/>
          <w:lang w:val="cs-CZ"/>
        </w:rPr>
        <w:t>Nepřímé výdaje každého Partnera jsou stanoveny metodou paušálního podílu nejvíce</w:t>
      </w:r>
    </w:p>
    <w:p w14:paraId="79D43F98" w14:textId="77777777" w:rsidR="000B7F11" w:rsidRPr="00044275" w:rsidRDefault="000B7F11" w:rsidP="00D0293E">
      <w:pPr>
        <w:widowControl/>
        <w:adjustRightInd w:val="0"/>
        <w:ind w:left="118"/>
        <w:rPr>
          <w:rFonts w:eastAsiaTheme="minorHAnsi" w:cs="TrebuchetMS"/>
          <w:lang w:val="cs-CZ"/>
        </w:rPr>
      </w:pPr>
      <w:proofErr w:type="gramStart"/>
      <w:r w:rsidRPr="00044275">
        <w:rPr>
          <w:rFonts w:eastAsiaTheme="minorHAnsi" w:cs="TrebuchetMS"/>
          <w:lang w:val="cs-CZ"/>
        </w:rPr>
        <w:t>15%</w:t>
      </w:r>
      <w:proofErr w:type="gramEnd"/>
      <w:r w:rsidRPr="00044275">
        <w:rPr>
          <w:rFonts w:eastAsiaTheme="minorHAnsi" w:cs="TrebuchetMS"/>
          <w:lang w:val="cs-CZ"/>
        </w:rPr>
        <w:t xml:space="preserve"> přímých způsobilých nákladů na zaměstnance dle Kap. 3.2 písm. c) Pokynu pro ZV a</w:t>
      </w:r>
    </w:p>
    <w:p w14:paraId="1A8AE18D" w14:textId="2C000FDF" w:rsidR="000B7F11" w:rsidRDefault="000B7F11" w:rsidP="00D0293E">
      <w:pPr>
        <w:tabs>
          <w:tab w:val="left" w:pos="480"/>
        </w:tabs>
        <w:spacing w:before="1" w:line="225" w:lineRule="auto"/>
        <w:ind w:left="118"/>
        <w:rPr>
          <w:rFonts w:eastAsiaTheme="minorHAnsi" w:cs="TrebuchetMS"/>
          <w:lang w:val="cs-CZ"/>
        </w:rPr>
      </w:pPr>
      <w:r w:rsidRPr="00044275">
        <w:rPr>
          <w:rFonts w:eastAsiaTheme="minorHAnsi" w:cs="TrebuchetMS"/>
          <w:lang w:val="cs-CZ"/>
        </w:rPr>
        <w:t>nesmí zahrnovat žádné přímé výdaje.</w:t>
      </w:r>
      <w:r w:rsidR="00044275">
        <w:rPr>
          <w:rFonts w:eastAsiaTheme="minorHAnsi" w:cs="TrebuchetMS"/>
          <w:lang w:val="cs-CZ"/>
        </w:rPr>
        <w:t>“</w:t>
      </w:r>
    </w:p>
    <w:p w14:paraId="6F04F1C6" w14:textId="77777777" w:rsidR="00044275" w:rsidRDefault="00044275" w:rsidP="00D0293E">
      <w:pPr>
        <w:tabs>
          <w:tab w:val="left" w:pos="480"/>
        </w:tabs>
        <w:spacing w:before="1" w:line="225" w:lineRule="auto"/>
        <w:ind w:left="118"/>
        <w:rPr>
          <w:rFonts w:eastAsiaTheme="minorHAnsi" w:cs="TrebuchetMS"/>
          <w:lang w:val="cs-CZ"/>
        </w:rPr>
      </w:pPr>
    </w:p>
    <w:p w14:paraId="54185629" w14:textId="77777777" w:rsidR="00044275" w:rsidRPr="00044275" w:rsidRDefault="00044275" w:rsidP="00D0293E">
      <w:pPr>
        <w:tabs>
          <w:tab w:val="left" w:pos="480"/>
        </w:tabs>
        <w:spacing w:before="1" w:line="225" w:lineRule="auto"/>
        <w:ind w:left="118"/>
        <w:rPr>
          <w:rFonts w:eastAsiaTheme="minorHAnsi" w:cs="TrebuchetMS"/>
          <w:lang w:val="cs-CZ"/>
        </w:rPr>
      </w:pPr>
    </w:p>
    <w:p w14:paraId="44AE35D7" w14:textId="0514AE2A" w:rsidR="00044275" w:rsidRPr="00044275" w:rsidRDefault="00044275" w:rsidP="00D0293E">
      <w:pPr>
        <w:pStyle w:val="Odstavecseseznamem"/>
        <w:numPr>
          <w:ilvl w:val="0"/>
          <w:numId w:val="7"/>
        </w:numPr>
        <w:tabs>
          <w:tab w:val="left" w:pos="480"/>
        </w:tabs>
        <w:spacing w:before="1" w:line="225" w:lineRule="auto"/>
        <w:ind w:left="118" w:firstLine="0"/>
      </w:pPr>
      <w:proofErr w:type="spellStart"/>
      <w:r w:rsidRPr="00044275">
        <w:t>Položkový</w:t>
      </w:r>
      <w:proofErr w:type="spellEnd"/>
      <w:r w:rsidRPr="00044275">
        <w:t xml:space="preserve"> </w:t>
      </w:r>
      <w:proofErr w:type="spellStart"/>
      <w:r w:rsidRPr="00044275">
        <w:t>rozpočet</w:t>
      </w:r>
      <w:proofErr w:type="spellEnd"/>
      <w:r w:rsidRPr="00044275">
        <w:t xml:space="preserve"> v </w:t>
      </w:r>
      <w:proofErr w:type="spellStart"/>
      <w:r w:rsidRPr="00044275">
        <w:t>Příloze</w:t>
      </w:r>
      <w:proofErr w:type="spellEnd"/>
      <w:r w:rsidRPr="00044275">
        <w:t xml:space="preserve"> č.3 </w:t>
      </w:r>
      <w:proofErr w:type="spellStart"/>
      <w:r w:rsidRPr="00044275">
        <w:t>Smlouvy</w:t>
      </w:r>
      <w:proofErr w:type="spellEnd"/>
      <w:r w:rsidRPr="00044275">
        <w:t xml:space="preserve"> pro ÚSP a </w:t>
      </w:r>
      <w:proofErr w:type="spellStart"/>
      <w:r w:rsidRPr="00044275">
        <w:t>Příjemce</w:t>
      </w:r>
      <w:proofErr w:type="spellEnd"/>
      <w:r w:rsidRPr="00044275">
        <w:t xml:space="preserve"> </w:t>
      </w:r>
      <w:proofErr w:type="spellStart"/>
      <w:r w:rsidRPr="00044275">
        <w:t>nově</w:t>
      </w:r>
      <w:proofErr w:type="spellEnd"/>
      <w:r w:rsidRPr="00044275">
        <w:t xml:space="preserve"> </w:t>
      </w:r>
      <w:proofErr w:type="spellStart"/>
      <w:r w:rsidRPr="00044275">
        <w:t>zní</w:t>
      </w:r>
      <w:proofErr w:type="spellEnd"/>
      <w:r w:rsidRPr="00044275">
        <w:t xml:space="preserve"> (bez </w:t>
      </w:r>
      <w:proofErr w:type="spellStart"/>
      <w:r w:rsidRPr="00044275">
        <w:t>zohlednění</w:t>
      </w:r>
      <w:proofErr w:type="spellEnd"/>
      <w:r w:rsidRPr="00044275">
        <w:t xml:space="preserve"> </w:t>
      </w:r>
      <w:proofErr w:type="spellStart"/>
      <w:r w:rsidRPr="00044275">
        <w:t>schválených</w:t>
      </w:r>
      <w:proofErr w:type="spellEnd"/>
      <w:r w:rsidRPr="00044275">
        <w:t xml:space="preserve"> a </w:t>
      </w:r>
      <w:proofErr w:type="spellStart"/>
      <w:r w:rsidRPr="00044275">
        <w:t>plánovaných</w:t>
      </w:r>
      <w:proofErr w:type="spellEnd"/>
      <w:r w:rsidRPr="00044275">
        <w:t xml:space="preserve"> </w:t>
      </w:r>
      <w:proofErr w:type="spellStart"/>
      <w:r w:rsidRPr="00044275">
        <w:t>ostatních</w:t>
      </w:r>
      <w:proofErr w:type="spellEnd"/>
      <w:r w:rsidRPr="00044275">
        <w:t xml:space="preserve"> </w:t>
      </w:r>
      <w:proofErr w:type="spellStart"/>
      <w:r w:rsidRPr="00044275">
        <w:t>změn</w:t>
      </w:r>
      <w:proofErr w:type="spellEnd"/>
      <w:r w:rsidRPr="00044275">
        <w:t xml:space="preserve"> </w:t>
      </w:r>
      <w:proofErr w:type="spellStart"/>
      <w:r w:rsidRPr="00044275">
        <w:t>mezi</w:t>
      </w:r>
      <w:proofErr w:type="spellEnd"/>
      <w:r w:rsidRPr="00044275">
        <w:t xml:space="preserve"> </w:t>
      </w:r>
      <w:proofErr w:type="spellStart"/>
      <w:r w:rsidRPr="00044275">
        <w:t>položkami</w:t>
      </w:r>
      <w:proofErr w:type="spellEnd"/>
      <w:r w:rsidRPr="00044275">
        <w:t xml:space="preserve"> v </w:t>
      </w:r>
      <w:proofErr w:type="spellStart"/>
      <w:r w:rsidRPr="00044275">
        <w:t>průběhu</w:t>
      </w:r>
      <w:proofErr w:type="spellEnd"/>
      <w:r w:rsidRPr="00044275">
        <w:t xml:space="preserve"> </w:t>
      </w:r>
      <w:proofErr w:type="spellStart"/>
      <w:r w:rsidRPr="00044275">
        <w:t>projektu</w:t>
      </w:r>
      <w:proofErr w:type="spellEnd"/>
      <w:r w:rsidRPr="00044275">
        <w:t xml:space="preserve"> </w:t>
      </w:r>
      <w:proofErr w:type="spellStart"/>
      <w:r w:rsidRPr="00044275">
        <w:t>řídících</w:t>
      </w:r>
      <w:proofErr w:type="spellEnd"/>
      <w:r w:rsidRPr="00044275">
        <w:t xml:space="preserve"> se </w:t>
      </w:r>
      <w:proofErr w:type="spellStart"/>
      <w:r w:rsidRPr="00044275">
        <w:t>procesy</w:t>
      </w:r>
      <w:proofErr w:type="spellEnd"/>
      <w:r w:rsidRPr="00044275">
        <w:t xml:space="preserve"> </w:t>
      </w:r>
      <w:proofErr w:type="spellStart"/>
      <w:r w:rsidRPr="00044275">
        <w:t>popsanými</w:t>
      </w:r>
      <w:proofErr w:type="spellEnd"/>
      <w:r w:rsidRPr="00044275">
        <w:t xml:space="preserve"> v </w:t>
      </w:r>
      <w:proofErr w:type="spellStart"/>
      <w:r w:rsidRPr="00044275">
        <w:t>jiné</w:t>
      </w:r>
      <w:proofErr w:type="spellEnd"/>
      <w:r w:rsidRPr="00044275">
        <w:t xml:space="preserve"> </w:t>
      </w:r>
      <w:proofErr w:type="spellStart"/>
      <w:r w:rsidRPr="00044275">
        <w:t>části</w:t>
      </w:r>
      <w:proofErr w:type="spellEnd"/>
      <w:r w:rsidRPr="00044275">
        <w:t xml:space="preserve"> </w:t>
      </w:r>
      <w:proofErr w:type="spellStart"/>
      <w:r w:rsidRPr="00044275">
        <w:t>Smlouvy</w:t>
      </w:r>
      <w:proofErr w:type="spellEnd"/>
      <w:r w:rsidRPr="00044275">
        <w:t>):</w:t>
      </w:r>
    </w:p>
    <w:p w14:paraId="6BD7E27A" w14:textId="77777777" w:rsidR="00044275" w:rsidRPr="00044275" w:rsidRDefault="00044275" w:rsidP="00D0293E">
      <w:pPr>
        <w:tabs>
          <w:tab w:val="left" w:pos="480"/>
        </w:tabs>
        <w:spacing w:before="1" w:line="225" w:lineRule="auto"/>
        <w:ind w:left="118"/>
        <w:rPr>
          <w:rFonts w:eastAsiaTheme="minorHAnsi" w:cs="TrebuchetMS"/>
          <w:lang w:val="cs-CZ"/>
        </w:rPr>
      </w:pPr>
    </w:p>
    <w:tbl>
      <w:tblPr>
        <w:tblpPr w:leftFromText="141" w:rightFromText="141" w:vertAnchor="text" w:horzAnchor="margin" w:tblpXSpec="center" w:tblpY="125"/>
        <w:tblW w:w="10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3396"/>
        <w:gridCol w:w="1173"/>
        <w:gridCol w:w="1796"/>
      </w:tblGrid>
      <w:tr w:rsidR="00044275" w:rsidRPr="00044275" w14:paraId="3E82A503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FF8080" w:fill="ED7D31"/>
            <w:noWrap/>
            <w:vAlign w:val="bottom"/>
            <w:hideMark/>
          </w:tcPr>
          <w:p w14:paraId="4EA287D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BALÍK </w:t>
            </w:r>
            <w:proofErr w:type="spellStart"/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>IuRe</w:t>
            </w:r>
            <w:proofErr w:type="spellEnd"/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FF8080" w:fill="ED7D31"/>
            <w:noWrap/>
            <w:vAlign w:val="bottom"/>
            <w:hideMark/>
          </w:tcPr>
          <w:p w14:paraId="4C42D771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8080" w:fill="ED7D31"/>
            <w:noWrap/>
            <w:vAlign w:val="bottom"/>
            <w:hideMark/>
          </w:tcPr>
          <w:p w14:paraId="3B4FDFB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8080" w:fill="ED7D31"/>
            <w:noWrap/>
            <w:vAlign w:val="bottom"/>
            <w:hideMark/>
          </w:tcPr>
          <w:p w14:paraId="02457ABF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5DE795AA" w14:textId="77777777" w:rsidTr="00044275">
        <w:trPr>
          <w:trHeight w:val="288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43B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Průřezové osobní náklady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122E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49E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D4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66BCF66D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786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Management: Administrátor projektu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CA9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2/3 úvazek po 25 měsíců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66D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04EF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691 300</w:t>
            </w:r>
          </w:p>
        </w:tc>
      </w:tr>
      <w:tr w:rsidR="00044275" w:rsidRPr="00044275" w14:paraId="66E23C14" w14:textId="77777777" w:rsidTr="00044275">
        <w:trPr>
          <w:trHeight w:val="552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96E0" w14:textId="44A3C687" w:rsidR="00044275" w:rsidRPr="00044275" w:rsidRDefault="00CC3D0A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             </w:t>
            </w:r>
            <w:r w:rsidR="00044275"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odborný garant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70E8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22,2 hodin měsíčně/</w:t>
            </w: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br/>
              <w:t>700Kč/hodina/25měsíců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45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17B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389 900</w:t>
            </w:r>
          </w:p>
        </w:tc>
      </w:tr>
      <w:tr w:rsidR="00044275" w:rsidRPr="00044275" w14:paraId="6CA3CBD8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7C7A6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Publicita: PR manažer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2F2D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5000/měsíc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BCDA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FA9A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108 900</w:t>
            </w:r>
          </w:p>
        </w:tc>
      </w:tr>
      <w:tr w:rsidR="00044275" w:rsidRPr="00044275" w14:paraId="2106824E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EDE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režijní výdaje managementu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1F29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30A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9D19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103 695</w:t>
            </w:r>
          </w:p>
        </w:tc>
      </w:tr>
      <w:tr w:rsidR="00044275" w:rsidRPr="00044275" w14:paraId="65C31038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A2FD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režijní výdaje z kap. služby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67450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07F0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B16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74 810</w:t>
            </w:r>
          </w:p>
        </w:tc>
      </w:tr>
      <w:tr w:rsidR="00044275" w:rsidRPr="00044275" w14:paraId="181CD3AF" w14:textId="77777777" w:rsidTr="00044275">
        <w:trPr>
          <w:trHeight w:val="300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D66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materiální, osobní N a subdodávky na jednotlivé aktivity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87D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5A95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359E9105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93FA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Publicita: </w:t>
            </w:r>
            <w:proofErr w:type="gram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Web</w:t>
            </w:r>
            <w:proofErr w:type="gram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projektu (</w:t>
            </w: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microsite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) CZ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886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5000/rok -&gt; 417/měsíc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A30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PCMS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F7A6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10 500</w:t>
            </w:r>
          </w:p>
        </w:tc>
      </w:tr>
      <w:tr w:rsidR="00044275" w:rsidRPr="00044275" w14:paraId="17D4CD75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E0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Publicita: </w:t>
            </w: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Roll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-up (s QR odkazem na web)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740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F8C1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CA2B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5 000</w:t>
            </w:r>
          </w:p>
        </w:tc>
      </w:tr>
      <w:tr w:rsidR="00044275" w:rsidRPr="00044275" w14:paraId="48AA7B09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277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Publicita: </w:t>
            </w:r>
            <w:proofErr w:type="gram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Web</w:t>
            </w:r>
            <w:proofErr w:type="gram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projektu (</w:t>
            </w: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microsite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) - překlad do AJ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3B9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5000,- Kč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694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100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05F280D0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E089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Výzkum 1: Překlad výstupů do AJ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C08F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Služby: </w:t>
            </w:r>
            <w:proofErr w:type="gram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Překladatel  -</w:t>
            </w:r>
            <w:proofErr w:type="gram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30 str. - 400 </w:t>
            </w: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kč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/NS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12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1E3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5A81451A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5C0B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Konference 2: Překlad výstupů do AJ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D97B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cca 20NS x 400,-Kč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021A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5EAF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14264064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36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Konference 1: Překlad výstupů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5136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cca 20NS x 400,-Kč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7550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38BB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4A370D8D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9BB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Příručka: Překlad do AJ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16C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Materiální: překlad cca 40NS za 400Kč/NS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09C9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40C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2AE218C1" w14:textId="77777777" w:rsidTr="00044275">
        <w:trPr>
          <w:trHeight w:val="82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C5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Cyklus videí: Překlad do AJ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88CF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Překlad pracovních materiálů, max. 30 normostran (400 </w:t>
            </w: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kč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/NS); </w:t>
            </w: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br/>
              <w:t>titulky 10 NS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2B3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B0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3CF37B86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7C7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překlad celkem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DE7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4FA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0D4F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65 000,00</w:t>
            </w:r>
          </w:p>
        </w:tc>
      </w:tr>
      <w:tr w:rsidR="00044275" w:rsidRPr="00044275" w14:paraId="31E0BB4F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85C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Publicita: propagace v médiích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91F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4BF6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E6EB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2 500,00</w:t>
            </w:r>
          </w:p>
        </w:tc>
      </w:tr>
      <w:tr w:rsidR="00044275" w:rsidRPr="00044275" w14:paraId="06FCB2A7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9BF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Kolaborativní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software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903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D779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1F91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9 000,00</w:t>
            </w:r>
          </w:p>
        </w:tc>
      </w:tr>
      <w:tr w:rsidR="00044275" w:rsidRPr="00044275" w14:paraId="5EE3D450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7441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lastRenderedPageBreak/>
              <w:t>Monitoring médií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B54E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6D6A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73EA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30 000,00</w:t>
            </w:r>
          </w:p>
        </w:tc>
      </w:tr>
      <w:tr w:rsidR="00044275" w:rsidRPr="00044275" w14:paraId="7F012FDC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E803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razítko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AAF6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A1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D99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1 240,00</w:t>
            </w:r>
          </w:p>
        </w:tc>
      </w:tr>
      <w:tr w:rsidR="00044275" w:rsidRPr="00044275" w14:paraId="6A34B828" w14:textId="77777777" w:rsidTr="00044275">
        <w:trPr>
          <w:trHeight w:val="288"/>
        </w:trPr>
        <w:tc>
          <w:tcPr>
            <w:tcW w:w="74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FD7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Cyklus videí: Grafická a IT produkce kurzu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73E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0D9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6 561,71</w:t>
            </w:r>
          </w:p>
        </w:tc>
      </w:tr>
      <w:tr w:rsidR="00044275" w:rsidRPr="00044275" w14:paraId="2B6A1454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C0A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IT podpora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21E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ECBD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E175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10 725,00</w:t>
            </w:r>
          </w:p>
        </w:tc>
      </w:tr>
      <w:tr w:rsidR="00044275" w:rsidRPr="00044275" w14:paraId="10B72E3B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B7A7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propagační předměty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4530B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8A8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24C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34 240,00</w:t>
            </w:r>
          </w:p>
        </w:tc>
      </w:tr>
      <w:tr w:rsidR="00044275" w:rsidRPr="00044275" w14:paraId="68AE9206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5E75412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IuRe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celkem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53509BED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567AC67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proofErr w:type="gramStart"/>
            <w:r w:rsidRPr="000442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cs-CZ" w:eastAsia="cs-CZ"/>
              </w:rPr>
              <w:t>pův.celkem</w:t>
            </w:r>
            <w:proofErr w:type="spellEnd"/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3F1D78C2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1 536 810,00</w:t>
            </w:r>
          </w:p>
        </w:tc>
      </w:tr>
      <w:tr w:rsidR="00044275" w:rsidRPr="00044275" w14:paraId="313FD242" w14:textId="77777777" w:rsidTr="00044275">
        <w:trPr>
          <w:trHeight w:val="288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0C24F16F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004EEF7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6F456E49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nově </w:t>
            </w: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celk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55A4E05A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1 543 371,71</w:t>
            </w:r>
          </w:p>
        </w:tc>
      </w:tr>
    </w:tbl>
    <w:p w14:paraId="5E9F1D99" w14:textId="77777777" w:rsidR="009A27BD" w:rsidRPr="00044275" w:rsidRDefault="009A27BD" w:rsidP="00D0293E">
      <w:pPr>
        <w:tabs>
          <w:tab w:val="left" w:pos="480"/>
        </w:tabs>
        <w:spacing w:before="1" w:line="225" w:lineRule="auto"/>
        <w:ind w:left="118"/>
        <w:rPr>
          <w:rFonts w:eastAsiaTheme="minorHAnsi" w:cs="TrebuchetMS"/>
          <w:lang w:val="cs-CZ"/>
        </w:rPr>
      </w:pPr>
    </w:p>
    <w:p w14:paraId="63E232D0" w14:textId="77777777" w:rsidR="00610E1C" w:rsidRDefault="00610E1C" w:rsidP="00D0293E">
      <w:pPr>
        <w:tabs>
          <w:tab w:val="left" w:pos="480"/>
        </w:tabs>
        <w:spacing w:before="1" w:line="225" w:lineRule="auto"/>
        <w:ind w:left="118"/>
      </w:pPr>
    </w:p>
    <w:tbl>
      <w:tblPr>
        <w:tblW w:w="11039" w:type="dxa"/>
        <w:tblInd w:w="-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4"/>
        <w:gridCol w:w="3934"/>
        <w:gridCol w:w="1375"/>
        <w:gridCol w:w="1796"/>
      </w:tblGrid>
      <w:tr w:rsidR="00044275" w:rsidRPr="00044275" w14:paraId="7E46FFA5" w14:textId="77777777" w:rsidTr="00044275">
        <w:trPr>
          <w:trHeight w:val="28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FF8080" w:fill="ED7D31"/>
            <w:noWrap/>
            <w:vAlign w:val="bottom"/>
            <w:hideMark/>
          </w:tcPr>
          <w:p w14:paraId="7192476A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>BALÍK ÚSP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FF8080" w:fill="ED7D31"/>
            <w:noWrap/>
            <w:vAlign w:val="bottom"/>
            <w:hideMark/>
          </w:tcPr>
          <w:p w14:paraId="13CA982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FF8080" w:fill="ED7D31"/>
            <w:noWrap/>
            <w:vAlign w:val="bottom"/>
            <w:hideMark/>
          </w:tcPr>
          <w:p w14:paraId="5E3B161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8080" w:fill="ED7D31"/>
            <w:noWrap/>
            <w:vAlign w:val="bottom"/>
            <w:hideMark/>
          </w:tcPr>
          <w:p w14:paraId="1BCC0E2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33E6BB09" w14:textId="77777777" w:rsidTr="00044275">
        <w:trPr>
          <w:trHeight w:val="288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03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průřezové osobní náklady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00CF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F571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CDA4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03C6873D" w14:textId="77777777" w:rsidTr="00044275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136C" w14:textId="5EA21F33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FF73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0,25 úvazek po 25 měsíců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EE4A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ÚSP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E67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356 475,00</w:t>
            </w:r>
          </w:p>
        </w:tc>
      </w:tr>
      <w:tr w:rsidR="00044275" w:rsidRPr="00044275" w14:paraId="11B7F7AE" w14:textId="77777777" w:rsidTr="00044275">
        <w:trPr>
          <w:trHeight w:val="288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EDF56" w14:textId="3BB39E50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 xml:space="preserve">nepřímé náklady </w:t>
            </w:r>
            <w:proofErr w:type="gramStart"/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(</w:t>
            </w:r>
            <w:r w:rsidR="00CC3D0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 xml:space="preserve">  </w:t>
            </w:r>
            <w:proofErr w:type="gramEnd"/>
            <w:r w:rsidR="00CC3D0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 xml:space="preserve">           </w:t>
            </w:r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jako odborný garant i grafické a IT práce)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ADE93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ÚSP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2D1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63 970,00</w:t>
            </w:r>
          </w:p>
        </w:tc>
      </w:tr>
      <w:tr w:rsidR="00044275" w:rsidRPr="00044275" w14:paraId="3E44B658" w14:textId="77777777" w:rsidTr="00044275">
        <w:trPr>
          <w:trHeight w:val="300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9A30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materiální, osobní N a subdodávky na konkrétní aktivity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045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24E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44275" w:rsidRPr="00044275" w14:paraId="5C950727" w14:textId="77777777" w:rsidTr="00044275">
        <w:trPr>
          <w:trHeight w:val="552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191F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Cyklus videí: Grafická a IT produkce kurzu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49B38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DPP grafika 20.000</w:t>
            </w: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br/>
              <w:t>DPP IT podpora 50.000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8EFC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ÚSP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12A5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63 428,39</w:t>
            </w:r>
          </w:p>
        </w:tc>
      </w:tr>
      <w:tr w:rsidR="00044275" w:rsidRPr="00044275" w14:paraId="2C2C7346" w14:textId="77777777" w:rsidTr="00044275">
        <w:trPr>
          <w:trHeight w:val="288"/>
        </w:trPr>
        <w:tc>
          <w:tcPr>
            <w:tcW w:w="9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3A6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Publicita: nákup grafických materiálů (grafika, fonty), šablony </w:t>
            </w:r>
            <w:proofErr w:type="spellStart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WordPress</w:t>
            </w:r>
            <w:proofErr w:type="spellEnd"/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a software, nákup grafických a AV služeb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ABED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42 256,00</w:t>
            </w:r>
          </w:p>
        </w:tc>
      </w:tr>
      <w:tr w:rsidR="00044275" w:rsidRPr="00044275" w14:paraId="4DE42843" w14:textId="77777777" w:rsidTr="00044275">
        <w:trPr>
          <w:trHeight w:val="28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404F058B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>USP celkem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3294796B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0502C222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  <w:t xml:space="preserve">původní </w:t>
            </w:r>
            <w:proofErr w:type="spellStart"/>
            <w:r w:rsidRPr="00044275"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  <w:t>celk</w:t>
            </w:r>
            <w:proofErr w:type="spellEnd"/>
            <w:r w:rsidRPr="00044275">
              <w:rPr>
                <w:rFonts w:ascii="Calibri" w:eastAsia="Times New Roman" w:hAnsi="Calibri" w:cs="Calibri"/>
                <w:i/>
                <w:iCs/>
                <w:color w:val="000000"/>
                <w:lang w:val="cs-CZ" w:eastAsia="cs-CZ"/>
              </w:rPr>
              <w:t>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FF9900" w:fill="FFC000"/>
            <w:noWrap/>
            <w:vAlign w:val="bottom"/>
            <w:hideMark/>
          </w:tcPr>
          <w:p w14:paraId="55DE5809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532 701,00</w:t>
            </w:r>
          </w:p>
        </w:tc>
      </w:tr>
      <w:tr w:rsidR="00044275" w:rsidRPr="00044275" w14:paraId="331A7F8F" w14:textId="77777777" w:rsidTr="00044275">
        <w:trPr>
          <w:trHeight w:val="28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67C2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5A03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0B70" w14:textId="77777777" w:rsidR="00044275" w:rsidRPr="00044275" w:rsidRDefault="00044275" w:rsidP="00D0293E">
            <w:pPr>
              <w:widowControl/>
              <w:autoSpaceDE/>
              <w:autoSpaceDN/>
              <w:ind w:left="11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nově </w:t>
            </w:r>
            <w:proofErr w:type="spellStart"/>
            <w:r w:rsidRPr="000442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celk</w:t>
            </w:r>
            <w:proofErr w:type="spellEnd"/>
            <w:r w:rsidRPr="000442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C8A" w14:textId="77777777" w:rsidR="00044275" w:rsidRPr="00044275" w:rsidRDefault="00044275" w:rsidP="00D0293E">
            <w:pPr>
              <w:widowControl/>
              <w:autoSpaceDE/>
              <w:autoSpaceDN/>
              <w:ind w:left="118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442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526 129,39</w:t>
            </w:r>
          </w:p>
        </w:tc>
      </w:tr>
    </w:tbl>
    <w:p w14:paraId="5794CC3A" w14:textId="77777777" w:rsidR="00610E1C" w:rsidRPr="00044275" w:rsidRDefault="00610E1C" w:rsidP="00D0293E">
      <w:pPr>
        <w:tabs>
          <w:tab w:val="left" w:pos="480"/>
        </w:tabs>
        <w:spacing w:before="1" w:line="225" w:lineRule="auto"/>
        <w:ind w:left="118"/>
        <w:rPr>
          <w:b/>
          <w:bCs/>
        </w:rPr>
      </w:pPr>
    </w:p>
    <w:p w14:paraId="4A36DADF" w14:textId="77777777" w:rsidR="00267A4A" w:rsidRDefault="00267A4A" w:rsidP="00D0293E">
      <w:pPr>
        <w:pStyle w:val="Odstavecseseznamem"/>
        <w:tabs>
          <w:tab w:val="left" w:pos="480"/>
        </w:tabs>
        <w:spacing w:before="1" w:line="225" w:lineRule="auto"/>
        <w:ind w:left="118" w:firstLine="0"/>
      </w:pPr>
    </w:p>
    <w:p w14:paraId="5643312B" w14:textId="6525F272" w:rsidR="00F20EE1" w:rsidRDefault="00B55BE6" w:rsidP="00D0293E">
      <w:pPr>
        <w:pStyle w:val="Odstavecseseznamem"/>
        <w:numPr>
          <w:ilvl w:val="0"/>
          <w:numId w:val="7"/>
        </w:numPr>
        <w:tabs>
          <w:tab w:val="left" w:pos="480"/>
        </w:tabs>
        <w:spacing w:before="1" w:line="225" w:lineRule="auto"/>
        <w:ind w:left="118" w:firstLine="0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partnerství</w:t>
      </w:r>
      <w:proofErr w:type="spellEnd"/>
      <w:r>
        <w:t xml:space="preserve"> se </w:t>
      </w:r>
      <w:proofErr w:type="spellStart"/>
      <w:r>
        <w:t>nemění</w:t>
      </w:r>
      <w:proofErr w:type="spellEnd"/>
      <w:r>
        <w:t>.</w:t>
      </w:r>
    </w:p>
    <w:p w14:paraId="6AC21CA7" w14:textId="77777777" w:rsidR="00F20EE1" w:rsidRDefault="00F20EE1" w:rsidP="00D0293E">
      <w:pPr>
        <w:pStyle w:val="Zkladntext"/>
        <w:spacing w:before="7"/>
        <w:ind w:left="118"/>
        <w:rPr>
          <w:sz w:val="20"/>
        </w:rPr>
      </w:pPr>
    </w:p>
    <w:p w14:paraId="4BD6AC1B" w14:textId="77777777" w:rsidR="00F20EE1" w:rsidRDefault="00F20EE1" w:rsidP="00D0293E">
      <w:pPr>
        <w:spacing w:line="225" w:lineRule="auto"/>
        <w:ind w:left="118"/>
        <w:jc w:val="both"/>
      </w:pPr>
    </w:p>
    <w:p w14:paraId="51CC8C93" w14:textId="77777777" w:rsidR="00267A4A" w:rsidRDefault="00267A4A" w:rsidP="00D0293E">
      <w:pPr>
        <w:spacing w:line="225" w:lineRule="auto"/>
        <w:ind w:left="118"/>
        <w:jc w:val="both"/>
      </w:pPr>
    </w:p>
    <w:p w14:paraId="78A48DC6" w14:textId="1C7DBB7F" w:rsidR="00267A4A" w:rsidRDefault="00267A4A" w:rsidP="00D0293E">
      <w:pPr>
        <w:pStyle w:val="Nadpis4"/>
        <w:ind w:left="118"/>
      </w:pPr>
      <w:proofErr w:type="spellStart"/>
      <w:r>
        <w:t>Článek</w:t>
      </w:r>
      <w:proofErr w:type="spellEnd"/>
      <w:r>
        <w:t xml:space="preserve"> </w:t>
      </w:r>
      <w:proofErr w:type="gramStart"/>
      <w:r>
        <w:t>3  -</w:t>
      </w:r>
      <w:proofErr w:type="gramEnd"/>
      <w:r>
        <w:t xml:space="preserve">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3893ED72" w14:textId="77777777" w:rsidR="00267A4A" w:rsidRPr="00044275" w:rsidRDefault="00267A4A" w:rsidP="00D0293E">
      <w:pPr>
        <w:spacing w:line="225" w:lineRule="auto"/>
        <w:ind w:left="118"/>
        <w:rPr>
          <w:sz w:val="24"/>
          <w:szCs w:val="24"/>
        </w:rPr>
      </w:pPr>
    </w:p>
    <w:p w14:paraId="59E22A8E" w14:textId="77777777" w:rsidR="00267A4A" w:rsidRPr="00044275" w:rsidRDefault="00267A4A" w:rsidP="00D0293E">
      <w:pPr>
        <w:spacing w:line="225" w:lineRule="auto"/>
        <w:ind w:left="118"/>
        <w:rPr>
          <w:sz w:val="24"/>
          <w:szCs w:val="24"/>
        </w:rPr>
      </w:pPr>
    </w:p>
    <w:p w14:paraId="6306FF7C" w14:textId="4233EDAD" w:rsidR="00267A4A" w:rsidRPr="00044275" w:rsidRDefault="00267A4A" w:rsidP="00D0293E">
      <w:pPr>
        <w:pStyle w:val="Odstavecseseznamem"/>
        <w:numPr>
          <w:ilvl w:val="2"/>
          <w:numId w:val="7"/>
        </w:numPr>
        <w:spacing w:line="225" w:lineRule="auto"/>
        <w:ind w:left="118" w:firstLine="0"/>
        <w:rPr>
          <w:sz w:val="24"/>
          <w:szCs w:val="24"/>
        </w:rPr>
      </w:pPr>
      <w:proofErr w:type="spellStart"/>
      <w:r w:rsidRPr="00044275">
        <w:rPr>
          <w:sz w:val="24"/>
          <w:szCs w:val="24"/>
        </w:rPr>
        <w:t>Tento</w:t>
      </w:r>
      <w:proofErr w:type="spellEnd"/>
      <w:r w:rsidRPr="00044275">
        <w:rPr>
          <w:sz w:val="24"/>
          <w:szCs w:val="24"/>
        </w:rPr>
        <w:t xml:space="preserve"> </w:t>
      </w:r>
      <w:proofErr w:type="spellStart"/>
      <w:r w:rsidRPr="00044275">
        <w:rPr>
          <w:sz w:val="24"/>
          <w:szCs w:val="24"/>
        </w:rPr>
        <w:t>dodatek</w:t>
      </w:r>
      <w:proofErr w:type="spellEnd"/>
      <w:r w:rsidRP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narovnává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vztahy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stran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ve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stavu</w:t>
      </w:r>
      <w:proofErr w:type="spellEnd"/>
      <w:r w:rsidR="00044275">
        <w:rPr>
          <w:sz w:val="24"/>
          <w:szCs w:val="24"/>
        </w:rPr>
        <w:t xml:space="preserve"> </w:t>
      </w:r>
      <w:r w:rsidRPr="00044275">
        <w:rPr>
          <w:sz w:val="24"/>
          <w:szCs w:val="24"/>
        </w:rPr>
        <w:t>k 31.1.2024</w:t>
      </w:r>
      <w:r w:rsidR="00743117">
        <w:rPr>
          <w:sz w:val="24"/>
          <w:szCs w:val="24"/>
        </w:rPr>
        <w:t xml:space="preserve">, </w:t>
      </w:r>
      <w:proofErr w:type="spellStart"/>
      <w:r w:rsidR="00743117">
        <w:rPr>
          <w:sz w:val="24"/>
          <w:szCs w:val="24"/>
        </w:rPr>
        <w:t>tedy</w:t>
      </w:r>
      <w:proofErr w:type="spellEnd"/>
      <w:r w:rsidR="00743117">
        <w:rPr>
          <w:sz w:val="24"/>
          <w:szCs w:val="24"/>
        </w:rPr>
        <w:t xml:space="preserve"> </w:t>
      </w:r>
      <w:proofErr w:type="spellStart"/>
      <w:r w:rsidR="00743117">
        <w:rPr>
          <w:sz w:val="24"/>
          <w:szCs w:val="24"/>
        </w:rPr>
        <w:t>Příjemce</w:t>
      </w:r>
      <w:proofErr w:type="spellEnd"/>
      <w:r w:rsidR="00743117">
        <w:rPr>
          <w:sz w:val="24"/>
          <w:szCs w:val="24"/>
        </w:rPr>
        <w:t xml:space="preserve"> </w:t>
      </w:r>
      <w:proofErr w:type="spellStart"/>
      <w:r w:rsidR="00743117">
        <w:rPr>
          <w:sz w:val="24"/>
          <w:szCs w:val="24"/>
        </w:rPr>
        <w:t>přebírá</w:t>
      </w:r>
      <w:proofErr w:type="spellEnd"/>
      <w:r w:rsidR="00743117">
        <w:rPr>
          <w:sz w:val="24"/>
          <w:szCs w:val="24"/>
        </w:rPr>
        <w:t xml:space="preserve"> </w:t>
      </w:r>
      <w:proofErr w:type="spellStart"/>
      <w:r w:rsidR="00743117">
        <w:rPr>
          <w:sz w:val="24"/>
          <w:szCs w:val="24"/>
        </w:rPr>
        <w:t>závazek</w:t>
      </w:r>
      <w:proofErr w:type="spellEnd"/>
      <w:r w:rsidR="00743117">
        <w:rPr>
          <w:sz w:val="24"/>
          <w:szCs w:val="24"/>
        </w:rPr>
        <w:t xml:space="preserve"> ÚSP </w:t>
      </w:r>
      <w:proofErr w:type="spellStart"/>
      <w:r w:rsidR="00743117">
        <w:rPr>
          <w:sz w:val="24"/>
          <w:szCs w:val="24"/>
        </w:rPr>
        <w:t>vůči</w:t>
      </w:r>
      <w:proofErr w:type="spellEnd"/>
      <w:r w:rsidR="00743117">
        <w:rPr>
          <w:sz w:val="24"/>
          <w:szCs w:val="24"/>
        </w:rPr>
        <w:t xml:space="preserve"> </w:t>
      </w:r>
      <w:proofErr w:type="spellStart"/>
      <w:r w:rsidR="00743117">
        <w:rPr>
          <w:sz w:val="24"/>
          <w:szCs w:val="24"/>
        </w:rPr>
        <w:t>norskému</w:t>
      </w:r>
      <w:proofErr w:type="spellEnd"/>
      <w:r w:rsidR="00743117">
        <w:rPr>
          <w:sz w:val="24"/>
          <w:szCs w:val="24"/>
        </w:rPr>
        <w:t xml:space="preserve"> </w:t>
      </w:r>
      <w:proofErr w:type="spellStart"/>
      <w:r w:rsidR="00743117">
        <w:rPr>
          <w:sz w:val="24"/>
          <w:szCs w:val="24"/>
        </w:rPr>
        <w:t>partnerovi</w:t>
      </w:r>
      <w:proofErr w:type="spellEnd"/>
      <w:r w:rsidR="00743117">
        <w:rPr>
          <w:sz w:val="24"/>
          <w:szCs w:val="24"/>
        </w:rPr>
        <w:t xml:space="preserve"> EFN </w:t>
      </w:r>
      <w:proofErr w:type="spellStart"/>
      <w:r w:rsidR="00743117">
        <w:rPr>
          <w:sz w:val="24"/>
          <w:szCs w:val="24"/>
        </w:rPr>
        <w:t>ke</w:t>
      </w:r>
      <w:proofErr w:type="spellEnd"/>
      <w:r w:rsidR="00743117">
        <w:rPr>
          <w:sz w:val="24"/>
          <w:szCs w:val="24"/>
        </w:rPr>
        <w:t xml:space="preserve"> </w:t>
      </w:r>
      <w:proofErr w:type="spellStart"/>
      <w:r w:rsidR="00743117">
        <w:rPr>
          <w:sz w:val="24"/>
          <w:szCs w:val="24"/>
        </w:rPr>
        <w:t>dni</w:t>
      </w:r>
      <w:proofErr w:type="spellEnd"/>
      <w:r w:rsidR="00743117">
        <w:rPr>
          <w:sz w:val="24"/>
          <w:szCs w:val="24"/>
        </w:rPr>
        <w:t xml:space="preserve"> 31.1.2024</w:t>
      </w:r>
      <w:r w:rsidR="00044275">
        <w:rPr>
          <w:sz w:val="24"/>
          <w:szCs w:val="24"/>
        </w:rPr>
        <w:t xml:space="preserve"> a </w:t>
      </w:r>
      <w:proofErr w:type="spellStart"/>
      <w:r w:rsidR="00044275">
        <w:rPr>
          <w:sz w:val="24"/>
          <w:szCs w:val="24"/>
        </w:rPr>
        <w:t>strany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potvrzují</w:t>
      </w:r>
      <w:proofErr w:type="spellEnd"/>
      <w:r w:rsidR="00044275">
        <w:rPr>
          <w:sz w:val="24"/>
          <w:szCs w:val="24"/>
        </w:rPr>
        <w:t xml:space="preserve">, </w:t>
      </w:r>
      <w:proofErr w:type="spellStart"/>
      <w:r w:rsidR="00044275">
        <w:rPr>
          <w:sz w:val="24"/>
          <w:szCs w:val="24"/>
        </w:rPr>
        <w:t>že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ke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dni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účinnosti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tohoto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Dodatku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jsou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finanční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závazky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vůči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norskému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partnerovi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Projektu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Příjemcem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kompletně</w:t>
      </w:r>
      <w:proofErr w:type="spellEnd"/>
      <w:r w:rsidR="00044275">
        <w:rPr>
          <w:sz w:val="24"/>
          <w:szCs w:val="24"/>
        </w:rPr>
        <w:t xml:space="preserve"> </w:t>
      </w:r>
      <w:proofErr w:type="spellStart"/>
      <w:r w:rsidR="00044275">
        <w:rPr>
          <w:sz w:val="24"/>
          <w:szCs w:val="24"/>
        </w:rPr>
        <w:t>vyrovnány</w:t>
      </w:r>
      <w:proofErr w:type="spellEnd"/>
      <w:r w:rsidR="00044275">
        <w:rPr>
          <w:sz w:val="24"/>
          <w:szCs w:val="24"/>
        </w:rPr>
        <w:t xml:space="preserve">. </w:t>
      </w:r>
    </w:p>
    <w:p w14:paraId="1EA2B85F" w14:textId="77777777" w:rsidR="00267A4A" w:rsidRPr="00044275" w:rsidRDefault="00267A4A" w:rsidP="00D0293E">
      <w:pPr>
        <w:spacing w:line="225" w:lineRule="auto"/>
        <w:ind w:left="118"/>
        <w:rPr>
          <w:sz w:val="24"/>
          <w:szCs w:val="24"/>
        </w:rPr>
      </w:pPr>
    </w:p>
    <w:p w14:paraId="6FBBD0C8" w14:textId="77777777" w:rsidR="00267A4A" w:rsidRPr="00044275" w:rsidRDefault="00267A4A" w:rsidP="00D0293E">
      <w:pPr>
        <w:spacing w:line="225" w:lineRule="auto"/>
        <w:ind w:left="118"/>
        <w:rPr>
          <w:sz w:val="24"/>
          <w:szCs w:val="24"/>
        </w:rPr>
      </w:pPr>
    </w:p>
    <w:p w14:paraId="5E8D0707" w14:textId="1F48CFC8" w:rsidR="00267A4A" w:rsidRPr="00743117" w:rsidRDefault="00267A4A" w:rsidP="00D0293E">
      <w:pPr>
        <w:pStyle w:val="Odstavecseseznamem"/>
        <w:widowControl/>
        <w:numPr>
          <w:ilvl w:val="2"/>
          <w:numId w:val="7"/>
        </w:numPr>
        <w:adjustRightInd w:val="0"/>
        <w:ind w:left="118" w:firstLine="0"/>
        <w:rPr>
          <w:sz w:val="24"/>
          <w:szCs w:val="24"/>
        </w:rPr>
      </w:pPr>
      <w:r w:rsidRPr="00044275">
        <w:rPr>
          <w:rFonts w:eastAsiaTheme="minorHAnsi" w:cs="TrebuchetMS"/>
          <w:sz w:val="24"/>
          <w:szCs w:val="24"/>
          <w:lang w:val="cs-CZ"/>
        </w:rPr>
        <w:t xml:space="preserve">ÚSP dodatek v souladu se zákonem o registru smluv uveřejní v registru smluv a o této skutečnosti bez zbytečného odkladu </w:t>
      </w:r>
      <w:proofErr w:type="gramStart"/>
      <w:r w:rsidRPr="00044275">
        <w:rPr>
          <w:rFonts w:eastAsiaTheme="minorHAnsi" w:cs="TrebuchetMS"/>
          <w:sz w:val="24"/>
          <w:szCs w:val="24"/>
          <w:lang w:val="cs-CZ"/>
        </w:rPr>
        <w:t>informuje  P</w:t>
      </w:r>
      <w:r w:rsidR="00743117">
        <w:rPr>
          <w:rFonts w:eastAsiaTheme="minorHAnsi" w:cs="TrebuchetMS"/>
          <w:sz w:val="24"/>
          <w:szCs w:val="24"/>
          <w:lang w:val="cs-CZ"/>
        </w:rPr>
        <w:t>říjemce</w:t>
      </w:r>
      <w:proofErr w:type="gramEnd"/>
      <w:r w:rsidRPr="00044275">
        <w:rPr>
          <w:rFonts w:eastAsiaTheme="minorHAnsi" w:cs="TrebuchetMS"/>
          <w:sz w:val="24"/>
          <w:szCs w:val="24"/>
          <w:lang w:val="cs-CZ"/>
        </w:rPr>
        <w:t>.</w:t>
      </w:r>
    </w:p>
    <w:p w14:paraId="15A418A6" w14:textId="77777777" w:rsidR="00743117" w:rsidRDefault="00743117" w:rsidP="00D0293E">
      <w:pPr>
        <w:widowControl/>
        <w:adjustRightInd w:val="0"/>
        <w:ind w:left="118"/>
        <w:rPr>
          <w:sz w:val="24"/>
          <w:szCs w:val="24"/>
        </w:rPr>
      </w:pPr>
    </w:p>
    <w:p w14:paraId="15660679" w14:textId="77777777" w:rsidR="00743117" w:rsidRDefault="00743117" w:rsidP="00D0293E">
      <w:pPr>
        <w:widowControl/>
        <w:adjustRightInd w:val="0"/>
        <w:ind w:left="118"/>
        <w:rPr>
          <w:sz w:val="24"/>
          <w:szCs w:val="24"/>
        </w:rPr>
      </w:pPr>
    </w:p>
    <w:p w14:paraId="24BF10BF" w14:textId="77777777" w:rsidR="00743117" w:rsidRDefault="00743117" w:rsidP="00D0293E">
      <w:pPr>
        <w:widowControl/>
        <w:adjustRightInd w:val="0"/>
        <w:ind w:left="118"/>
        <w:rPr>
          <w:sz w:val="24"/>
          <w:szCs w:val="24"/>
        </w:rPr>
      </w:pPr>
    </w:p>
    <w:p w14:paraId="753B9DED" w14:textId="662F57F2" w:rsidR="00743117" w:rsidRDefault="00743117" w:rsidP="00D0293E">
      <w:pPr>
        <w:widowControl/>
        <w:adjustRightInd w:val="0"/>
        <w:ind w:left="118"/>
        <w:rPr>
          <w:sz w:val="24"/>
          <w:szCs w:val="24"/>
        </w:rPr>
      </w:pPr>
      <w:r>
        <w:rPr>
          <w:sz w:val="24"/>
          <w:szCs w:val="24"/>
        </w:rPr>
        <w:t xml:space="preserve">Za ÚSP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proofErr w:type="spellStart"/>
      <w:r>
        <w:rPr>
          <w:sz w:val="24"/>
          <w:szCs w:val="24"/>
        </w:rPr>
        <w:t>Příjemce</w:t>
      </w:r>
      <w:proofErr w:type="spellEnd"/>
    </w:p>
    <w:p w14:paraId="5E5C4E48" w14:textId="77777777" w:rsidR="00743117" w:rsidRDefault="00743117" w:rsidP="00D0293E">
      <w:pPr>
        <w:widowControl/>
        <w:adjustRightInd w:val="0"/>
        <w:ind w:left="118"/>
        <w:rPr>
          <w:sz w:val="24"/>
          <w:szCs w:val="24"/>
        </w:rPr>
      </w:pPr>
    </w:p>
    <w:p w14:paraId="6765CB21" w14:textId="77777777" w:rsidR="00743117" w:rsidRDefault="00743117" w:rsidP="00D0293E">
      <w:pPr>
        <w:widowControl/>
        <w:adjustRightInd w:val="0"/>
        <w:ind w:left="118"/>
        <w:rPr>
          <w:sz w:val="24"/>
          <w:szCs w:val="24"/>
        </w:rPr>
      </w:pPr>
    </w:p>
    <w:p w14:paraId="6156E441" w14:textId="77777777" w:rsidR="00743117" w:rsidRDefault="00743117" w:rsidP="00D0293E">
      <w:pPr>
        <w:widowControl/>
        <w:adjustRightInd w:val="0"/>
        <w:ind w:left="118"/>
        <w:rPr>
          <w:sz w:val="24"/>
          <w:szCs w:val="24"/>
        </w:rPr>
      </w:pPr>
    </w:p>
    <w:p w14:paraId="7C6111C6" w14:textId="7AD08B8A" w:rsidR="00743117" w:rsidRPr="00743117" w:rsidRDefault="00743117" w:rsidP="00D0293E">
      <w:pPr>
        <w:widowControl/>
        <w:adjustRightInd w:val="0"/>
        <w:ind w:left="118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59CDF86A" w14:textId="77777777" w:rsidR="00743117" w:rsidRDefault="00743117" w:rsidP="00D0293E">
      <w:pPr>
        <w:widowControl/>
        <w:adjustRightInd w:val="0"/>
        <w:ind w:left="118"/>
        <w:rPr>
          <w:sz w:val="24"/>
          <w:szCs w:val="24"/>
        </w:rPr>
      </w:pPr>
    </w:p>
    <w:p w14:paraId="5F9D8D30" w14:textId="42F26EFD" w:rsidR="00F20EE1" w:rsidRDefault="00F20EE1" w:rsidP="00D0293E">
      <w:pPr>
        <w:pStyle w:val="Zkladntext"/>
        <w:spacing w:before="11"/>
        <w:ind w:left="118"/>
        <w:rPr>
          <w:sz w:val="24"/>
          <w:szCs w:val="24"/>
        </w:rPr>
      </w:pPr>
    </w:p>
    <w:p w14:paraId="6998BDA5" w14:textId="23B045B3" w:rsidR="00CC3D0A" w:rsidRDefault="00CC3D0A" w:rsidP="00D0293E">
      <w:pPr>
        <w:pStyle w:val="Zkladntext"/>
        <w:spacing w:before="11"/>
        <w:ind w:left="118"/>
        <w:rPr>
          <w:sz w:val="24"/>
          <w:szCs w:val="24"/>
        </w:rPr>
      </w:pPr>
    </w:p>
    <w:p w14:paraId="3C6EA6F0" w14:textId="7C0726E4" w:rsidR="00CC3D0A" w:rsidRDefault="00CC3D0A" w:rsidP="00D0293E">
      <w:pPr>
        <w:pStyle w:val="Zkladntext"/>
        <w:spacing w:before="11"/>
        <w:ind w:left="118"/>
        <w:rPr>
          <w:sz w:val="24"/>
          <w:szCs w:val="24"/>
        </w:rPr>
      </w:pPr>
    </w:p>
    <w:p w14:paraId="396BF3A3" w14:textId="7D6E82F6" w:rsidR="00CC3D0A" w:rsidRDefault="00CC3D0A" w:rsidP="00D0293E">
      <w:pPr>
        <w:pStyle w:val="Zkladntext"/>
        <w:spacing w:before="11"/>
        <w:ind w:left="118"/>
        <w:rPr>
          <w:sz w:val="24"/>
          <w:szCs w:val="24"/>
        </w:rPr>
      </w:pPr>
    </w:p>
    <w:p w14:paraId="13A313E7" w14:textId="77777777" w:rsidR="00CC3D0A" w:rsidRPr="00044275" w:rsidRDefault="00CC3D0A" w:rsidP="00D0293E">
      <w:pPr>
        <w:pStyle w:val="Zkladntext"/>
        <w:spacing w:before="11"/>
        <w:ind w:left="118"/>
        <w:rPr>
          <w:sz w:val="24"/>
          <w:szCs w:val="24"/>
        </w:rPr>
      </w:pPr>
      <w:bookmarkStart w:id="0" w:name="_GoBack"/>
      <w:bookmarkEnd w:id="0"/>
    </w:p>
    <w:sectPr w:rsidR="00CC3D0A" w:rsidRPr="00044275" w:rsidSect="001034F3">
      <w:footerReference w:type="default" r:id="rId8"/>
      <w:pgSz w:w="11900" w:h="16840"/>
      <w:pgMar w:top="1480" w:right="1300" w:bottom="1260" w:left="1300" w:header="0" w:footer="10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CA89E" w14:textId="77777777" w:rsidR="00212773" w:rsidRDefault="00212773">
      <w:r>
        <w:separator/>
      </w:r>
    </w:p>
  </w:endnote>
  <w:endnote w:type="continuationSeparator" w:id="0">
    <w:p w14:paraId="5A0EC9CB" w14:textId="77777777" w:rsidR="00212773" w:rsidRDefault="0021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8F7" w14:textId="2CD63D21" w:rsidR="00F20EE1" w:rsidRDefault="00E7160B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2234D4" wp14:editId="7CB452B7">
              <wp:simplePos x="0" y="0"/>
              <wp:positionH relativeFrom="page">
                <wp:posOffset>3695700</wp:posOffset>
              </wp:positionH>
              <wp:positionV relativeFrom="page">
                <wp:posOffset>9871710</wp:posOffset>
              </wp:positionV>
              <wp:extent cx="152400" cy="194310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F42D3" w14:textId="1C8EC1A1" w:rsidR="00F20EE1" w:rsidRDefault="0006078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40CF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23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pt;margin-top:777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CG2WcfgAAAADQEAAA8A&#10;AAAAAAAAAAAAAAAABgUAAGRycy9kb3ducmV2LnhtbFBLBQYAAAAABAAEAPMAAAATBgAAAAA=&#10;" filled="f" stroked="f">
              <v:textbox inset="0,0,0,0">
                <w:txbxContent>
                  <w:p w14:paraId="1A7F42D3" w14:textId="1C8EC1A1" w:rsidR="00F20EE1" w:rsidRDefault="0006078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40CF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45038" w14:textId="77777777" w:rsidR="00212773" w:rsidRDefault="00212773">
      <w:r>
        <w:separator/>
      </w:r>
    </w:p>
  </w:footnote>
  <w:footnote w:type="continuationSeparator" w:id="0">
    <w:p w14:paraId="549BFCC7" w14:textId="77777777" w:rsidR="00212773" w:rsidRDefault="0021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6A9"/>
    <w:multiLevelType w:val="hybridMultilevel"/>
    <w:tmpl w:val="993AC57C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spacing w:val="-27"/>
        <w:w w:val="100"/>
      </w:rPr>
    </w:lvl>
    <w:lvl w:ilvl="1" w:tplc="FFFFFFFF">
      <w:start w:val="1"/>
      <w:numFmt w:val="lowerLetter"/>
      <w:lvlText w:val="%2)"/>
      <w:lvlJc w:val="left"/>
      <w:pPr>
        <w:ind w:left="802" w:hanging="263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FFFFFFFF">
      <w:start w:val="1"/>
      <w:numFmt w:val="decimal"/>
      <w:lvlText w:val="%3."/>
      <w:lvlJc w:val="left"/>
      <w:pPr>
        <w:ind w:left="1260" w:hanging="300"/>
      </w:pPr>
      <w:rPr>
        <w:rFonts w:ascii="Trebuchet MS" w:eastAsia="Trebuchet MS" w:hAnsi="Trebuchet MS" w:cs="Trebuchet MS" w:hint="default"/>
        <w:spacing w:val="-32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1260" w:hanging="300"/>
      </w:pPr>
      <w:rPr>
        <w:rFonts w:hint="default"/>
      </w:rPr>
    </w:lvl>
    <w:lvl w:ilvl="4" w:tplc="FFFFFFFF">
      <w:numFmt w:val="bullet"/>
      <w:lvlText w:val="•"/>
      <w:lvlJc w:val="left"/>
      <w:pPr>
        <w:ind w:left="2408" w:hanging="300"/>
      </w:pPr>
      <w:rPr>
        <w:rFonts w:hint="default"/>
      </w:rPr>
    </w:lvl>
    <w:lvl w:ilvl="5" w:tplc="FFFFFFFF">
      <w:numFmt w:val="bullet"/>
      <w:lvlText w:val="•"/>
      <w:lvlJc w:val="left"/>
      <w:pPr>
        <w:ind w:left="3557" w:hanging="300"/>
      </w:pPr>
      <w:rPr>
        <w:rFonts w:hint="default"/>
      </w:rPr>
    </w:lvl>
    <w:lvl w:ilvl="6" w:tplc="FFFFFFFF">
      <w:numFmt w:val="bullet"/>
      <w:lvlText w:val="•"/>
      <w:lvlJc w:val="left"/>
      <w:pPr>
        <w:ind w:left="4705" w:hanging="300"/>
      </w:pPr>
      <w:rPr>
        <w:rFonts w:hint="default"/>
      </w:rPr>
    </w:lvl>
    <w:lvl w:ilvl="7" w:tplc="FFFFFFFF">
      <w:numFmt w:val="bullet"/>
      <w:lvlText w:val="•"/>
      <w:lvlJc w:val="left"/>
      <w:pPr>
        <w:ind w:left="5854" w:hanging="300"/>
      </w:pPr>
      <w:rPr>
        <w:rFonts w:hint="default"/>
      </w:rPr>
    </w:lvl>
    <w:lvl w:ilvl="8" w:tplc="FFFFFFFF">
      <w:numFmt w:val="bullet"/>
      <w:lvlText w:val="•"/>
      <w:lvlJc w:val="left"/>
      <w:pPr>
        <w:ind w:left="7002" w:hanging="300"/>
      </w:pPr>
      <w:rPr>
        <w:rFonts w:hint="default"/>
      </w:rPr>
    </w:lvl>
  </w:abstractNum>
  <w:abstractNum w:abstractNumId="1" w15:restartNumberingAfterBreak="0">
    <w:nsid w:val="1676574A"/>
    <w:multiLevelType w:val="hybridMultilevel"/>
    <w:tmpl w:val="0C78A9F0"/>
    <w:lvl w:ilvl="0" w:tplc="0D34CD26">
      <w:start w:val="1"/>
      <w:numFmt w:val="decimal"/>
      <w:lvlText w:val="%1."/>
      <w:lvlJc w:val="left"/>
      <w:pPr>
        <w:ind w:left="480" w:hanging="360"/>
      </w:pPr>
      <w:rPr>
        <w:rFonts w:ascii="Trebuchet MS" w:eastAsia="Trebuchet MS" w:hAnsi="Trebuchet MS" w:cs="Trebuchet MS" w:hint="default"/>
        <w:spacing w:val="-11"/>
        <w:w w:val="100"/>
        <w:sz w:val="22"/>
        <w:szCs w:val="22"/>
      </w:rPr>
    </w:lvl>
    <w:lvl w:ilvl="1" w:tplc="B51A38D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806B20A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C444D8AC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DD2C6220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EA6A7370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306850D8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EFFE751A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EC5E90E4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" w15:restartNumberingAfterBreak="0">
    <w:nsid w:val="189D6A11"/>
    <w:multiLevelType w:val="hybridMultilevel"/>
    <w:tmpl w:val="93F8FE34"/>
    <w:lvl w:ilvl="0" w:tplc="DAF2F316">
      <w:start w:val="1"/>
      <w:numFmt w:val="decimal"/>
      <w:lvlText w:val="%1."/>
      <w:lvlJc w:val="left"/>
      <w:pPr>
        <w:ind w:left="480" w:hanging="360"/>
      </w:pPr>
      <w:rPr>
        <w:rFonts w:ascii="Trebuchet MS" w:eastAsia="Trebuchet MS" w:hAnsi="Trebuchet MS" w:cs="Trebuchet MS" w:hint="default"/>
        <w:spacing w:val="-11"/>
        <w:w w:val="100"/>
        <w:sz w:val="22"/>
        <w:szCs w:val="22"/>
      </w:rPr>
    </w:lvl>
    <w:lvl w:ilvl="1" w:tplc="44FE1CA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4FEA25E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BA41436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9D7E50B4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62EEBF64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17D258DC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4990A4DE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79369B68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3" w15:restartNumberingAfterBreak="0">
    <w:nsid w:val="18BB71F7"/>
    <w:multiLevelType w:val="hybridMultilevel"/>
    <w:tmpl w:val="A13E6E08"/>
    <w:lvl w:ilvl="0" w:tplc="B330C2CE">
      <w:start w:val="1"/>
      <w:numFmt w:val="decimal"/>
      <w:lvlText w:val="%1."/>
      <w:lvlJc w:val="left"/>
      <w:pPr>
        <w:ind w:left="480" w:hanging="360"/>
      </w:pPr>
      <w:rPr>
        <w:rFonts w:ascii="Trebuchet MS" w:eastAsia="Trebuchet MS" w:hAnsi="Trebuchet MS" w:cs="Trebuchet MS" w:hint="default"/>
        <w:spacing w:val="-27"/>
        <w:w w:val="100"/>
        <w:sz w:val="22"/>
        <w:szCs w:val="22"/>
      </w:rPr>
    </w:lvl>
    <w:lvl w:ilvl="1" w:tplc="14A0AF4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D7ACDB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25F4559E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F5C89356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ED381D20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D892EB0A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994EE4C8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68B2F762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4" w15:restartNumberingAfterBreak="0">
    <w:nsid w:val="1D8A73A7"/>
    <w:multiLevelType w:val="hybridMultilevel"/>
    <w:tmpl w:val="993AC57C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spacing w:val="-27"/>
        <w:w w:val="100"/>
      </w:rPr>
    </w:lvl>
    <w:lvl w:ilvl="1" w:tplc="FFFFFFFF">
      <w:start w:val="1"/>
      <w:numFmt w:val="lowerLetter"/>
      <w:lvlText w:val="%2)"/>
      <w:lvlJc w:val="left"/>
      <w:pPr>
        <w:ind w:left="802" w:hanging="263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FFFFFFFF">
      <w:start w:val="1"/>
      <w:numFmt w:val="decimal"/>
      <w:lvlText w:val="%3."/>
      <w:lvlJc w:val="left"/>
      <w:pPr>
        <w:ind w:left="1260" w:hanging="300"/>
      </w:pPr>
      <w:rPr>
        <w:rFonts w:ascii="Trebuchet MS" w:eastAsia="Trebuchet MS" w:hAnsi="Trebuchet MS" w:cs="Trebuchet MS" w:hint="default"/>
        <w:spacing w:val="-32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1260" w:hanging="300"/>
      </w:pPr>
      <w:rPr>
        <w:rFonts w:hint="default"/>
      </w:rPr>
    </w:lvl>
    <w:lvl w:ilvl="4" w:tplc="FFFFFFFF">
      <w:numFmt w:val="bullet"/>
      <w:lvlText w:val="•"/>
      <w:lvlJc w:val="left"/>
      <w:pPr>
        <w:ind w:left="2408" w:hanging="300"/>
      </w:pPr>
      <w:rPr>
        <w:rFonts w:hint="default"/>
      </w:rPr>
    </w:lvl>
    <w:lvl w:ilvl="5" w:tplc="FFFFFFFF">
      <w:numFmt w:val="bullet"/>
      <w:lvlText w:val="•"/>
      <w:lvlJc w:val="left"/>
      <w:pPr>
        <w:ind w:left="3557" w:hanging="300"/>
      </w:pPr>
      <w:rPr>
        <w:rFonts w:hint="default"/>
      </w:rPr>
    </w:lvl>
    <w:lvl w:ilvl="6" w:tplc="FFFFFFFF">
      <w:numFmt w:val="bullet"/>
      <w:lvlText w:val="•"/>
      <w:lvlJc w:val="left"/>
      <w:pPr>
        <w:ind w:left="4705" w:hanging="300"/>
      </w:pPr>
      <w:rPr>
        <w:rFonts w:hint="default"/>
      </w:rPr>
    </w:lvl>
    <w:lvl w:ilvl="7" w:tplc="FFFFFFFF">
      <w:numFmt w:val="bullet"/>
      <w:lvlText w:val="•"/>
      <w:lvlJc w:val="left"/>
      <w:pPr>
        <w:ind w:left="5854" w:hanging="300"/>
      </w:pPr>
      <w:rPr>
        <w:rFonts w:hint="default"/>
      </w:rPr>
    </w:lvl>
    <w:lvl w:ilvl="8" w:tplc="FFFFFFFF">
      <w:numFmt w:val="bullet"/>
      <w:lvlText w:val="•"/>
      <w:lvlJc w:val="left"/>
      <w:pPr>
        <w:ind w:left="7002" w:hanging="300"/>
      </w:pPr>
      <w:rPr>
        <w:rFonts w:hint="default"/>
      </w:rPr>
    </w:lvl>
  </w:abstractNum>
  <w:abstractNum w:abstractNumId="5" w15:restartNumberingAfterBreak="0">
    <w:nsid w:val="1FC210B3"/>
    <w:multiLevelType w:val="hybridMultilevel"/>
    <w:tmpl w:val="B5ECB126"/>
    <w:lvl w:ilvl="0" w:tplc="AED479C0">
      <w:start w:val="1"/>
      <w:numFmt w:val="decimal"/>
      <w:lvlText w:val="%1."/>
      <w:lvlJc w:val="left"/>
      <w:pPr>
        <w:ind w:left="540" w:hanging="420"/>
      </w:pPr>
      <w:rPr>
        <w:rFonts w:ascii="Trebuchet MS" w:eastAsia="Trebuchet MS" w:hAnsi="Trebuchet MS" w:cs="Trebuchet MS" w:hint="default"/>
        <w:spacing w:val="-11"/>
        <w:w w:val="100"/>
        <w:sz w:val="22"/>
        <w:szCs w:val="22"/>
      </w:rPr>
    </w:lvl>
    <w:lvl w:ilvl="1" w:tplc="3B58F094">
      <w:numFmt w:val="bullet"/>
      <w:lvlText w:val="•"/>
      <w:lvlJc w:val="left"/>
      <w:pPr>
        <w:ind w:left="1416" w:hanging="420"/>
      </w:pPr>
      <w:rPr>
        <w:rFonts w:hint="default"/>
      </w:rPr>
    </w:lvl>
    <w:lvl w:ilvl="2" w:tplc="F40AA422">
      <w:numFmt w:val="bullet"/>
      <w:lvlText w:val="•"/>
      <w:lvlJc w:val="left"/>
      <w:pPr>
        <w:ind w:left="2292" w:hanging="420"/>
      </w:pPr>
      <w:rPr>
        <w:rFonts w:hint="default"/>
      </w:rPr>
    </w:lvl>
    <w:lvl w:ilvl="3" w:tplc="4716A8D6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9CD06560">
      <w:numFmt w:val="bullet"/>
      <w:lvlText w:val="•"/>
      <w:lvlJc w:val="left"/>
      <w:pPr>
        <w:ind w:left="4044" w:hanging="420"/>
      </w:pPr>
      <w:rPr>
        <w:rFonts w:hint="default"/>
      </w:rPr>
    </w:lvl>
    <w:lvl w:ilvl="5" w:tplc="8DC89E76">
      <w:numFmt w:val="bullet"/>
      <w:lvlText w:val="•"/>
      <w:lvlJc w:val="left"/>
      <w:pPr>
        <w:ind w:left="4920" w:hanging="420"/>
      </w:pPr>
      <w:rPr>
        <w:rFonts w:hint="default"/>
      </w:rPr>
    </w:lvl>
    <w:lvl w:ilvl="6" w:tplc="954CEC4E">
      <w:numFmt w:val="bullet"/>
      <w:lvlText w:val="•"/>
      <w:lvlJc w:val="left"/>
      <w:pPr>
        <w:ind w:left="5796" w:hanging="420"/>
      </w:pPr>
      <w:rPr>
        <w:rFonts w:hint="default"/>
      </w:rPr>
    </w:lvl>
    <w:lvl w:ilvl="7" w:tplc="1F4E7ACC">
      <w:numFmt w:val="bullet"/>
      <w:lvlText w:val="•"/>
      <w:lvlJc w:val="left"/>
      <w:pPr>
        <w:ind w:left="6672" w:hanging="420"/>
      </w:pPr>
      <w:rPr>
        <w:rFonts w:hint="default"/>
      </w:rPr>
    </w:lvl>
    <w:lvl w:ilvl="8" w:tplc="7640D3CA">
      <w:numFmt w:val="bullet"/>
      <w:lvlText w:val="•"/>
      <w:lvlJc w:val="left"/>
      <w:pPr>
        <w:ind w:left="7548" w:hanging="420"/>
      </w:pPr>
      <w:rPr>
        <w:rFonts w:hint="default"/>
      </w:rPr>
    </w:lvl>
  </w:abstractNum>
  <w:abstractNum w:abstractNumId="6" w15:restartNumberingAfterBreak="0">
    <w:nsid w:val="3A517337"/>
    <w:multiLevelType w:val="hybridMultilevel"/>
    <w:tmpl w:val="993AC57C"/>
    <w:lvl w:ilvl="0" w:tplc="A370AA52">
      <w:start w:val="1"/>
      <w:numFmt w:val="decimal"/>
      <w:lvlText w:val="%1."/>
      <w:lvlJc w:val="left"/>
      <w:pPr>
        <w:ind w:left="480" w:hanging="360"/>
      </w:pPr>
      <w:rPr>
        <w:rFonts w:hint="default"/>
        <w:spacing w:val="-27"/>
        <w:w w:val="100"/>
      </w:rPr>
    </w:lvl>
    <w:lvl w:ilvl="1" w:tplc="9AD086C8">
      <w:start w:val="1"/>
      <w:numFmt w:val="lowerLetter"/>
      <w:lvlText w:val="%2)"/>
      <w:lvlJc w:val="left"/>
      <w:pPr>
        <w:ind w:left="802" w:hanging="263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1AD6F598">
      <w:start w:val="1"/>
      <w:numFmt w:val="decimal"/>
      <w:lvlText w:val="%3."/>
      <w:lvlJc w:val="left"/>
      <w:pPr>
        <w:ind w:left="1260" w:hanging="300"/>
      </w:pPr>
      <w:rPr>
        <w:rFonts w:ascii="Trebuchet MS" w:eastAsia="Trebuchet MS" w:hAnsi="Trebuchet MS" w:cs="Trebuchet MS" w:hint="default"/>
        <w:spacing w:val="-32"/>
        <w:w w:val="100"/>
        <w:sz w:val="22"/>
        <w:szCs w:val="22"/>
      </w:rPr>
    </w:lvl>
    <w:lvl w:ilvl="3" w:tplc="8EEA4C30">
      <w:numFmt w:val="bullet"/>
      <w:lvlText w:val="•"/>
      <w:lvlJc w:val="left"/>
      <w:pPr>
        <w:ind w:left="1260" w:hanging="300"/>
      </w:pPr>
      <w:rPr>
        <w:rFonts w:hint="default"/>
      </w:rPr>
    </w:lvl>
    <w:lvl w:ilvl="4" w:tplc="2B4EAD16">
      <w:numFmt w:val="bullet"/>
      <w:lvlText w:val="•"/>
      <w:lvlJc w:val="left"/>
      <w:pPr>
        <w:ind w:left="2408" w:hanging="300"/>
      </w:pPr>
      <w:rPr>
        <w:rFonts w:hint="default"/>
      </w:rPr>
    </w:lvl>
    <w:lvl w:ilvl="5" w:tplc="AA169D0C">
      <w:numFmt w:val="bullet"/>
      <w:lvlText w:val="•"/>
      <w:lvlJc w:val="left"/>
      <w:pPr>
        <w:ind w:left="3557" w:hanging="300"/>
      </w:pPr>
      <w:rPr>
        <w:rFonts w:hint="default"/>
      </w:rPr>
    </w:lvl>
    <w:lvl w:ilvl="6" w:tplc="7A8CF0C0">
      <w:numFmt w:val="bullet"/>
      <w:lvlText w:val="•"/>
      <w:lvlJc w:val="left"/>
      <w:pPr>
        <w:ind w:left="4705" w:hanging="300"/>
      </w:pPr>
      <w:rPr>
        <w:rFonts w:hint="default"/>
      </w:rPr>
    </w:lvl>
    <w:lvl w:ilvl="7" w:tplc="92B24400">
      <w:numFmt w:val="bullet"/>
      <w:lvlText w:val="•"/>
      <w:lvlJc w:val="left"/>
      <w:pPr>
        <w:ind w:left="5854" w:hanging="300"/>
      </w:pPr>
      <w:rPr>
        <w:rFonts w:hint="default"/>
      </w:rPr>
    </w:lvl>
    <w:lvl w:ilvl="8" w:tplc="123CD0CA">
      <w:numFmt w:val="bullet"/>
      <w:lvlText w:val="•"/>
      <w:lvlJc w:val="left"/>
      <w:pPr>
        <w:ind w:left="7002" w:hanging="300"/>
      </w:pPr>
      <w:rPr>
        <w:rFonts w:hint="default"/>
      </w:rPr>
    </w:lvl>
  </w:abstractNum>
  <w:abstractNum w:abstractNumId="7" w15:restartNumberingAfterBreak="0">
    <w:nsid w:val="78760C8E"/>
    <w:multiLevelType w:val="hybridMultilevel"/>
    <w:tmpl w:val="C64AACA6"/>
    <w:lvl w:ilvl="0" w:tplc="EAE8486A">
      <w:start w:val="1"/>
      <w:numFmt w:val="decimal"/>
      <w:lvlText w:val="%1."/>
      <w:lvlJc w:val="left"/>
      <w:pPr>
        <w:ind w:left="480" w:hanging="360"/>
      </w:pPr>
      <w:rPr>
        <w:rFonts w:ascii="Trebuchet MS" w:eastAsia="Trebuchet MS" w:hAnsi="Trebuchet MS" w:cs="Trebuchet MS" w:hint="default"/>
        <w:spacing w:val="-28"/>
        <w:w w:val="100"/>
        <w:sz w:val="22"/>
        <w:szCs w:val="22"/>
      </w:rPr>
    </w:lvl>
    <w:lvl w:ilvl="1" w:tplc="80166F5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4B654A0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CF0A5FFA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94C26130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F428588E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A502D1EC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D87A6030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82767640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8" w15:restartNumberingAfterBreak="0">
    <w:nsid w:val="79283619"/>
    <w:multiLevelType w:val="hybridMultilevel"/>
    <w:tmpl w:val="1E560B7A"/>
    <w:lvl w:ilvl="0" w:tplc="9BC2FDF6">
      <w:start w:val="1"/>
      <w:numFmt w:val="decimal"/>
      <w:lvlText w:val="%1."/>
      <w:lvlJc w:val="left"/>
      <w:pPr>
        <w:ind w:left="480" w:hanging="360"/>
      </w:pPr>
      <w:rPr>
        <w:rFonts w:ascii="Trebuchet MS" w:eastAsia="Trebuchet MS" w:hAnsi="Trebuchet MS" w:cs="Trebuchet MS" w:hint="default"/>
        <w:spacing w:val="-29"/>
        <w:w w:val="100"/>
        <w:sz w:val="22"/>
        <w:szCs w:val="22"/>
      </w:rPr>
    </w:lvl>
    <w:lvl w:ilvl="1" w:tplc="5DE2208C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F09C18F4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AF3C028C">
      <w:numFmt w:val="bullet"/>
      <w:lvlText w:val="•"/>
      <w:lvlJc w:val="left"/>
      <w:pPr>
        <w:ind w:left="2559" w:hanging="360"/>
      </w:pPr>
      <w:rPr>
        <w:rFonts w:hint="default"/>
      </w:rPr>
    </w:lvl>
    <w:lvl w:ilvl="4" w:tplc="12B4FC32">
      <w:numFmt w:val="bullet"/>
      <w:lvlText w:val="•"/>
      <w:lvlJc w:val="left"/>
      <w:pPr>
        <w:ind w:left="2819" w:hanging="360"/>
      </w:pPr>
      <w:rPr>
        <w:rFonts w:hint="default"/>
      </w:rPr>
    </w:lvl>
    <w:lvl w:ilvl="5" w:tplc="9E2C7700">
      <w:numFmt w:val="bullet"/>
      <w:lvlText w:val="•"/>
      <w:lvlJc w:val="left"/>
      <w:pPr>
        <w:ind w:left="3079" w:hanging="360"/>
      </w:pPr>
      <w:rPr>
        <w:rFonts w:hint="default"/>
      </w:rPr>
    </w:lvl>
    <w:lvl w:ilvl="6" w:tplc="BA8034E0">
      <w:numFmt w:val="bullet"/>
      <w:lvlText w:val="•"/>
      <w:lvlJc w:val="left"/>
      <w:pPr>
        <w:ind w:left="3338" w:hanging="360"/>
      </w:pPr>
      <w:rPr>
        <w:rFonts w:hint="default"/>
      </w:rPr>
    </w:lvl>
    <w:lvl w:ilvl="7" w:tplc="00B458AE">
      <w:numFmt w:val="bullet"/>
      <w:lvlText w:val="•"/>
      <w:lvlJc w:val="left"/>
      <w:pPr>
        <w:ind w:left="3598" w:hanging="360"/>
      </w:pPr>
      <w:rPr>
        <w:rFonts w:hint="default"/>
      </w:rPr>
    </w:lvl>
    <w:lvl w:ilvl="8" w:tplc="9BB6FBB2">
      <w:numFmt w:val="bullet"/>
      <w:lvlText w:val="•"/>
      <w:lvlJc w:val="left"/>
      <w:pPr>
        <w:ind w:left="3858" w:hanging="360"/>
      </w:pPr>
      <w:rPr>
        <w:rFonts w:hint="default"/>
      </w:rPr>
    </w:lvl>
  </w:abstractNum>
  <w:abstractNum w:abstractNumId="9" w15:restartNumberingAfterBreak="0">
    <w:nsid w:val="7FCA2D33"/>
    <w:multiLevelType w:val="hybridMultilevel"/>
    <w:tmpl w:val="8BEA1142"/>
    <w:lvl w:ilvl="0" w:tplc="5CEC3182">
      <w:start w:val="10"/>
      <w:numFmt w:val="lowerLetter"/>
      <w:lvlText w:val="%1)"/>
      <w:lvlJc w:val="left"/>
      <w:pPr>
        <w:ind w:left="1200" w:hanging="360"/>
      </w:pPr>
      <w:rPr>
        <w:rFonts w:ascii="Trebuchet MS" w:eastAsia="Trebuchet MS" w:hAnsi="Trebuchet MS" w:cs="Trebuchet MS" w:hint="default"/>
        <w:spacing w:val="-27"/>
        <w:w w:val="100"/>
        <w:sz w:val="22"/>
        <w:szCs w:val="22"/>
      </w:rPr>
    </w:lvl>
    <w:lvl w:ilvl="1" w:tplc="AD507018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C9ECECA0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4AF859BA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C5D8A162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A2EE0E82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E93AEE6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9CBC53C4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056C77F8">
      <w:numFmt w:val="bullet"/>
      <w:lvlText w:val="•"/>
      <w:lvlJc w:val="left"/>
      <w:pPr>
        <w:ind w:left="768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E1"/>
    <w:rsid w:val="00044275"/>
    <w:rsid w:val="00060788"/>
    <w:rsid w:val="000B7F11"/>
    <w:rsid w:val="001034F3"/>
    <w:rsid w:val="001441CE"/>
    <w:rsid w:val="00212773"/>
    <w:rsid w:val="00267A4A"/>
    <w:rsid w:val="002D41E8"/>
    <w:rsid w:val="0033378B"/>
    <w:rsid w:val="00610E1C"/>
    <w:rsid w:val="00743117"/>
    <w:rsid w:val="00787FC7"/>
    <w:rsid w:val="009217BA"/>
    <w:rsid w:val="009A27BD"/>
    <w:rsid w:val="00A121F1"/>
    <w:rsid w:val="00B55BE6"/>
    <w:rsid w:val="00B640CF"/>
    <w:rsid w:val="00CC3D0A"/>
    <w:rsid w:val="00D0293E"/>
    <w:rsid w:val="00E7160B"/>
    <w:rsid w:val="00F20EE1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87D13"/>
  <w15:docId w15:val="{189CCDCB-A8A3-418E-AD39-FBE9DE35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7BD"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Calibri" w:eastAsia="Calibri" w:hAnsi="Calibri" w:cs="Calibri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41"/>
      <w:ind w:left="120"/>
      <w:outlineLvl w:val="2"/>
    </w:pPr>
    <w:rPr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64" w:right="167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80" w:right="11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Priloha-13a-Vzor-partnerske-smlouvypartnerCRvypln 2 vstupy FSV PCMS  USP final -cistopis pro pdois a DATUM PCMS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Priloha-13a-Vzor-partnerske-smlouvypartnerCRvypln 2 vstupy FSV PCMS  USP final -cistopis pro pdois a DATUM PCMS</dc:title>
  <dc:subject/>
  <dc:creator>Svatošová Helena (200092)</dc:creator>
  <cp:keywords/>
  <dc:description/>
  <cp:lastModifiedBy>Jana Synková</cp:lastModifiedBy>
  <cp:revision>2</cp:revision>
  <dcterms:created xsi:type="dcterms:W3CDTF">2024-06-03T14:31:00Z</dcterms:created>
  <dcterms:modified xsi:type="dcterms:W3CDTF">2024-06-03T14:31:00Z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Pages</vt:lpwstr>
  </property>
  <property fmtid="{D5CDD505-2E9C-101B-9397-08002B2CF9AE}" pid="4" name="LastSaved">
    <vt:filetime>2024-04-29T00:00:00Z</vt:filetime>
  </property>
</Properties>
</file>