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382C" w14:textId="77777777" w:rsidR="003A0507" w:rsidRPr="00BC7C60" w:rsidRDefault="00BC7C60">
      <w:pPr>
        <w:spacing w:before="76" w:line="276" w:lineRule="auto"/>
        <w:ind w:left="963" w:right="1345"/>
        <w:jc w:val="center"/>
        <w:rPr>
          <w:b/>
          <w:sz w:val="28"/>
        </w:rPr>
      </w:pPr>
      <w:bookmarkStart w:id="0" w:name="_Hlk168302805"/>
      <w:r w:rsidRPr="00BC7C60">
        <w:rPr>
          <w:b/>
          <w:color w:val="231F20"/>
          <w:sz w:val="28"/>
        </w:rPr>
        <w:t>Rámcová smlouva o poskytování právního poradenství a právních služeb v oblasti veřejných zakázek</w:t>
      </w:r>
    </w:p>
    <w:p w14:paraId="66ADEA7D" w14:textId="77777777" w:rsidR="003A0507" w:rsidRDefault="00BC7C60">
      <w:pPr>
        <w:spacing w:line="252" w:lineRule="exact"/>
        <w:ind w:left="963" w:right="1345"/>
        <w:jc w:val="center"/>
      </w:pPr>
      <w:r>
        <w:rPr>
          <w:color w:val="231F20"/>
        </w:rPr>
        <w:t>uzavřená dle §2430 a n. zák. č. 89/2012 Sb., občanský zákoník</w:t>
      </w:r>
    </w:p>
    <w:p w14:paraId="3909BD04" w14:textId="77777777" w:rsidR="003A0507" w:rsidRDefault="003A0507">
      <w:pPr>
        <w:pStyle w:val="Zkladntext"/>
      </w:pPr>
    </w:p>
    <w:p w14:paraId="45A502BE" w14:textId="77777777" w:rsidR="003A0507" w:rsidRDefault="003A0507">
      <w:pPr>
        <w:pStyle w:val="Zkladntext"/>
        <w:rPr>
          <w:sz w:val="22"/>
        </w:rPr>
      </w:pPr>
    </w:p>
    <w:p w14:paraId="66670704" w14:textId="77777777" w:rsidR="003A0507" w:rsidRDefault="00BC7C60">
      <w:pPr>
        <w:pStyle w:val="Nadpis1"/>
        <w:ind w:left="963" w:right="1342"/>
      </w:pPr>
      <w:r>
        <w:rPr>
          <w:color w:val="231F20"/>
        </w:rPr>
        <w:t>Smluvní strany</w:t>
      </w:r>
    </w:p>
    <w:p w14:paraId="1985160C" w14:textId="77777777" w:rsidR="003A0507" w:rsidRDefault="003A0507">
      <w:pPr>
        <w:pStyle w:val="Zkladntext"/>
        <w:spacing w:before="10"/>
        <w:rPr>
          <w:b/>
          <w:sz w:val="23"/>
        </w:rPr>
      </w:pPr>
    </w:p>
    <w:p w14:paraId="21AB8BEC" w14:textId="77777777" w:rsidR="003A0507" w:rsidRDefault="00BC7C60">
      <w:pPr>
        <w:ind w:left="963" w:right="1346"/>
        <w:jc w:val="center"/>
        <w:rPr>
          <w:b/>
          <w:sz w:val="24"/>
        </w:rPr>
      </w:pPr>
      <w:r>
        <w:rPr>
          <w:b/>
          <w:color w:val="231F20"/>
          <w:sz w:val="24"/>
        </w:rPr>
        <w:t>Vysoká škola chemicko-technologická v Praze</w:t>
      </w:r>
    </w:p>
    <w:p w14:paraId="4D23B41A" w14:textId="77777777" w:rsidR="003A0507" w:rsidRDefault="00BC7C60">
      <w:pPr>
        <w:pStyle w:val="Zkladntext"/>
        <w:ind w:left="963" w:right="1346"/>
        <w:jc w:val="center"/>
      </w:pPr>
      <w:r>
        <w:rPr>
          <w:color w:val="231F20"/>
        </w:rPr>
        <w:t>veřejná vysoká škola zřízená zákonem č. 111/1998 Sb.</w:t>
      </w:r>
    </w:p>
    <w:p w14:paraId="6DC11B57" w14:textId="77777777" w:rsidR="003A0507" w:rsidRDefault="00BC7C60">
      <w:pPr>
        <w:pStyle w:val="Zkladntext"/>
        <w:ind w:left="437" w:right="819"/>
        <w:jc w:val="center"/>
      </w:pPr>
      <w:r>
        <w:rPr>
          <w:color w:val="231F20"/>
        </w:rPr>
        <w:t>IČ: 60461373, DIČ: CZ60461373; se sídlem Technická 1905/5, 166 28 Praha 6</w:t>
      </w:r>
    </w:p>
    <w:p w14:paraId="2442C6E7" w14:textId="46455178" w:rsidR="003A0507" w:rsidRDefault="00BC7C60">
      <w:pPr>
        <w:pStyle w:val="Zkladntext"/>
        <w:ind w:left="963" w:right="1344"/>
        <w:jc w:val="center"/>
      </w:pPr>
      <w:r>
        <w:rPr>
          <w:color w:val="231F20"/>
        </w:rPr>
        <w:t xml:space="preserve">zastoupená rektorem </w:t>
      </w:r>
      <w:proofErr w:type="spellStart"/>
      <w:r w:rsidR="004F7828">
        <w:rPr>
          <w:color w:val="231F20"/>
        </w:rPr>
        <w:t>xxxxx</w:t>
      </w:r>
      <w:proofErr w:type="spellEnd"/>
    </w:p>
    <w:p w14:paraId="30D54DC8" w14:textId="77777777" w:rsidR="003A0507" w:rsidRDefault="003A0507">
      <w:pPr>
        <w:pStyle w:val="Zkladntext"/>
      </w:pPr>
    </w:p>
    <w:p w14:paraId="0215BE89" w14:textId="496B3922" w:rsidR="003A0507" w:rsidRDefault="004F7828">
      <w:pPr>
        <w:pStyle w:val="Zkladntext"/>
        <w:ind w:left="963" w:right="1347"/>
        <w:jc w:val="center"/>
      </w:pPr>
      <w:proofErr w:type="spellStart"/>
      <w:r>
        <w:rPr>
          <w:color w:val="231F20"/>
        </w:rPr>
        <w:t>xxxxx</w:t>
      </w:r>
      <w:proofErr w:type="spellEnd"/>
      <w:r w:rsidR="00BC7C60">
        <w:rPr>
          <w:color w:val="231F20"/>
        </w:rPr>
        <w:t xml:space="preserve">, č. účtu: </w:t>
      </w:r>
      <w:proofErr w:type="spellStart"/>
      <w:r>
        <w:rPr>
          <w:color w:val="231F20"/>
        </w:rPr>
        <w:t>xxxxx</w:t>
      </w:r>
      <w:proofErr w:type="spellEnd"/>
      <w:r w:rsidR="00BC7C60">
        <w:rPr>
          <w:color w:val="231F20"/>
        </w:rPr>
        <w:t xml:space="preserve">, </w:t>
      </w:r>
      <w:r>
        <w:rPr>
          <w:color w:val="231F20"/>
        </w:rPr>
        <w:t xml:space="preserve">                                                                               </w:t>
      </w:r>
      <w:r w:rsidR="00BC7C60">
        <w:rPr>
          <w:color w:val="231F20"/>
        </w:rPr>
        <w:t xml:space="preserve">IBAN: </w:t>
      </w:r>
      <w:proofErr w:type="spellStart"/>
      <w:r>
        <w:rPr>
          <w:color w:val="231F20"/>
        </w:rPr>
        <w:t>xxxxx</w:t>
      </w:r>
      <w:proofErr w:type="spellEnd"/>
      <w:r w:rsidR="00BC7C60">
        <w:rPr>
          <w:color w:val="231F20"/>
        </w:rPr>
        <w:t xml:space="preserve">, SWIFT: </w:t>
      </w:r>
      <w:proofErr w:type="spellStart"/>
      <w:r>
        <w:rPr>
          <w:color w:val="231F20"/>
        </w:rPr>
        <w:t>xxxxx</w:t>
      </w:r>
      <w:proofErr w:type="spellEnd"/>
    </w:p>
    <w:p w14:paraId="173B4F2F" w14:textId="77777777" w:rsidR="003A0507" w:rsidRDefault="003A0507">
      <w:pPr>
        <w:pStyle w:val="Zkladntext"/>
        <w:rPr>
          <w:sz w:val="26"/>
        </w:rPr>
      </w:pPr>
    </w:p>
    <w:p w14:paraId="59598781" w14:textId="77777777" w:rsidR="003A0507" w:rsidRDefault="003A0507">
      <w:pPr>
        <w:pStyle w:val="Zkladntext"/>
        <w:spacing w:before="10"/>
        <w:rPr>
          <w:sz w:val="21"/>
        </w:rPr>
      </w:pPr>
    </w:p>
    <w:p w14:paraId="5AB05101" w14:textId="77777777" w:rsidR="003A0507" w:rsidRDefault="00BC7C60">
      <w:pPr>
        <w:ind w:left="962" w:right="1347"/>
        <w:jc w:val="center"/>
        <w:rPr>
          <w:sz w:val="24"/>
        </w:rPr>
      </w:pPr>
      <w:r>
        <w:rPr>
          <w:color w:val="231F20"/>
          <w:sz w:val="24"/>
        </w:rPr>
        <w:t xml:space="preserve">dále jen </w:t>
      </w:r>
      <w:r>
        <w:rPr>
          <w:b/>
          <w:color w:val="231F20"/>
          <w:sz w:val="24"/>
        </w:rPr>
        <w:t xml:space="preserve">klient </w:t>
      </w:r>
      <w:r>
        <w:rPr>
          <w:color w:val="231F20"/>
          <w:sz w:val="24"/>
        </w:rPr>
        <w:t>na straně jedné</w:t>
      </w:r>
    </w:p>
    <w:p w14:paraId="392077D8" w14:textId="77777777" w:rsidR="003A0507" w:rsidRDefault="003A0507">
      <w:pPr>
        <w:pStyle w:val="Zkladntext"/>
        <w:spacing w:before="10"/>
        <w:rPr>
          <w:sz w:val="23"/>
        </w:rPr>
      </w:pPr>
    </w:p>
    <w:p w14:paraId="2DA26333" w14:textId="77777777" w:rsidR="003A0507" w:rsidRDefault="00BC7C60">
      <w:pPr>
        <w:pStyle w:val="Zkladntext"/>
        <w:ind w:right="383"/>
        <w:jc w:val="center"/>
      </w:pPr>
      <w:r>
        <w:rPr>
          <w:color w:val="231F20"/>
        </w:rPr>
        <w:t>a</w:t>
      </w:r>
    </w:p>
    <w:p w14:paraId="49C46B2D" w14:textId="77777777" w:rsidR="003A0507" w:rsidRDefault="003A0507">
      <w:pPr>
        <w:pStyle w:val="Zkladntext"/>
        <w:spacing w:before="10"/>
        <w:rPr>
          <w:sz w:val="23"/>
        </w:rPr>
      </w:pPr>
    </w:p>
    <w:p w14:paraId="0F507A69" w14:textId="77777777" w:rsidR="003A0507" w:rsidRDefault="00BC7C60">
      <w:pPr>
        <w:pStyle w:val="Nadpis1"/>
        <w:ind w:left="963" w:right="1346"/>
      </w:pPr>
      <w:r>
        <w:rPr>
          <w:color w:val="231F20"/>
        </w:rPr>
        <w:t>BRODEC &amp; PARTNERS s.r.o., advokátní kancelář</w:t>
      </w:r>
    </w:p>
    <w:p w14:paraId="1D74D88D" w14:textId="77777777" w:rsidR="003A0507" w:rsidRDefault="00BC7C60">
      <w:pPr>
        <w:pStyle w:val="Zkladntext"/>
        <w:ind w:left="437" w:right="252"/>
        <w:jc w:val="center"/>
      </w:pPr>
      <w:r>
        <w:rPr>
          <w:color w:val="231F20"/>
        </w:rPr>
        <w:t>zapsána v obchodním rejstříku vedeném Městským soudem v Praze, oddíl C, vložka 194724</w:t>
      </w:r>
    </w:p>
    <w:p w14:paraId="26A45ADD" w14:textId="77777777" w:rsidR="003A0507" w:rsidRDefault="00BC7C60">
      <w:pPr>
        <w:pStyle w:val="Zkladntext"/>
        <w:ind w:left="2839"/>
      </w:pPr>
      <w:r>
        <w:rPr>
          <w:color w:val="231F20"/>
        </w:rPr>
        <w:t>IČO: 24303321, DIČ: CZ24303321</w:t>
      </w:r>
    </w:p>
    <w:p w14:paraId="0A3E8843" w14:textId="45AEB9B3" w:rsidR="003A0507" w:rsidRDefault="00BC7C60" w:rsidP="00E2613D">
      <w:pPr>
        <w:pStyle w:val="Zkladntext"/>
        <w:ind w:left="1368" w:right="1170" w:firstLine="573"/>
        <w:jc w:val="center"/>
      </w:pPr>
      <w:r>
        <w:rPr>
          <w:color w:val="231F20"/>
        </w:rPr>
        <w:t xml:space="preserve">se sídlem Rubešova 162/8, Vinohrady, 120 00 Praha 2 zastoupená </w:t>
      </w:r>
      <w:proofErr w:type="spellStart"/>
      <w:r w:rsidR="00E2613D">
        <w:rPr>
          <w:color w:val="231F20"/>
        </w:rPr>
        <w:t>xxxxx</w:t>
      </w:r>
      <w:proofErr w:type="spellEnd"/>
      <w:r>
        <w:rPr>
          <w:color w:val="231F20"/>
        </w:rPr>
        <w:t>, jednatelem</w:t>
      </w:r>
    </w:p>
    <w:p w14:paraId="1BFE19C1" w14:textId="77777777" w:rsidR="003A0507" w:rsidRDefault="003A0507">
      <w:pPr>
        <w:pStyle w:val="Zkladntext"/>
      </w:pPr>
    </w:p>
    <w:p w14:paraId="7E2EC96A" w14:textId="4AD5A0E3" w:rsidR="003A0507" w:rsidRDefault="00BC7C60">
      <w:pPr>
        <w:pStyle w:val="Zkladntext"/>
        <w:ind w:left="963" w:right="782"/>
        <w:jc w:val="center"/>
      </w:pPr>
      <w:r>
        <w:rPr>
          <w:color w:val="231F20"/>
        </w:rPr>
        <w:t xml:space="preserve">Bankovní spojení: </w:t>
      </w:r>
      <w:proofErr w:type="spellStart"/>
      <w:r w:rsidR="00E2613D">
        <w:rPr>
          <w:color w:val="231F20"/>
        </w:rPr>
        <w:t>xxxxx</w:t>
      </w:r>
      <w:proofErr w:type="spellEnd"/>
    </w:p>
    <w:p w14:paraId="63F1F293" w14:textId="7CF1FC2E" w:rsidR="003A0507" w:rsidRDefault="00E2613D" w:rsidP="00E2613D">
      <w:pPr>
        <w:pStyle w:val="Zkladntext"/>
        <w:ind w:left="2906"/>
      </w:pPr>
      <w:r>
        <w:rPr>
          <w:color w:val="231F20"/>
        </w:rPr>
        <w:t xml:space="preserve">             </w:t>
      </w:r>
      <w:r w:rsidR="00BC7C60">
        <w:rPr>
          <w:color w:val="231F20"/>
        </w:rPr>
        <w:t xml:space="preserve">Číslo účtu: </w:t>
      </w:r>
      <w:proofErr w:type="spellStart"/>
      <w:r>
        <w:rPr>
          <w:color w:val="231F20"/>
        </w:rPr>
        <w:t>xxxxx</w:t>
      </w:r>
      <w:proofErr w:type="spellEnd"/>
    </w:p>
    <w:p w14:paraId="53F3D009" w14:textId="77777777" w:rsidR="003A0507" w:rsidRDefault="003A0507">
      <w:pPr>
        <w:pStyle w:val="Zkladntext"/>
        <w:rPr>
          <w:sz w:val="26"/>
        </w:rPr>
      </w:pPr>
    </w:p>
    <w:p w14:paraId="4B80D2EB" w14:textId="77777777" w:rsidR="003A0507" w:rsidRDefault="003A0507">
      <w:pPr>
        <w:pStyle w:val="Zkladntext"/>
        <w:rPr>
          <w:sz w:val="26"/>
        </w:rPr>
      </w:pPr>
    </w:p>
    <w:p w14:paraId="28285F8F" w14:textId="77777777" w:rsidR="003A0507" w:rsidRDefault="00BC7C60">
      <w:pPr>
        <w:spacing w:before="230"/>
        <w:ind w:left="963" w:right="1346"/>
        <w:jc w:val="center"/>
        <w:rPr>
          <w:sz w:val="24"/>
        </w:rPr>
      </w:pPr>
      <w:r>
        <w:rPr>
          <w:color w:val="231F20"/>
          <w:sz w:val="24"/>
        </w:rPr>
        <w:t xml:space="preserve">dále jen </w:t>
      </w:r>
      <w:r>
        <w:rPr>
          <w:b/>
          <w:color w:val="231F20"/>
          <w:sz w:val="24"/>
        </w:rPr>
        <w:t xml:space="preserve">poradce </w:t>
      </w:r>
      <w:r>
        <w:rPr>
          <w:color w:val="231F20"/>
          <w:sz w:val="24"/>
        </w:rPr>
        <w:t>na straně druhé</w:t>
      </w:r>
    </w:p>
    <w:p w14:paraId="2FE6B0CA" w14:textId="77777777" w:rsidR="003A0507" w:rsidRDefault="003A0507">
      <w:pPr>
        <w:pStyle w:val="Zkladntext"/>
        <w:rPr>
          <w:sz w:val="26"/>
        </w:rPr>
      </w:pPr>
    </w:p>
    <w:p w14:paraId="401905EE" w14:textId="77777777" w:rsidR="003A0507" w:rsidRDefault="003A0507">
      <w:pPr>
        <w:pStyle w:val="Zkladntext"/>
        <w:spacing w:before="11"/>
        <w:rPr>
          <w:sz w:val="21"/>
        </w:rPr>
      </w:pPr>
    </w:p>
    <w:p w14:paraId="1B055F6B" w14:textId="77777777" w:rsidR="003A0507" w:rsidRDefault="00BC7C60">
      <w:pPr>
        <w:pStyle w:val="Zkladntext"/>
        <w:spacing w:line="276" w:lineRule="auto"/>
        <w:ind w:left="164" w:right="117"/>
        <w:jc w:val="both"/>
      </w:pPr>
      <w:r>
        <w:rPr>
          <w:color w:val="231F20"/>
        </w:rPr>
        <w:t>uzavírají následující Rámcovou smlouvu o poskytování právního poradenství a právních služeb v oblasti zadávání veřejných zakázek:</w:t>
      </w:r>
    </w:p>
    <w:p w14:paraId="382A4B30" w14:textId="77777777" w:rsidR="003A0507" w:rsidRDefault="003A0507">
      <w:pPr>
        <w:pStyle w:val="Zkladntext"/>
        <w:rPr>
          <w:sz w:val="26"/>
        </w:rPr>
      </w:pPr>
    </w:p>
    <w:p w14:paraId="49933692" w14:textId="77777777" w:rsidR="003A0507" w:rsidRDefault="003A0507">
      <w:pPr>
        <w:pStyle w:val="Zkladntext"/>
        <w:rPr>
          <w:sz w:val="26"/>
        </w:rPr>
      </w:pPr>
    </w:p>
    <w:p w14:paraId="2FA1597B" w14:textId="77777777" w:rsidR="003A0507" w:rsidRDefault="003A0507">
      <w:pPr>
        <w:pStyle w:val="Zkladntext"/>
        <w:spacing w:before="10"/>
        <w:rPr>
          <w:sz w:val="30"/>
        </w:rPr>
      </w:pPr>
    </w:p>
    <w:p w14:paraId="5BF28060" w14:textId="77777777" w:rsidR="003A0507" w:rsidRDefault="00BC7C60">
      <w:pPr>
        <w:pStyle w:val="Nadpis1"/>
        <w:ind w:left="963" w:right="1343"/>
      </w:pPr>
      <w:r>
        <w:rPr>
          <w:color w:val="231F20"/>
        </w:rPr>
        <w:t>Preambule</w:t>
      </w:r>
    </w:p>
    <w:p w14:paraId="0133C1AA" w14:textId="77777777" w:rsidR="003A0507" w:rsidRDefault="003A0507">
      <w:pPr>
        <w:pStyle w:val="Zkladntext"/>
        <w:spacing w:before="9"/>
        <w:rPr>
          <w:b/>
          <w:sz w:val="20"/>
        </w:rPr>
      </w:pPr>
    </w:p>
    <w:p w14:paraId="3999419E" w14:textId="77777777" w:rsidR="003A0507" w:rsidRDefault="00BC7C60">
      <w:pPr>
        <w:ind w:left="164" w:right="120"/>
        <w:jc w:val="both"/>
        <w:rPr>
          <w:sz w:val="24"/>
        </w:rPr>
      </w:pPr>
      <w:r>
        <w:rPr>
          <w:color w:val="231F20"/>
          <w:sz w:val="24"/>
        </w:rPr>
        <w:t>Tato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smlouva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uzavírána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základě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výsledku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zakázky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malého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rozsahu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služby s názvem „</w:t>
      </w:r>
      <w:r>
        <w:rPr>
          <w:b/>
          <w:color w:val="231F20"/>
          <w:sz w:val="24"/>
        </w:rPr>
        <w:t>Poskytování právních a poradenských služeb v oblasti veřejných zakázek v souvislosti s projektem výstavby na Vítězném</w:t>
      </w:r>
      <w:r>
        <w:rPr>
          <w:b/>
          <w:color w:val="231F20"/>
          <w:spacing w:val="-21"/>
          <w:sz w:val="24"/>
        </w:rPr>
        <w:t xml:space="preserve"> </w:t>
      </w:r>
      <w:r>
        <w:rPr>
          <w:b/>
          <w:color w:val="231F20"/>
          <w:sz w:val="24"/>
        </w:rPr>
        <w:t>náměstí“</w:t>
      </w:r>
      <w:r>
        <w:rPr>
          <w:color w:val="231F20"/>
          <w:sz w:val="24"/>
        </w:rPr>
        <w:t>.</w:t>
      </w:r>
    </w:p>
    <w:p w14:paraId="47772058" w14:textId="77777777" w:rsidR="003A0507" w:rsidRDefault="00BC7C60">
      <w:pPr>
        <w:pStyle w:val="Zkladntext"/>
        <w:spacing w:before="138" w:line="276" w:lineRule="auto"/>
        <w:ind w:left="164" w:right="118"/>
        <w:jc w:val="both"/>
      </w:pPr>
      <w:r>
        <w:rPr>
          <w:color w:val="231F20"/>
        </w:rPr>
        <w:t>Poradce prohlašuje, že se v plném rozsahu seznámil s rozsahem a povahou požadovaného plnění dle této smlouvy a disponuje takovými oprávněními, kapacitami a odbornými       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jazykovými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znalostmi,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nezbytné.</w:t>
      </w:r>
    </w:p>
    <w:p w14:paraId="40209C05" w14:textId="77777777" w:rsidR="003A0507" w:rsidRDefault="003A0507">
      <w:pPr>
        <w:spacing w:line="276" w:lineRule="auto"/>
        <w:jc w:val="both"/>
        <w:sectPr w:rsidR="003A0507">
          <w:type w:val="continuous"/>
          <w:pgSz w:w="11910" w:h="16840"/>
          <w:pgMar w:top="1060" w:right="1300" w:bottom="280" w:left="1680" w:header="708" w:footer="708" w:gutter="0"/>
          <w:cols w:space="708"/>
        </w:sectPr>
      </w:pPr>
    </w:p>
    <w:p w14:paraId="3E0E53AB" w14:textId="77777777" w:rsidR="003A0507" w:rsidRDefault="00BC7C60">
      <w:pPr>
        <w:pStyle w:val="Nadpis1"/>
        <w:spacing w:before="86"/>
      </w:pPr>
      <w:r>
        <w:rPr>
          <w:color w:val="231F20"/>
        </w:rPr>
        <w:lastRenderedPageBreak/>
        <w:t>Čl. I.</w:t>
      </w:r>
    </w:p>
    <w:p w14:paraId="46AC9785" w14:textId="77777777" w:rsidR="003A0507" w:rsidRDefault="00BC7C60">
      <w:pPr>
        <w:ind w:left="358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Předmět smlouvy</w:t>
      </w:r>
    </w:p>
    <w:p w14:paraId="663D9F55" w14:textId="77777777" w:rsidR="003A0507" w:rsidRDefault="003A0507">
      <w:pPr>
        <w:pStyle w:val="Zkladntext"/>
        <w:spacing w:before="9"/>
        <w:rPr>
          <w:b/>
          <w:sz w:val="27"/>
        </w:rPr>
      </w:pPr>
    </w:p>
    <w:p w14:paraId="65166DCC" w14:textId="446AFD53" w:rsidR="003A0507" w:rsidRDefault="00BC7C60">
      <w:pPr>
        <w:pStyle w:val="Odstavecseseznamem"/>
        <w:numPr>
          <w:ilvl w:val="0"/>
          <w:numId w:val="9"/>
        </w:numPr>
        <w:tabs>
          <w:tab w:val="left" w:pos="478"/>
        </w:tabs>
        <w:spacing w:line="276" w:lineRule="auto"/>
        <w:ind w:right="120"/>
        <w:jc w:val="both"/>
        <w:rPr>
          <w:sz w:val="24"/>
        </w:rPr>
      </w:pPr>
      <w:r>
        <w:rPr>
          <w:color w:val="231F20"/>
          <w:sz w:val="24"/>
        </w:rPr>
        <w:t>Předmětem této  smlouvy  je  poskytování  právního  poradenství  a  právních  služeb  (dále jen „</w:t>
      </w:r>
      <w:r>
        <w:rPr>
          <w:b/>
          <w:i/>
          <w:color w:val="231F20"/>
          <w:sz w:val="24"/>
        </w:rPr>
        <w:t>služeb</w:t>
      </w:r>
      <w:r w:rsidR="001952E5">
        <w:rPr>
          <w:color w:val="231F20"/>
          <w:sz w:val="24"/>
        </w:rPr>
        <w:t>“</w:t>
      </w:r>
      <w:r>
        <w:rPr>
          <w:color w:val="231F20"/>
          <w:sz w:val="24"/>
        </w:rPr>
        <w:t>) poradcem klientovi v oblasti zadávání veřejných zakázek, a to výlučně v souvislosti s plánovanou výstavbou nové administrativní budovy klienta na Vítězném náměstí (dále jen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i/>
          <w:color w:val="231F20"/>
          <w:sz w:val="24"/>
        </w:rPr>
        <w:t>projekt</w:t>
      </w:r>
      <w:r>
        <w:rPr>
          <w:color w:val="231F20"/>
          <w:sz w:val="24"/>
        </w:rPr>
        <w:t>“).</w:t>
      </w:r>
    </w:p>
    <w:p w14:paraId="287F16DC" w14:textId="77777777" w:rsidR="003A0507" w:rsidRDefault="00BC7C60">
      <w:pPr>
        <w:pStyle w:val="Odstavecseseznamem"/>
        <w:numPr>
          <w:ilvl w:val="0"/>
          <w:numId w:val="9"/>
        </w:numPr>
        <w:tabs>
          <w:tab w:val="left" w:pos="478"/>
        </w:tabs>
        <w:spacing w:before="3"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Předmětem smlouvy bude závazek poradce poskytovat služby klientovi za podmínek stanovených touto smlouvou a tomu odpovídající závazek klienta platit poradci sjednanou odměnu. Konkrétní služby budou poradcem poskytovány na základě ústních či písemných objednávek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klienta.</w:t>
      </w:r>
    </w:p>
    <w:p w14:paraId="2E9CB10B" w14:textId="77777777" w:rsidR="003A0507" w:rsidRDefault="00BC7C60">
      <w:pPr>
        <w:pStyle w:val="Odstavecseseznamem"/>
        <w:numPr>
          <w:ilvl w:val="0"/>
          <w:numId w:val="9"/>
        </w:numPr>
        <w:tabs>
          <w:tab w:val="left" w:pos="478"/>
        </w:tabs>
        <w:spacing w:before="3"/>
        <w:rPr>
          <w:sz w:val="24"/>
        </w:rPr>
      </w:pPr>
      <w:r>
        <w:rPr>
          <w:color w:val="231F20"/>
          <w:sz w:val="24"/>
        </w:rPr>
        <w:t>Poradce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poskytne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klientovi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právní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poradenské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služby,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spočívající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v:</w:t>
      </w:r>
    </w:p>
    <w:p w14:paraId="4C40B289" w14:textId="77777777" w:rsidR="003A0507" w:rsidRDefault="003A0507">
      <w:pPr>
        <w:pStyle w:val="Zkladntext"/>
        <w:spacing w:before="10"/>
        <w:rPr>
          <w:sz w:val="32"/>
        </w:rPr>
      </w:pPr>
    </w:p>
    <w:p w14:paraId="690E0CCE" w14:textId="77777777" w:rsidR="003A0507" w:rsidRDefault="00BC7C60">
      <w:pPr>
        <w:pStyle w:val="Odstavecseseznamem"/>
        <w:numPr>
          <w:ilvl w:val="1"/>
          <w:numId w:val="9"/>
        </w:numPr>
        <w:tabs>
          <w:tab w:val="left" w:pos="838"/>
        </w:tabs>
        <w:spacing w:line="276" w:lineRule="auto"/>
        <w:ind w:right="119"/>
        <w:jc w:val="both"/>
        <w:rPr>
          <w:color w:val="231F20"/>
          <w:sz w:val="24"/>
        </w:rPr>
      </w:pPr>
      <w:r>
        <w:rPr>
          <w:b/>
          <w:color w:val="231F20"/>
          <w:sz w:val="24"/>
        </w:rPr>
        <w:t xml:space="preserve">Zpracování koncepce veřejných zakázek zadávaných v souvislosti s projektem, </w:t>
      </w:r>
      <w:r>
        <w:rPr>
          <w:color w:val="231F20"/>
          <w:sz w:val="24"/>
        </w:rPr>
        <w:t>včetně  harmonogramu  veřejných  zakázek,  navazujících  na  urbanistickou  studii     k projektu, a posouzení možností využití metody Design-Build a smluvních standardů FIDIC při zadávání veřejných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zakázek.</w:t>
      </w:r>
    </w:p>
    <w:p w14:paraId="5B0E2F46" w14:textId="77777777" w:rsidR="003A0507" w:rsidRDefault="003A0507">
      <w:pPr>
        <w:pStyle w:val="Zkladntext"/>
        <w:spacing w:before="8"/>
        <w:rPr>
          <w:sz w:val="27"/>
        </w:rPr>
      </w:pPr>
    </w:p>
    <w:p w14:paraId="4A38749C" w14:textId="77777777" w:rsidR="003A0507" w:rsidRDefault="00BC7C60">
      <w:pPr>
        <w:pStyle w:val="Nadpis1"/>
        <w:numPr>
          <w:ilvl w:val="1"/>
          <w:numId w:val="9"/>
        </w:numPr>
        <w:tabs>
          <w:tab w:val="left" w:pos="716"/>
          <w:tab w:val="left" w:pos="838"/>
        </w:tabs>
        <w:ind w:right="0" w:hanging="554"/>
        <w:jc w:val="left"/>
        <w:rPr>
          <w:color w:val="231F20"/>
        </w:rPr>
      </w:pPr>
      <w:r>
        <w:rPr>
          <w:color w:val="231F20"/>
        </w:rPr>
        <w:t xml:space="preserve">Poradenství při přípravě a realizaci zadávacího řízení na zpracování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projektové</w:t>
      </w:r>
    </w:p>
    <w:p w14:paraId="72DE58E3" w14:textId="77777777" w:rsidR="003A0507" w:rsidRDefault="00BC7C60">
      <w:pPr>
        <w:spacing w:before="40"/>
        <w:ind w:left="472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dokumentace a zajištění souvisejících činností (VZ č. 1) zahrnující zejména:</w:t>
      </w:r>
    </w:p>
    <w:p w14:paraId="570502F6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40" w:line="278" w:lineRule="auto"/>
        <w:ind w:right="121" w:hanging="359"/>
        <w:jc w:val="left"/>
        <w:rPr>
          <w:sz w:val="24"/>
        </w:rPr>
      </w:pPr>
      <w:r>
        <w:rPr>
          <w:color w:val="231F20"/>
          <w:sz w:val="24"/>
        </w:rPr>
        <w:t>příprava komplexního návrhu smlouvy (obchodních a platebních  podmínek) pro veřejnou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zakázku</w:t>
      </w:r>
    </w:p>
    <w:p w14:paraId="764F7300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line="276" w:lineRule="auto"/>
        <w:ind w:right="119" w:hanging="359"/>
        <w:jc w:val="left"/>
        <w:rPr>
          <w:sz w:val="24"/>
        </w:rPr>
      </w:pPr>
      <w:r>
        <w:rPr>
          <w:color w:val="231F20"/>
          <w:sz w:val="24"/>
        </w:rPr>
        <w:t>konzultace při přípravě zadávací dokumentace veřejné zakázky, zejména nastavení kvalifikace a vymezení rozsahu předmětu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plnění</w:t>
      </w:r>
    </w:p>
    <w:p w14:paraId="60FBCCD2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3"/>
        <w:ind w:hanging="359"/>
        <w:jc w:val="left"/>
        <w:rPr>
          <w:sz w:val="24"/>
        </w:rPr>
      </w:pPr>
      <w:r>
        <w:rPr>
          <w:color w:val="231F20"/>
          <w:sz w:val="24"/>
        </w:rPr>
        <w:t>odborné konzultace v průběhu zadávacího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řízení</w:t>
      </w:r>
    </w:p>
    <w:p w14:paraId="36ED7E04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42" w:line="276" w:lineRule="auto"/>
        <w:ind w:right="119" w:hanging="359"/>
        <w:jc w:val="left"/>
        <w:rPr>
          <w:sz w:val="24"/>
        </w:rPr>
      </w:pPr>
      <w:r>
        <w:rPr>
          <w:color w:val="231F20"/>
          <w:sz w:val="24"/>
        </w:rPr>
        <w:t>posouzení nabídek z hlediska plnění zákonných požadavků a požadavků zadavatele (klienta) stanovených v zadávacích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podmínkách</w:t>
      </w:r>
    </w:p>
    <w:p w14:paraId="50081E3E" w14:textId="77777777" w:rsidR="003A0507" w:rsidRDefault="003A0507">
      <w:pPr>
        <w:pStyle w:val="Zkladntext"/>
        <w:spacing w:before="6"/>
        <w:rPr>
          <w:sz w:val="27"/>
        </w:rPr>
      </w:pPr>
    </w:p>
    <w:p w14:paraId="627D129A" w14:textId="77777777" w:rsidR="003A0507" w:rsidRDefault="00BC7C60">
      <w:pPr>
        <w:pStyle w:val="Nadpis1"/>
        <w:numPr>
          <w:ilvl w:val="1"/>
          <w:numId w:val="9"/>
        </w:numPr>
        <w:tabs>
          <w:tab w:val="left" w:pos="837"/>
          <w:tab w:val="left" w:pos="838"/>
        </w:tabs>
        <w:spacing w:line="276" w:lineRule="auto"/>
        <w:ind w:right="116" w:hanging="619"/>
        <w:jc w:val="left"/>
        <w:rPr>
          <w:color w:val="231F20"/>
        </w:rPr>
      </w:pPr>
      <w:r>
        <w:rPr>
          <w:color w:val="231F20"/>
        </w:rPr>
        <w:t>Poradenství při přípravě a realizaci zadávacího řízení na zajištění technického dozoru investora, případně správce stavby (VZ č. 2) zahrnující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zejména:</w:t>
      </w:r>
    </w:p>
    <w:p w14:paraId="733F953A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3" w:line="276" w:lineRule="auto"/>
        <w:ind w:right="121" w:hanging="359"/>
        <w:jc w:val="left"/>
        <w:rPr>
          <w:sz w:val="24"/>
        </w:rPr>
      </w:pPr>
      <w:r>
        <w:rPr>
          <w:color w:val="231F20"/>
          <w:sz w:val="24"/>
        </w:rPr>
        <w:t>příprava komplexního návrhu smlouvy (obchodních a platebních  podmínek) pro veřejnou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zakázku</w:t>
      </w:r>
    </w:p>
    <w:p w14:paraId="694CD8DD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line="276" w:lineRule="auto"/>
        <w:ind w:right="119" w:hanging="359"/>
        <w:jc w:val="left"/>
        <w:rPr>
          <w:sz w:val="24"/>
        </w:rPr>
      </w:pPr>
      <w:r>
        <w:rPr>
          <w:color w:val="231F20"/>
          <w:sz w:val="24"/>
        </w:rPr>
        <w:t>konzultace při přípravě zadávací dokumentace veřejné zakázky, zejména nastavení kvalifikace a vymezení rozsahu předmětu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plnění</w:t>
      </w:r>
    </w:p>
    <w:p w14:paraId="44288DCC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2"/>
        <w:ind w:hanging="359"/>
        <w:jc w:val="left"/>
        <w:rPr>
          <w:sz w:val="24"/>
        </w:rPr>
      </w:pPr>
      <w:r>
        <w:rPr>
          <w:color w:val="231F20"/>
          <w:sz w:val="24"/>
        </w:rPr>
        <w:t>odborné konzultace v průběhu zadávacího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řízení</w:t>
      </w:r>
    </w:p>
    <w:p w14:paraId="62D49A15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40" w:line="276" w:lineRule="auto"/>
        <w:ind w:right="119" w:hanging="359"/>
        <w:jc w:val="left"/>
        <w:rPr>
          <w:sz w:val="24"/>
        </w:rPr>
      </w:pPr>
      <w:r>
        <w:rPr>
          <w:color w:val="231F20"/>
          <w:sz w:val="24"/>
        </w:rPr>
        <w:t>posouzení nabídek z hlediska plnění zákonných požadavků a požadavků zadavatele (klienta) stanovených v zadávacích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podmínkách</w:t>
      </w:r>
    </w:p>
    <w:p w14:paraId="112802B4" w14:textId="77777777" w:rsidR="003A0507" w:rsidRDefault="003A0507">
      <w:pPr>
        <w:pStyle w:val="Zkladntext"/>
        <w:spacing w:before="9"/>
        <w:rPr>
          <w:sz w:val="27"/>
        </w:rPr>
      </w:pPr>
    </w:p>
    <w:p w14:paraId="46FC7C85" w14:textId="77777777" w:rsidR="003A0507" w:rsidRDefault="00BC7C60">
      <w:pPr>
        <w:pStyle w:val="Nadpis1"/>
        <w:numPr>
          <w:ilvl w:val="1"/>
          <w:numId w:val="9"/>
        </w:numPr>
        <w:tabs>
          <w:tab w:val="left" w:pos="837"/>
          <w:tab w:val="left" w:pos="838"/>
        </w:tabs>
        <w:spacing w:line="276" w:lineRule="auto"/>
        <w:ind w:right="120" w:hanging="607"/>
        <w:jc w:val="left"/>
        <w:rPr>
          <w:color w:val="231F20"/>
        </w:rPr>
      </w:pPr>
      <w:r>
        <w:rPr>
          <w:color w:val="231F20"/>
        </w:rPr>
        <w:t>Poradenství při přípravě zadávacího řízení na výběr zhotovitele stavby (VZ č. 3) zahrnující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zejména:</w:t>
      </w:r>
    </w:p>
    <w:p w14:paraId="5F41DEF2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line="276" w:lineRule="auto"/>
        <w:ind w:right="121" w:hanging="359"/>
        <w:jc w:val="left"/>
        <w:rPr>
          <w:sz w:val="24"/>
        </w:rPr>
      </w:pPr>
      <w:r>
        <w:rPr>
          <w:color w:val="231F20"/>
          <w:sz w:val="24"/>
        </w:rPr>
        <w:t>příprava komplexního návrhu smlouvy (obchodních a platebních  podmínek) pro veřejnou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zakázku</w:t>
      </w:r>
    </w:p>
    <w:p w14:paraId="7D12C194" w14:textId="77777777" w:rsidR="003A0507" w:rsidRDefault="00BC7C60">
      <w:pPr>
        <w:pStyle w:val="Odstavecseseznamem"/>
        <w:numPr>
          <w:ilvl w:val="2"/>
          <w:numId w:val="9"/>
        </w:numPr>
        <w:tabs>
          <w:tab w:val="left" w:pos="1556"/>
          <w:tab w:val="left" w:pos="1557"/>
        </w:tabs>
        <w:spacing w:before="2" w:line="276" w:lineRule="auto"/>
        <w:ind w:right="119" w:hanging="359"/>
        <w:jc w:val="left"/>
        <w:rPr>
          <w:sz w:val="24"/>
        </w:rPr>
      </w:pPr>
      <w:r>
        <w:rPr>
          <w:color w:val="231F20"/>
          <w:sz w:val="24"/>
        </w:rPr>
        <w:t>konzultace při přípravě zadávací dokumentace veřejné zakázky, zejména nastavení kvalifikace a vymezení rozsahu předmětu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plnění</w:t>
      </w:r>
    </w:p>
    <w:p w14:paraId="53993889" w14:textId="77777777" w:rsidR="003A0507" w:rsidRDefault="003A0507">
      <w:pPr>
        <w:spacing w:line="276" w:lineRule="auto"/>
        <w:rPr>
          <w:sz w:val="24"/>
        </w:rPr>
        <w:sectPr w:rsidR="003A0507">
          <w:pgSz w:w="11910" w:h="16840"/>
          <w:pgMar w:top="1600" w:right="1300" w:bottom="280" w:left="1300" w:header="708" w:footer="708" w:gutter="0"/>
          <w:cols w:space="708"/>
        </w:sectPr>
      </w:pPr>
    </w:p>
    <w:p w14:paraId="381ABDA8" w14:textId="77777777" w:rsidR="003A0507" w:rsidRDefault="00BC7C60">
      <w:pPr>
        <w:pStyle w:val="Nadpis1"/>
        <w:numPr>
          <w:ilvl w:val="1"/>
          <w:numId w:val="9"/>
        </w:numPr>
        <w:tabs>
          <w:tab w:val="left" w:pos="716"/>
          <w:tab w:val="left" w:pos="838"/>
        </w:tabs>
        <w:spacing w:before="74"/>
        <w:ind w:right="0" w:hanging="540"/>
        <w:jc w:val="left"/>
        <w:rPr>
          <w:color w:val="231F20"/>
        </w:rPr>
      </w:pPr>
      <w:r>
        <w:rPr>
          <w:color w:val="231F20"/>
        </w:rPr>
        <w:lastRenderedPageBreak/>
        <w:t xml:space="preserve">Právní  podpora  při  přezkoumání  námitek,  zastoupení  v řízení  před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Úřadem</w:t>
      </w:r>
    </w:p>
    <w:p w14:paraId="74EAA05B" w14:textId="77777777" w:rsidR="003A0507" w:rsidRDefault="00BC7C60">
      <w:pPr>
        <w:spacing w:before="40"/>
        <w:ind w:left="837"/>
        <w:rPr>
          <w:b/>
          <w:sz w:val="24"/>
        </w:rPr>
      </w:pPr>
      <w:r>
        <w:rPr>
          <w:b/>
          <w:color w:val="231F20"/>
          <w:sz w:val="24"/>
        </w:rPr>
        <w:t>pro ochranu hospodářské soutěže a zastoupení v řízení před správním soudem</w:t>
      </w:r>
    </w:p>
    <w:p w14:paraId="6816CA74" w14:textId="77777777" w:rsidR="003A0507" w:rsidRDefault="00BC7C60">
      <w:pPr>
        <w:pStyle w:val="Odstavecseseznamem"/>
        <w:numPr>
          <w:ilvl w:val="0"/>
          <w:numId w:val="8"/>
        </w:numPr>
        <w:tabs>
          <w:tab w:val="left" w:pos="1556"/>
          <w:tab w:val="left" w:pos="1557"/>
        </w:tabs>
        <w:spacing w:before="40"/>
        <w:ind w:hanging="359"/>
        <w:jc w:val="left"/>
        <w:rPr>
          <w:sz w:val="24"/>
        </w:rPr>
      </w:pPr>
      <w:r>
        <w:rPr>
          <w:color w:val="231F20"/>
          <w:sz w:val="24"/>
        </w:rPr>
        <w:t>podpora při zpracování rozhodnutí 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námitkách</w:t>
      </w:r>
    </w:p>
    <w:p w14:paraId="4D61A6AC" w14:textId="77777777" w:rsidR="003A0507" w:rsidRDefault="00BC7C60">
      <w:pPr>
        <w:pStyle w:val="Odstavecseseznamem"/>
        <w:numPr>
          <w:ilvl w:val="0"/>
          <w:numId w:val="8"/>
        </w:numPr>
        <w:tabs>
          <w:tab w:val="left" w:pos="1556"/>
          <w:tab w:val="left" w:pos="1557"/>
        </w:tabs>
        <w:spacing w:before="39" w:line="276" w:lineRule="auto"/>
        <w:ind w:right="123" w:hanging="359"/>
        <w:jc w:val="left"/>
        <w:rPr>
          <w:sz w:val="24"/>
        </w:rPr>
      </w:pPr>
      <w:r>
        <w:rPr>
          <w:color w:val="231F20"/>
          <w:sz w:val="24"/>
        </w:rPr>
        <w:t>příprava vyjádření k obdrženému návrhu, vysvětlení, či podání důkazu v rámci řízení před Úřadem pro ochranu hospodářské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soutěže</w:t>
      </w:r>
    </w:p>
    <w:p w14:paraId="3643E8DB" w14:textId="77777777" w:rsidR="003A0507" w:rsidRDefault="00BC7C60">
      <w:pPr>
        <w:pStyle w:val="Odstavecseseznamem"/>
        <w:numPr>
          <w:ilvl w:val="0"/>
          <w:numId w:val="8"/>
        </w:numPr>
        <w:tabs>
          <w:tab w:val="left" w:pos="1556"/>
          <w:tab w:val="left" w:pos="1557"/>
        </w:tabs>
        <w:spacing w:before="1"/>
        <w:ind w:hanging="359"/>
        <w:jc w:val="left"/>
        <w:rPr>
          <w:sz w:val="24"/>
        </w:rPr>
      </w:pPr>
      <w:r>
        <w:rPr>
          <w:color w:val="231F20"/>
          <w:sz w:val="24"/>
        </w:rPr>
        <w:t>přímé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zastoupení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řízení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před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Úřadem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ochranu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hospodářské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soutěže</w:t>
      </w:r>
    </w:p>
    <w:p w14:paraId="6648E143" w14:textId="77777777" w:rsidR="003A0507" w:rsidRDefault="00BC7C60">
      <w:pPr>
        <w:pStyle w:val="Odstavecseseznamem"/>
        <w:numPr>
          <w:ilvl w:val="0"/>
          <w:numId w:val="8"/>
        </w:numPr>
        <w:tabs>
          <w:tab w:val="left" w:pos="1556"/>
          <w:tab w:val="left" w:pos="1557"/>
        </w:tabs>
        <w:spacing w:before="39"/>
        <w:ind w:hanging="359"/>
        <w:jc w:val="left"/>
        <w:rPr>
          <w:sz w:val="24"/>
        </w:rPr>
      </w:pPr>
      <w:r>
        <w:rPr>
          <w:color w:val="231F20"/>
          <w:sz w:val="24"/>
        </w:rPr>
        <w:t>přímé zastoupení v řízení před správním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soudem</w:t>
      </w:r>
    </w:p>
    <w:p w14:paraId="14F6C107" w14:textId="77777777" w:rsidR="003A0507" w:rsidRDefault="003A0507">
      <w:pPr>
        <w:pStyle w:val="Zkladntext"/>
        <w:rPr>
          <w:sz w:val="26"/>
        </w:rPr>
      </w:pPr>
    </w:p>
    <w:p w14:paraId="5957DC6B" w14:textId="77777777" w:rsidR="003A0507" w:rsidRDefault="003A0507">
      <w:pPr>
        <w:pStyle w:val="Zkladntext"/>
        <w:spacing w:before="4"/>
        <w:rPr>
          <w:sz w:val="25"/>
        </w:rPr>
      </w:pPr>
    </w:p>
    <w:p w14:paraId="1AAFDB87" w14:textId="77777777" w:rsidR="003A0507" w:rsidRDefault="00BC7C60">
      <w:pPr>
        <w:pStyle w:val="Nadpis1"/>
        <w:ind w:left="358"/>
      </w:pPr>
      <w:r>
        <w:rPr>
          <w:color w:val="231F20"/>
        </w:rPr>
        <w:t>Čl. II.</w:t>
      </w:r>
    </w:p>
    <w:p w14:paraId="678577AC" w14:textId="77777777" w:rsidR="003A0507" w:rsidRDefault="00BC7C60">
      <w:pPr>
        <w:ind w:left="359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Práva a povinnosti smluvních stran</w:t>
      </w:r>
    </w:p>
    <w:p w14:paraId="064CF314" w14:textId="77777777" w:rsidR="003A0507" w:rsidRDefault="003A0507">
      <w:pPr>
        <w:pStyle w:val="Zkladntext"/>
        <w:spacing w:before="8"/>
        <w:rPr>
          <w:b/>
          <w:sz w:val="27"/>
        </w:rPr>
      </w:pPr>
    </w:p>
    <w:p w14:paraId="511607D4" w14:textId="77777777" w:rsidR="003A0507" w:rsidRDefault="00BC7C60">
      <w:pPr>
        <w:pStyle w:val="Odstavecseseznamem"/>
        <w:numPr>
          <w:ilvl w:val="0"/>
          <w:numId w:val="7"/>
        </w:numPr>
        <w:tabs>
          <w:tab w:val="left" w:pos="545"/>
        </w:tabs>
        <w:spacing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Poradce je vázán ústavou, obecně závaznými právními předpisy platnými na území České republiky a v jejich mezích příkazy klienta. Veškeré služby dle čl. I. této smlouvy se poradce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zavazuje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vykonávat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osobně,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popřípadě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prostřednictvím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jeho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zaměstnanců.</w:t>
      </w:r>
    </w:p>
    <w:p w14:paraId="55372762" w14:textId="77777777" w:rsidR="003A0507" w:rsidRDefault="00BC7C60">
      <w:pPr>
        <w:pStyle w:val="Odstavecseseznamem"/>
        <w:numPr>
          <w:ilvl w:val="0"/>
          <w:numId w:val="7"/>
        </w:numPr>
        <w:tabs>
          <w:tab w:val="left" w:pos="545"/>
        </w:tabs>
        <w:spacing w:line="278" w:lineRule="auto"/>
        <w:ind w:right="119"/>
        <w:jc w:val="both"/>
        <w:rPr>
          <w:sz w:val="24"/>
        </w:rPr>
      </w:pPr>
      <w:r>
        <w:rPr>
          <w:color w:val="231F20"/>
          <w:sz w:val="24"/>
        </w:rPr>
        <w:t>Poradce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povinen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řádně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chránit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prosazovat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práva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oprávněné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zájmy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klienta,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podle jeho pokynů, pokud jsou tyto pokyny v souladu s právními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předpisy.</w:t>
      </w:r>
    </w:p>
    <w:p w14:paraId="3FEEAC80" w14:textId="77777777" w:rsidR="003A0507" w:rsidRDefault="00BC7C60">
      <w:pPr>
        <w:pStyle w:val="Odstavecseseznamem"/>
        <w:numPr>
          <w:ilvl w:val="0"/>
          <w:numId w:val="7"/>
        </w:numPr>
        <w:tabs>
          <w:tab w:val="left" w:pos="545"/>
        </w:tabs>
        <w:spacing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Poradce se zavazuje na požádání informovat klienta o postupu vyřizovaných záležitostí. Dále se zavazuje, že bez zbytečného odkladu sdělí klientovi všechny okolnosti, které mohou mít vliv na změnu jeho pokynů.</w:t>
      </w:r>
    </w:p>
    <w:p w14:paraId="425C726E" w14:textId="77777777" w:rsidR="003A0507" w:rsidRDefault="00BC7C60">
      <w:pPr>
        <w:pStyle w:val="Odstavecseseznamem"/>
        <w:numPr>
          <w:ilvl w:val="0"/>
          <w:numId w:val="7"/>
        </w:numPr>
        <w:tabs>
          <w:tab w:val="left" w:pos="545"/>
        </w:tabs>
        <w:spacing w:before="5"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t>Pravomocná rozhodnutí, jimiž je klientovi uložena určitá povinnost (finanční úhrada, věcné plnění apod.), se poradce zavazuje předkládat klientovi tak, aby mohla být tato povinnost včas a řádně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splněna.</w:t>
      </w:r>
    </w:p>
    <w:p w14:paraId="6F9ECE2F" w14:textId="77777777" w:rsidR="003A0507" w:rsidRDefault="00BC7C60">
      <w:pPr>
        <w:pStyle w:val="Odstavecseseznamem"/>
        <w:numPr>
          <w:ilvl w:val="0"/>
          <w:numId w:val="7"/>
        </w:numPr>
        <w:tabs>
          <w:tab w:val="left" w:pos="545"/>
        </w:tabs>
        <w:spacing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t>Klient  se  zavazuje  k  poskytování  včasných,  správných  a  úplných  informací,  dále    k předkládání potřebných listinných podkladů a k  vyvíjení  další nezbytné  součinnosti pro poskytování právního poradenství a služeb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poradcem.</w:t>
      </w:r>
    </w:p>
    <w:p w14:paraId="3A58D451" w14:textId="77777777" w:rsidR="003A0507" w:rsidRDefault="003A0507">
      <w:pPr>
        <w:pStyle w:val="Zkladntext"/>
        <w:rPr>
          <w:sz w:val="26"/>
        </w:rPr>
      </w:pPr>
    </w:p>
    <w:p w14:paraId="7CD5E8FC" w14:textId="77777777" w:rsidR="003A0507" w:rsidRDefault="00BC7C60">
      <w:pPr>
        <w:pStyle w:val="Nadpis1"/>
        <w:spacing w:before="176"/>
      </w:pPr>
      <w:r>
        <w:rPr>
          <w:color w:val="231F20"/>
        </w:rPr>
        <w:t>Čl. III.</w:t>
      </w:r>
    </w:p>
    <w:p w14:paraId="35580947" w14:textId="77777777" w:rsidR="003A0507" w:rsidRDefault="00BC7C60">
      <w:pPr>
        <w:spacing w:before="2"/>
        <w:ind w:left="354" w:right="359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Poskytování Služeb</w:t>
      </w:r>
    </w:p>
    <w:p w14:paraId="0D68BAD8" w14:textId="77777777" w:rsidR="003A0507" w:rsidRDefault="003A0507">
      <w:pPr>
        <w:pStyle w:val="Zkladntext"/>
        <w:rPr>
          <w:rFonts w:ascii="Georgia"/>
          <w:b/>
          <w:sz w:val="22"/>
        </w:rPr>
      </w:pPr>
    </w:p>
    <w:p w14:paraId="05D49FFA" w14:textId="77777777" w:rsidR="003A0507" w:rsidRDefault="003A0507">
      <w:pPr>
        <w:pStyle w:val="Zkladntext"/>
        <w:rPr>
          <w:rFonts w:ascii="Georgia"/>
          <w:b/>
          <w:sz w:val="19"/>
        </w:rPr>
      </w:pPr>
    </w:p>
    <w:p w14:paraId="4909F371" w14:textId="77777777" w:rsidR="003A0507" w:rsidRDefault="00BC7C60">
      <w:pPr>
        <w:pStyle w:val="Zkladntext"/>
        <w:spacing w:line="276" w:lineRule="auto"/>
        <w:ind w:left="544" w:right="115" w:hanging="360"/>
        <w:jc w:val="both"/>
      </w:pPr>
      <w:r>
        <w:rPr>
          <w:color w:val="231F20"/>
        </w:rPr>
        <w:t>1. Poradce bude poskytovat Služby v souladu s platnými právními předpisy a zásadami řádné odborné péče prostřednictvím kvalifikovaných odborných pracovníků. Služby budou Klientovi poskytovány následujícím týmem právníků a poradců:</w:t>
      </w:r>
    </w:p>
    <w:p w14:paraId="1DCD03AE" w14:textId="77777777" w:rsidR="003A0507" w:rsidRDefault="003A0507">
      <w:pPr>
        <w:pStyle w:val="Zkladntext"/>
        <w:spacing w:before="9"/>
        <w:rPr>
          <w:sz w:val="27"/>
        </w:rPr>
      </w:pPr>
    </w:p>
    <w:p w14:paraId="5D12E494" w14:textId="33C2E004" w:rsidR="003A0507" w:rsidRDefault="00413537" w:rsidP="00413537">
      <w:pPr>
        <w:spacing w:line="276" w:lineRule="auto"/>
        <w:ind w:left="544"/>
        <w:rPr>
          <w:sz w:val="24"/>
        </w:rPr>
      </w:pPr>
      <w:proofErr w:type="spellStart"/>
      <w:r>
        <w:rPr>
          <w:b/>
          <w:color w:val="231F20"/>
          <w:sz w:val="24"/>
        </w:rPr>
        <w:t>xxxxx</w:t>
      </w:r>
      <w:proofErr w:type="spellEnd"/>
      <w:r w:rsidR="00BC7C60">
        <w:rPr>
          <w:b/>
          <w:color w:val="231F20"/>
          <w:sz w:val="24"/>
        </w:rPr>
        <w:t xml:space="preserve">, advokát; </w:t>
      </w:r>
      <w:r w:rsidR="00BC7C60">
        <w:rPr>
          <w:color w:val="231F20"/>
          <w:sz w:val="24"/>
        </w:rPr>
        <w:t xml:space="preserve">evidenční číslo ČAK </w:t>
      </w:r>
      <w:proofErr w:type="spellStart"/>
      <w:r>
        <w:rPr>
          <w:color w:val="231F20"/>
          <w:sz w:val="24"/>
        </w:rPr>
        <w:t>xxxxx</w:t>
      </w:r>
      <w:proofErr w:type="spellEnd"/>
      <w:r w:rsidR="00BC7C60">
        <w:rPr>
          <w:color w:val="231F20"/>
          <w:sz w:val="24"/>
        </w:rPr>
        <w:t xml:space="preserve">; </w:t>
      </w:r>
      <w:proofErr w:type="spellStart"/>
      <w:r>
        <w:rPr>
          <w:color w:val="231F20"/>
          <w:sz w:val="24"/>
        </w:rPr>
        <w:t>xxxxx</w:t>
      </w:r>
      <w:proofErr w:type="spellEnd"/>
      <w:r>
        <w:rPr>
          <w:sz w:val="24"/>
        </w:rPr>
        <w:t xml:space="preserve"> </w:t>
      </w:r>
    </w:p>
    <w:p w14:paraId="38D7EEB6" w14:textId="1E5709F5" w:rsidR="003A0507" w:rsidRDefault="00E77FEA" w:rsidP="00E77FEA">
      <w:pPr>
        <w:ind w:right="359"/>
        <w:rPr>
          <w:sz w:val="24"/>
        </w:rPr>
      </w:pPr>
      <w:r>
        <w:rPr>
          <w:b/>
          <w:color w:val="231F20"/>
          <w:sz w:val="24"/>
        </w:rPr>
        <w:t xml:space="preserve">         </w:t>
      </w:r>
      <w:proofErr w:type="spellStart"/>
      <w:r w:rsidR="00413537">
        <w:rPr>
          <w:b/>
          <w:color w:val="231F20"/>
          <w:sz w:val="24"/>
        </w:rPr>
        <w:t>xxxxx</w:t>
      </w:r>
      <w:proofErr w:type="spellEnd"/>
      <w:r w:rsidR="00BC7C60">
        <w:rPr>
          <w:b/>
          <w:color w:val="231F20"/>
          <w:sz w:val="24"/>
        </w:rPr>
        <w:t xml:space="preserve">, advokát; </w:t>
      </w:r>
      <w:r w:rsidR="00BC7C60">
        <w:rPr>
          <w:color w:val="231F20"/>
          <w:sz w:val="24"/>
        </w:rPr>
        <w:t xml:space="preserve">evidenční číslo ČAK </w:t>
      </w:r>
      <w:proofErr w:type="spellStart"/>
      <w:r w:rsidR="00413537">
        <w:rPr>
          <w:color w:val="231F20"/>
          <w:sz w:val="24"/>
        </w:rPr>
        <w:t>xxxxx</w:t>
      </w:r>
      <w:proofErr w:type="spellEnd"/>
      <w:r w:rsidR="00BC7C60">
        <w:rPr>
          <w:color w:val="231F20"/>
          <w:sz w:val="24"/>
        </w:rPr>
        <w:t xml:space="preserve">; </w:t>
      </w:r>
      <w:proofErr w:type="spellStart"/>
      <w:r w:rsidR="00413537">
        <w:rPr>
          <w:color w:val="231F20"/>
          <w:sz w:val="24"/>
        </w:rPr>
        <w:t>xxxxx</w:t>
      </w:r>
      <w:proofErr w:type="spellEnd"/>
      <w:r w:rsidR="00413537">
        <w:rPr>
          <w:sz w:val="24"/>
        </w:rPr>
        <w:t xml:space="preserve"> </w:t>
      </w:r>
    </w:p>
    <w:p w14:paraId="4EED9A00" w14:textId="1B9535E5" w:rsidR="003A0507" w:rsidRDefault="00413537" w:rsidP="00413537">
      <w:pPr>
        <w:spacing w:before="40"/>
        <w:ind w:left="523" w:right="359"/>
        <w:rPr>
          <w:sz w:val="24"/>
        </w:rPr>
      </w:pPr>
      <w:proofErr w:type="spellStart"/>
      <w:r>
        <w:rPr>
          <w:b/>
          <w:color w:val="231F20"/>
          <w:sz w:val="24"/>
        </w:rPr>
        <w:t>xxxxx</w:t>
      </w:r>
      <w:proofErr w:type="spellEnd"/>
      <w:r w:rsidR="00BC7C60">
        <w:rPr>
          <w:b/>
          <w:color w:val="231F20"/>
          <w:sz w:val="24"/>
        </w:rPr>
        <w:t xml:space="preserve">, advokát; </w:t>
      </w:r>
      <w:r w:rsidR="00BC7C60">
        <w:rPr>
          <w:color w:val="231F20"/>
          <w:sz w:val="24"/>
        </w:rPr>
        <w:t xml:space="preserve">evidenční číslo ČAK </w:t>
      </w:r>
      <w:proofErr w:type="spellStart"/>
      <w:r>
        <w:rPr>
          <w:color w:val="231F20"/>
          <w:sz w:val="24"/>
        </w:rPr>
        <w:t>xxxxx</w:t>
      </w:r>
      <w:proofErr w:type="spellEnd"/>
      <w:r w:rsidR="00BC7C60">
        <w:rPr>
          <w:color w:val="231F20"/>
          <w:sz w:val="24"/>
        </w:rPr>
        <w:t>;</w:t>
      </w:r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xxxxx</w:t>
      </w:r>
      <w:proofErr w:type="spellEnd"/>
      <w:r>
        <w:rPr>
          <w:sz w:val="24"/>
        </w:rPr>
        <w:t xml:space="preserve"> </w:t>
      </w:r>
    </w:p>
    <w:p w14:paraId="0C39E2B2" w14:textId="77777777" w:rsidR="003A0507" w:rsidRDefault="003A0507" w:rsidP="00413537">
      <w:pPr>
        <w:pStyle w:val="Zkladntext"/>
        <w:spacing w:before="5"/>
        <w:rPr>
          <w:sz w:val="23"/>
        </w:rPr>
      </w:pPr>
    </w:p>
    <w:p w14:paraId="23BA8156" w14:textId="77777777" w:rsidR="003A0507" w:rsidRDefault="00BC7C60">
      <w:pPr>
        <w:pStyle w:val="Zkladntext"/>
        <w:spacing w:before="90" w:line="276" w:lineRule="auto"/>
        <w:ind w:left="544" w:right="102"/>
        <w:rPr>
          <w:sz w:val="22"/>
        </w:rPr>
      </w:pPr>
      <w:r>
        <w:rPr>
          <w:color w:val="231F20"/>
        </w:rPr>
        <w:t>Za účelem zajištění bezproblémového a včasného poskytování služeb může být tým podle potřeby rozšířen o další právníky a odborné pracovníky</w:t>
      </w:r>
      <w:r>
        <w:rPr>
          <w:color w:val="231F20"/>
          <w:sz w:val="22"/>
        </w:rPr>
        <w:t>.</w:t>
      </w:r>
    </w:p>
    <w:p w14:paraId="45007C56" w14:textId="77777777" w:rsidR="003A0507" w:rsidRDefault="003A0507">
      <w:pPr>
        <w:spacing w:line="276" w:lineRule="auto"/>
        <w:sectPr w:rsidR="003A0507">
          <w:pgSz w:w="11910" w:h="16840"/>
          <w:pgMar w:top="1380" w:right="1300" w:bottom="280" w:left="1300" w:header="708" w:footer="708" w:gutter="0"/>
          <w:cols w:space="708"/>
        </w:sectPr>
      </w:pPr>
    </w:p>
    <w:p w14:paraId="3EAEBCA5" w14:textId="77777777" w:rsidR="003A0507" w:rsidRDefault="00BC7C60">
      <w:pPr>
        <w:pStyle w:val="Nadpis1"/>
        <w:spacing w:before="75"/>
      </w:pPr>
      <w:r>
        <w:rPr>
          <w:color w:val="231F20"/>
        </w:rPr>
        <w:lastRenderedPageBreak/>
        <w:t>Čl. IV.</w:t>
      </w:r>
    </w:p>
    <w:p w14:paraId="5087D1C5" w14:textId="77777777" w:rsidR="003A0507" w:rsidRDefault="00BC7C60">
      <w:pPr>
        <w:ind w:left="359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Smluvní odměna</w:t>
      </w:r>
    </w:p>
    <w:p w14:paraId="05874584" w14:textId="77777777" w:rsidR="003A0507" w:rsidRDefault="003A0507">
      <w:pPr>
        <w:pStyle w:val="Zkladntext"/>
        <w:spacing w:before="11"/>
        <w:rPr>
          <w:b/>
          <w:sz w:val="23"/>
        </w:rPr>
      </w:pPr>
    </w:p>
    <w:p w14:paraId="31828F5A" w14:textId="77777777" w:rsidR="003A0507" w:rsidRDefault="00BC7C60">
      <w:pPr>
        <w:pStyle w:val="Odstavecseseznamem"/>
        <w:numPr>
          <w:ilvl w:val="0"/>
          <w:numId w:val="6"/>
        </w:numPr>
        <w:tabs>
          <w:tab w:val="left" w:pos="545"/>
        </w:tabs>
        <w:spacing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 xml:space="preserve">Klient se tímto zavazuje uhradit poradci smluvní odměnu za poskytnutí služeb poradcem dle čl. I. této smlouvy. Smluvní odměna se stanoví jako hodinová, a to v následující výši v Kč za jednu hodinu: </w:t>
      </w:r>
      <w:r>
        <w:rPr>
          <w:b/>
          <w:color w:val="231F20"/>
          <w:sz w:val="24"/>
        </w:rPr>
        <w:t>2 500</w:t>
      </w:r>
      <w:r>
        <w:rPr>
          <w:color w:val="231F20"/>
          <w:sz w:val="24"/>
        </w:rPr>
        <w:t>,- Kč bez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DPH.</w:t>
      </w:r>
    </w:p>
    <w:p w14:paraId="78C24496" w14:textId="77777777" w:rsidR="003A0507" w:rsidRDefault="00BC7C60">
      <w:pPr>
        <w:pStyle w:val="Zkladntext"/>
        <w:spacing w:line="276" w:lineRule="auto"/>
        <w:ind w:left="544"/>
      </w:pPr>
      <w:r>
        <w:rPr>
          <w:color w:val="231F20"/>
        </w:rPr>
        <w:t>Smluvní hodinová odměna bude poradcem klientovi účtována dle skutečného vynaložení času při poskytování služeb poradcem dle čl. I. této smlouvy.</w:t>
      </w:r>
    </w:p>
    <w:p w14:paraId="4FCE26FA" w14:textId="77777777" w:rsidR="003A0507" w:rsidRDefault="00BC7C60">
      <w:pPr>
        <w:pStyle w:val="Odstavecseseznamem"/>
        <w:numPr>
          <w:ilvl w:val="0"/>
          <w:numId w:val="6"/>
        </w:numPr>
        <w:tabs>
          <w:tab w:val="left" w:pos="545"/>
        </w:tabs>
        <w:spacing w:before="2"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Smluvní odměna zahrnuje veškerou náhradu nákladů spojenou s poskytováním služeb poradcem dle čl. I. této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smlouvy.</w:t>
      </w:r>
    </w:p>
    <w:p w14:paraId="32BA21A8" w14:textId="77777777" w:rsidR="003A0507" w:rsidRDefault="00BC7C60">
      <w:pPr>
        <w:pStyle w:val="Odstavecseseznamem"/>
        <w:numPr>
          <w:ilvl w:val="0"/>
          <w:numId w:val="6"/>
        </w:numPr>
        <w:tabs>
          <w:tab w:val="left" w:pos="426"/>
          <w:tab w:val="left" w:pos="545"/>
        </w:tabs>
        <w:ind w:right="1"/>
        <w:rPr>
          <w:b/>
          <w:sz w:val="24"/>
        </w:rPr>
      </w:pPr>
      <w:r>
        <w:rPr>
          <w:color w:val="231F20"/>
          <w:sz w:val="24"/>
        </w:rPr>
        <w:t>Maximální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hodnota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odměny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celkové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poskytnutí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služeb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činí</w:t>
      </w:r>
      <w:r>
        <w:rPr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2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000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000</w:t>
      </w:r>
    </w:p>
    <w:p w14:paraId="29AA05E5" w14:textId="77777777" w:rsidR="003A0507" w:rsidRDefault="00BC7C60">
      <w:pPr>
        <w:pStyle w:val="Nadpis1"/>
        <w:spacing w:before="40"/>
        <w:ind w:left="544" w:right="0"/>
        <w:jc w:val="left"/>
        <w:rPr>
          <w:b w:val="0"/>
        </w:rPr>
      </w:pPr>
      <w:r>
        <w:rPr>
          <w:color w:val="231F20"/>
        </w:rPr>
        <w:t>Kč bez DPH</w:t>
      </w:r>
      <w:r>
        <w:rPr>
          <w:b w:val="0"/>
          <w:color w:val="231F20"/>
        </w:rPr>
        <w:t>.</w:t>
      </w:r>
    </w:p>
    <w:p w14:paraId="7AB0F030" w14:textId="77777777" w:rsidR="003A0507" w:rsidRDefault="00BC7C60">
      <w:pPr>
        <w:pStyle w:val="Odstavecseseznamem"/>
        <w:numPr>
          <w:ilvl w:val="0"/>
          <w:numId w:val="6"/>
        </w:numPr>
        <w:tabs>
          <w:tab w:val="left" w:pos="545"/>
        </w:tabs>
        <w:spacing w:before="42"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t>K smluvní odměně bude poradcem připočtena DPH v souladu s právními předpisy platnými v České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republice.</w:t>
      </w:r>
    </w:p>
    <w:p w14:paraId="70FB6502" w14:textId="77777777" w:rsidR="003A0507" w:rsidRDefault="00BC7C60">
      <w:pPr>
        <w:pStyle w:val="Odstavecseseznamem"/>
        <w:numPr>
          <w:ilvl w:val="0"/>
          <w:numId w:val="6"/>
        </w:numPr>
        <w:tabs>
          <w:tab w:val="left" w:pos="545"/>
        </w:tabs>
        <w:spacing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Smluvní odměna bude klientem hrazena na základě faktur vystavených poradcem, splatných do 30 dnů od doručení klientovi. Faktura musí mít náležitosti účetního dokladu podle zákona č. 563/1991 Sb., o účetnictví ve znění pozdějších předpisů a daňového dokladu podle zákona č. 235/2004 Sb., o dani z přidané hodnoty, v aktuálním znění. Poradce  se  zavazuje  ke  každé  faktuře  připojit  seznam  jím  provedených  úkonů,        a to ve formě rozpisu hodin vztahujícího se ke každému jednotlivému úkonu poradce. Rozpis hodin musí být schválen klientem,  bez takového schválení není  klient povinen    k úhradě smluvní odměny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poradce.</w:t>
      </w:r>
    </w:p>
    <w:p w14:paraId="775EFC6D" w14:textId="77777777" w:rsidR="003A0507" w:rsidRDefault="003A0507">
      <w:pPr>
        <w:pStyle w:val="Zkladntext"/>
        <w:rPr>
          <w:sz w:val="26"/>
        </w:rPr>
      </w:pPr>
    </w:p>
    <w:p w14:paraId="1206E7CC" w14:textId="77777777" w:rsidR="003A0507" w:rsidRDefault="003A0507">
      <w:pPr>
        <w:pStyle w:val="Zkladntext"/>
        <w:rPr>
          <w:sz w:val="22"/>
        </w:rPr>
      </w:pPr>
    </w:p>
    <w:p w14:paraId="2DF73CE0" w14:textId="77777777" w:rsidR="003A0507" w:rsidRDefault="00BC7C60">
      <w:pPr>
        <w:pStyle w:val="Nadpis1"/>
        <w:ind w:left="358"/>
      </w:pPr>
      <w:r>
        <w:rPr>
          <w:color w:val="231F20"/>
        </w:rPr>
        <w:t>Čl. V.</w:t>
      </w:r>
    </w:p>
    <w:p w14:paraId="00E726F5" w14:textId="77777777" w:rsidR="003A0507" w:rsidRDefault="00BC7C60">
      <w:pPr>
        <w:ind w:left="359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Odpovědnost za škodu</w:t>
      </w:r>
    </w:p>
    <w:p w14:paraId="3ECE46B7" w14:textId="77777777" w:rsidR="003A0507" w:rsidRDefault="003A0507">
      <w:pPr>
        <w:pStyle w:val="Zkladntext"/>
        <w:rPr>
          <w:b/>
        </w:rPr>
      </w:pPr>
    </w:p>
    <w:p w14:paraId="0A7BBFCA" w14:textId="77777777" w:rsidR="003A0507" w:rsidRDefault="00BC7C60">
      <w:pPr>
        <w:pStyle w:val="Zkladntext"/>
        <w:spacing w:line="276" w:lineRule="auto"/>
        <w:ind w:left="544" w:right="117" w:hanging="427"/>
        <w:jc w:val="both"/>
        <w:rPr>
          <w:b/>
        </w:rPr>
      </w:pPr>
      <w:r>
        <w:rPr>
          <w:color w:val="231F20"/>
        </w:rPr>
        <w:t>1. Poradce se zavazuje po celou dobu platnosti této smlouvy mít u pojišťovací společnosti sjednáno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způsobenou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poskytování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této smlouvy, a to s minimální výší pojistného plnění </w:t>
      </w:r>
      <w:r>
        <w:rPr>
          <w:b/>
          <w:color w:val="231F20"/>
        </w:rPr>
        <w:t>100 mil.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Kč.</w:t>
      </w:r>
    </w:p>
    <w:p w14:paraId="48795723" w14:textId="77777777" w:rsidR="003A0507" w:rsidRDefault="003A0507">
      <w:pPr>
        <w:pStyle w:val="Zkladntext"/>
        <w:rPr>
          <w:b/>
          <w:sz w:val="26"/>
        </w:rPr>
      </w:pPr>
    </w:p>
    <w:p w14:paraId="7210C0BD" w14:textId="77777777" w:rsidR="003A0507" w:rsidRDefault="003A0507">
      <w:pPr>
        <w:pStyle w:val="Zkladntext"/>
        <w:spacing w:before="2"/>
        <w:rPr>
          <w:b/>
          <w:sz w:val="22"/>
        </w:rPr>
      </w:pPr>
    </w:p>
    <w:p w14:paraId="07BF0980" w14:textId="77777777" w:rsidR="003A0507" w:rsidRDefault="00BC7C60">
      <w:pPr>
        <w:pStyle w:val="Nadpis1"/>
        <w:ind w:left="467"/>
      </w:pPr>
      <w:r>
        <w:rPr>
          <w:color w:val="231F20"/>
        </w:rPr>
        <w:t>Čl. VI.</w:t>
      </w:r>
    </w:p>
    <w:p w14:paraId="46DC2A46" w14:textId="77777777" w:rsidR="003A0507" w:rsidRDefault="00BC7C60">
      <w:pPr>
        <w:ind w:left="358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Osoby zmocněné k jednání, kontakty</w:t>
      </w:r>
    </w:p>
    <w:p w14:paraId="074E90CE" w14:textId="77777777" w:rsidR="003A0507" w:rsidRDefault="003A0507">
      <w:pPr>
        <w:pStyle w:val="Zkladntext"/>
        <w:rPr>
          <w:b/>
        </w:rPr>
      </w:pPr>
    </w:p>
    <w:p w14:paraId="6C15EC5A" w14:textId="77777777" w:rsidR="003A0507" w:rsidRDefault="00BC7C60">
      <w:pPr>
        <w:pStyle w:val="Odstavecseseznamem"/>
        <w:numPr>
          <w:ilvl w:val="0"/>
          <w:numId w:val="5"/>
        </w:numPr>
        <w:tabs>
          <w:tab w:val="left" w:pos="478"/>
        </w:tabs>
        <w:spacing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smluvních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stran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jmenuje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odpovědného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zástupce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plnění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smlouvy.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 xml:space="preserve">Nebude- </w:t>
      </w:r>
      <w:proofErr w:type="spellStart"/>
      <w:r>
        <w:rPr>
          <w:color w:val="231F20"/>
          <w:sz w:val="24"/>
        </w:rPr>
        <w:t>li</w:t>
      </w:r>
      <w:proofErr w:type="spellEnd"/>
      <w:r>
        <w:rPr>
          <w:color w:val="231F20"/>
          <w:sz w:val="24"/>
        </w:rPr>
        <w:t xml:space="preserve"> dohodnuto jinak, bude veškerá komunikace probíhat prostřednictvím odpovědných zástupců.</w:t>
      </w:r>
    </w:p>
    <w:p w14:paraId="20191768" w14:textId="77777777" w:rsidR="003A0507" w:rsidRDefault="00BC7C60">
      <w:pPr>
        <w:pStyle w:val="Odstavecseseznamem"/>
        <w:numPr>
          <w:ilvl w:val="0"/>
          <w:numId w:val="5"/>
        </w:numPr>
        <w:tabs>
          <w:tab w:val="left" w:pos="478"/>
        </w:tabs>
        <w:rPr>
          <w:sz w:val="24"/>
        </w:rPr>
      </w:pPr>
      <w:r>
        <w:rPr>
          <w:color w:val="231F20"/>
          <w:sz w:val="24"/>
        </w:rPr>
        <w:t>Odpovědnými za plnění povinností z této smlouvy jsou tyto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osoby:</w:t>
      </w:r>
    </w:p>
    <w:p w14:paraId="7DA3BB08" w14:textId="77777777" w:rsidR="003A0507" w:rsidRDefault="003A0507">
      <w:pPr>
        <w:pStyle w:val="Zkladntext"/>
        <w:spacing w:before="8"/>
        <w:rPr>
          <w:sz w:val="27"/>
        </w:rPr>
      </w:pPr>
    </w:p>
    <w:p w14:paraId="0D4B2256" w14:textId="24F6FF71" w:rsidR="003A0507" w:rsidRDefault="00BC7C60">
      <w:pPr>
        <w:pStyle w:val="Nadpis1"/>
        <w:tabs>
          <w:tab w:val="left" w:pos="2948"/>
        </w:tabs>
        <w:ind w:left="477" w:right="0"/>
        <w:jc w:val="left"/>
      </w:pP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klienta:</w:t>
      </w:r>
      <w:r>
        <w:rPr>
          <w:color w:val="231F20"/>
        </w:rPr>
        <w:tab/>
      </w:r>
      <w:proofErr w:type="spellStart"/>
      <w:r w:rsidR="00AD1903">
        <w:rPr>
          <w:color w:val="231F20"/>
        </w:rPr>
        <w:t>xxxxx</w:t>
      </w:r>
      <w:proofErr w:type="spellEnd"/>
    </w:p>
    <w:p w14:paraId="1670FD9C" w14:textId="08AA8B4A" w:rsidR="003A0507" w:rsidRDefault="00BC7C60">
      <w:pPr>
        <w:pStyle w:val="Zkladntext"/>
        <w:tabs>
          <w:tab w:val="left" w:pos="2948"/>
        </w:tabs>
        <w:spacing w:before="40"/>
        <w:ind w:left="477"/>
      </w:pPr>
      <w:r>
        <w:rPr>
          <w:color w:val="231F20"/>
        </w:rPr>
        <w:t>Email:</w:t>
      </w:r>
      <w:r>
        <w:rPr>
          <w:color w:val="231F20"/>
        </w:rPr>
        <w:tab/>
      </w:r>
      <w:proofErr w:type="spellStart"/>
      <w:r w:rsidR="00AD1903">
        <w:rPr>
          <w:color w:val="231F20"/>
        </w:rPr>
        <w:t>xxxxx</w:t>
      </w:r>
      <w:proofErr w:type="spellEnd"/>
      <w:r w:rsidR="00AD1903">
        <w:t xml:space="preserve"> </w:t>
      </w:r>
    </w:p>
    <w:p w14:paraId="07BDFE46" w14:textId="585F49F4" w:rsidR="003A0507" w:rsidRDefault="00BC7C60">
      <w:pPr>
        <w:pStyle w:val="Zkladntext"/>
        <w:tabs>
          <w:tab w:val="left" w:pos="2948"/>
        </w:tabs>
        <w:spacing w:before="40"/>
        <w:ind w:left="477"/>
      </w:pPr>
      <w:r>
        <w:rPr>
          <w:color w:val="231F20"/>
        </w:rPr>
        <w:t>Tel:</w:t>
      </w:r>
      <w:r>
        <w:rPr>
          <w:color w:val="231F20"/>
        </w:rPr>
        <w:tab/>
      </w:r>
      <w:proofErr w:type="spellStart"/>
      <w:r w:rsidR="00AD1903">
        <w:rPr>
          <w:color w:val="231F20"/>
        </w:rPr>
        <w:t>xxxx</w:t>
      </w:r>
      <w:r w:rsidR="007D7D56">
        <w:rPr>
          <w:color w:val="231F20"/>
        </w:rPr>
        <w:t>x</w:t>
      </w:r>
      <w:proofErr w:type="spellEnd"/>
    </w:p>
    <w:p w14:paraId="1ED08A8A" w14:textId="77777777" w:rsidR="003A0507" w:rsidRDefault="003A0507">
      <w:pPr>
        <w:pStyle w:val="Zkladntext"/>
        <w:spacing w:before="2"/>
        <w:rPr>
          <w:sz w:val="31"/>
        </w:rPr>
      </w:pPr>
    </w:p>
    <w:p w14:paraId="415F9212" w14:textId="0E963EDD" w:rsidR="003A0507" w:rsidRDefault="00BC7C60">
      <w:pPr>
        <w:pStyle w:val="Nadpis1"/>
        <w:tabs>
          <w:tab w:val="left" w:pos="2948"/>
        </w:tabs>
        <w:spacing w:before="1"/>
        <w:ind w:left="477" w:right="0"/>
        <w:jc w:val="left"/>
      </w:pP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poradce:</w:t>
      </w:r>
      <w:r>
        <w:rPr>
          <w:color w:val="231F20"/>
        </w:rPr>
        <w:tab/>
      </w:r>
      <w:proofErr w:type="spellStart"/>
      <w:r w:rsidR="00AD1903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advokát</w:t>
      </w:r>
    </w:p>
    <w:p w14:paraId="0A739063" w14:textId="68B16F99" w:rsidR="003A0507" w:rsidRDefault="00BC7C60">
      <w:pPr>
        <w:pStyle w:val="Zkladntext"/>
        <w:tabs>
          <w:tab w:val="left" w:pos="2948"/>
        </w:tabs>
        <w:spacing w:before="40"/>
        <w:ind w:left="477"/>
      </w:pPr>
      <w:r>
        <w:rPr>
          <w:color w:val="231F20"/>
        </w:rPr>
        <w:t>Email:</w:t>
      </w:r>
      <w:r>
        <w:rPr>
          <w:color w:val="231F20"/>
        </w:rPr>
        <w:tab/>
      </w:r>
      <w:proofErr w:type="spellStart"/>
      <w:r w:rsidR="00AD1903">
        <w:rPr>
          <w:color w:val="231F20"/>
        </w:rPr>
        <w:t>xxxxx</w:t>
      </w:r>
      <w:proofErr w:type="spellEnd"/>
      <w:r w:rsidR="00AD1903">
        <w:t xml:space="preserve"> </w:t>
      </w:r>
    </w:p>
    <w:p w14:paraId="0E76E342" w14:textId="74F82FB2" w:rsidR="003A0507" w:rsidRPr="006D2243" w:rsidRDefault="00BC7C60">
      <w:pPr>
        <w:tabs>
          <w:tab w:val="left" w:pos="2948"/>
        </w:tabs>
        <w:spacing w:before="40"/>
        <w:ind w:left="477"/>
        <w:rPr>
          <w:sz w:val="24"/>
          <w:szCs w:val="24"/>
        </w:rPr>
      </w:pPr>
      <w:r>
        <w:rPr>
          <w:color w:val="231F20"/>
          <w:sz w:val="24"/>
        </w:rPr>
        <w:t>Tel:</w:t>
      </w:r>
      <w:r>
        <w:rPr>
          <w:color w:val="231F20"/>
          <w:sz w:val="24"/>
        </w:rPr>
        <w:tab/>
      </w:r>
      <w:proofErr w:type="spellStart"/>
      <w:r w:rsidR="00AD1903" w:rsidRPr="006D2243">
        <w:rPr>
          <w:color w:val="231F20"/>
          <w:sz w:val="24"/>
          <w:szCs w:val="24"/>
        </w:rPr>
        <w:t>xxxxx</w:t>
      </w:r>
      <w:proofErr w:type="spellEnd"/>
    </w:p>
    <w:p w14:paraId="01F924C9" w14:textId="77777777" w:rsidR="003A0507" w:rsidRDefault="003A0507">
      <w:pPr>
        <w:sectPr w:rsidR="003A0507">
          <w:pgSz w:w="11910" w:h="16840"/>
          <w:pgMar w:top="1060" w:right="1300" w:bottom="280" w:left="1300" w:header="708" w:footer="708" w:gutter="0"/>
          <w:cols w:space="708"/>
        </w:sectPr>
      </w:pPr>
    </w:p>
    <w:p w14:paraId="4E04E346" w14:textId="77777777" w:rsidR="003A0507" w:rsidRDefault="00BC7C60">
      <w:pPr>
        <w:pStyle w:val="Nadpis1"/>
        <w:spacing w:before="170"/>
        <w:ind w:left="357"/>
      </w:pPr>
      <w:r>
        <w:rPr>
          <w:color w:val="231F20"/>
        </w:rPr>
        <w:lastRenderedPageBreak/>
        <w:t>Čl. VII.</w:t>
      </w:r>
    </w:p>
    <w:p w14:paraId="2C8FCD60" w14:textId="77777777" w:rsidR="003A0507" w:rsidRDefault="00BC7C60">
      <w:pPr>
        <w:ind w:left="357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Trvání a zánik této smlouvy</w:t>
      </w:r>
    </w:p>
    <w:p w14:paraId="23C6974C" w14:textId="77777777" w:rsidR="003A0507" w:rsidRDefault="003A0507">
      <w:pPr>
        <w:pStyle w:val="Zkladntext"/>
        <w:rPr>
          <w:b/>
        </w:rPr>
      </w:pPr>
    </w:p>
    <w:p w14:paraId="14A6F3A9" w14:textId="77777777" w:rsidR="003A0507" w:rsidRDefault="00BC7C60">
      <w:pPr>
        <w:pStyle w:val="Odstavecseseznamem"/>
        <w:numPr>
          <w:ilvl w:val="0"/>
          <w:numId w:val="4"/>
        </w:numPr>
        <w:tabs>
          <w:tab w:val="left" w:pos="426"/>
          <w:tab w:val="left" w:pos="545"/>
        </w:tabs>
        <w:ind w:right="1"/>
        <w:rPr>
          <w:sz w:val="24"/>
        </w:rPr>
      </w:pPr>
      <w:r>
        <w:rPr>
          <w:color w:val="231F20"/>
          <w:sz w:val="24"/>
        </w:rPr>
        <w:t>Tato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smlouva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uzavírá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dobu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určitou,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dobu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36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měsíců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jejího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uveřejnění</w:t>
      </w:r>
    </w:p>
    <w:p w14:paraId="63DE64F2" w14:textId="77777777" w:rsidR="003A0507" w:rsidRDefault="00BC7C60">
      <w:pPr>
        <w:pStyle w:val="Zkladntext"/>
        <w:spacing w:before="40"/>
        <w:ind w:left="544"/>
      </w:pPr>
      <w:r>
        <w:rPr>
          <w:color w:val="231F20"/>
        </w:rPr>
        <w:t>v Registru smluv.</w:t>
      </w:r>
    </w:p>
    <w:p w14:paraId="65D38DD9" w14:textId="77777777" w:rsidR="003A0507" w:rsidRDefault="00BC7C60">
      <w:pPr>
        <w:pStyle w:val="Odstavecseseznamem"/>
        <w:numPr>
          <w:ilvl w:val="0"/>
          <w:numId w:val="4"/>
        </w:numPr>
        <w:tabs>
          <w:tab w:val="left" w:pos="545"/>
        </w:tabs>
        <w:spacing w:before="40"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případě,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dojde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celkovému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vyčerpání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maximální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hodnoty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odměny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čl.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IV.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 před uplynutím doby uvedené v předchozím odst., dojde k ukončení smlouvy k datu vyčerpání maximální hodnoty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odměny.</w:t>
      </w:r>
    </w:p>
    <w:p w14:paraId="7FF5BA49" w14:textId="77777777" w:rsidR="003A0507" w:rsidRDefault="00BC7C60">
      <w:pPr>
        <w:pStyle w:val="Odstavecseseznamem"/>
        <w:numPr>
          <w:ilvl w:val="0"/>
          <w:numId w:val="4"/>
        </w:numPr>
        <w:tabs>
          <w:tab w:val="left" w:pos="545"/>
        </w:tabs>
        <w:spacing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t>Tato smlouva může být ukončena písemnou dohodou smluvních stran nebo písemnou výpovědí, a to i bez udání důvodu. Výpovědní lhůta činí 3 měsíce a počíná běžet 1. dne měsíce následujícího po měsíci, v němž byla písemná výpověď doručena druhé smluvní straně.</w:t>
      </w:r>
    </w:p>
    <w:p w14:paraId="10F87769" w14:textId="77777777" w:rsidR="003A0507" w:rsidRDefault="003A0507">
      <w:pPr>
        <w:pStyle w:val="Zkladntext"/>
        <w:rPr>
          <w:sz w:val="26"/>
        </w:rPr>
      </w:pPr>
    </w:p>
    <w:p w14:paraId="2709B869" w14:textId="77777777" w:rsidR="003A0507" w:rsidRDefault="003A0507">
      <w:pPr>
        <w:pStyle w:val="Zkladntext"/>
        <w:spacing w:before="3"/>
        <w:rPr>
          <w:sz w:val="29"/>
        </w:rPr>
      </w:pPr>
    </w:p>
    <w:p w14:paraId="3AF44FA3" w14:textId="77777777" w:rsidR="003A0507" w:rsidRDefault="00BC7C60">
      <w:pPr>
        <w:pStyle w:val="Nadpis1"/>
        <w:ind w:left="357"/>
      </w:pPr>
      <w:r>
        <w:rPr>
          <w:color w:val="231F20"/>
        </w:rPr>
        <w:t>Čl. VIII</w:t>
      </w:r>
    </w:p>
    <w:p w14:paraId="49A00298" w14:textId="77777777" w:rsidR="003A0507" w:rsidRDefault="00BC7C60">
      <w:pPr>
        <w:ind w:left="355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Důvěrné informace</w:t>
      </w:r>
    </w:p>
    <w:p w14:paraId="1A906E04" w14:textId="77777777" w:rsidR="003A0507" w:rsidRDefault="003A0507">
      <w:pPr>
        <w:pStyle w:val="Zkladntext"/>
        <w:rPr>
          <w:b/>
        </w:rPr>
      </w:pPr>
    </w:p>
    <w:p w14:paraId="31D95F67" w14:textId="77777777" w:rsidR="003A0507" w:rsidRDefault="00BC7C60">
      <w:pPr>
        <w:pStyle w:val="Odstavecseseznamem"/>
        <w:numPr>
          <w:ilvl w:val="0"/>
          <w:numId w:val="3"/>
        </w:numPr>
        <w:tabs>
          <w:tab w:val="left" w:pos="545"/>
        </w:tabs>
        <w:spacing w:line="276" w:lineRule="auto"/>
        <w:ind w:right="115"/>
        <w:jc w:val="both"/>
        <w:rPr>
          <w:sz w:val="24"/>
        </w:rPr>
      </w:pPr>
      <w:r>
        <w:rPr>
          <w:color w:val="231F20"/>
          <w:sz w:val="24"/>
        </w:rPr>
        <w:t>Pokud není výslovně písemně uvedeno jinak, není žádná ze smluvních stran oprávněna zveřejnit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informace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týkající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poskytování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služeb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poradcem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čl.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ani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jiné informace nabyté v průběhu platnosti této smlouvy smluvní strany se přímo či nepřímo týkající.</w:t>
      </w:r>
    </w:p>
    <w:p w14:paraId="7B2DC4FC" w14:textId="77777777" w:rsidR="003A0507" w:rsidRDefault="00BC7C60">
      <w:pPr>
        <w:pStyle w:val="Odstavecseseznamem"/>
        <w:numPr>
          <w:ilvl w:val="0"/>
          <w:numId w:val="3"/>
        </w:numPr>
        <w:tabs>
          <w:tab w:val="left" w:pos="544"/>
          <w:tab w:val="left" w:pos="545"/>
        </w:tabs>
        <w:spacing w:before="2"/>
        <w:rPr>
          <w:sz w:val="24"/>
        </w:rPr>
      </w:pPr>
      <w:r>
        <w:rPr>
          <w:color w:val="231F20"/>
          <w:sz w:val="24"/>
        </w:rPr>
        <w:t>Veškeré informace nabyté při plnění této smlouvy se pokládají za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důvěrné.</w:t>
      </w:r>
    </w:p>
    <w:p w14:paraId="25EAFE32" w14:textId="77777777" w:rsidR="003A0507" w:rsidRDefault="00BC7C60">
      <w:pPr>
        <w:pStyle w:val="Odstavecseseznamem"/>
        <w:numPr>
          <w:ilvl w:val="0"/>
          <w:numId w:val="3"/>
        </w:numPr>
        <w:tabs>
          <w:tab w:val="left" w:pos="545"/>
        </w:tabs>
        <w:spacing w:before="40"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Poradce se zavazuje zachovávat mlčenlivost o všech klientem poskytnutých informacích, 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přímo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nepřímo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dozvěděl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při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plnění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smlouvy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zavazuje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nimi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nakládat v režimu, který užívá pro ochranu svých důvěrných informací. Současně se zavazuje ve stejném rozsahu  zavázat  k mlčenlivosti taktéž všechny své  zaměstnance  a osoby, které 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důvěrnými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informacemi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budou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přicházet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styku.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Povinnosti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mlčenlivosti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může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poradce zprostit jen klient. Zbavení povinnosti mlčenlivosti poradce klientem musí být provedeno písemně a poradce musí s ním být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seznámen.</w:t>
      </w:r>
    </w:p>
    <w:p w14:paraId="43268760" w14:textId="77777777" w:rsidR="003A0507" w:rsidRDefault="003A0507">
      <w:pPr>
        <w:pStyle w:val="Zkladntext"/>
        <w:rPr>
          <w:sz w:val="26"/>
        </w:rPr>
      </w:pPr>
    </w:p>
    <w:p w14:paraId="38244518" w14:textId="77777777" w:rsidR="003A0507" w:rsidRDefault="003A0507">
      <w:pPr>
        <w:pStyle w:val="Zkladntext"/>
        <w:rPr>
          <w:sz w:val="22"/>
        </w:rPr>
      </w:pPr>
    </w:p>
    <w:p w14:paraId="627B6DAD" w14:textId="77777777" w:rsidR="003A0507" w:rsidRDefault="00BC7C60">
      <w:pPr>
        <w:pStyle w:val="Nadpis1"/>
      </w:pPr>
      <w:r>
        <w:rPr>
          <w:color w:val="231F20"/>
        </w:rPr>
        <w:t>Čl. IX.</w:t>
      </w:r>
    </w:p>
    <w:p w14:paraId="342B7C63" w14:textId="77777777" w:rsidR="003A0507" w:rsidRDefault="00BC7C60">
      <w:pPr>
        <w:ind w:left="358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Smluvní pokuta</w:t>
      </w:r>
    </w:p>
    <w:p w14:paraId="034FA315" w14:textId="77777777" w:rsidR="003A0507" w:rsidRDefault="003A0507">
      <w:pPr>
        <w:pStyle w:val="Zkladntext"/>
        <w:rPr>
          <w:b/>
        </w:rPr>
      </w:pPr>
    </w:p>
    <w:p w14:paraId="21300A30" w14:textId="77777777" w:rsidR="003A0507" w:rsidRDefault="00BC7C60">
      <w:pPr>
        <w:pStyle w:val="Odstavecseseznamem"/>
        <w:numPr>
          <w:ilvl w:val="0"/>
          <w:numId w:val="2"/>
        </w:numPr>
        <w:tabs>
          <w:tab w:val="left" w:pos="545"/>
        </w:tabs>
        <w:spacing w:line="276" w:lineRule="auto"/>
        <w:ind w:right="115"/>
        <w:jc w:val="both"/>
        <w:rPr>
          <w:sz w:val="24"/>
        </w:rPr>
      </w:pPr>
      <w:r>
        <w:rPr>
          <w:color w:val="231F20"/>
          <w:sz w:val="24"/>
        </w:rPr>
        <w:t>Klient se zavazuje v případě prodlení se zaplacením dohodnuté ceny dle podmínek této smlouvy zaplatit poradci smluvní pokutu ve výši 0,05 % z ceny plnění bez DPH, s jejímž zaplacením je klient v prodlení, a to za každý započatý den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prodlení.</w:t>
      </w:r>
    </w:p>
    <w:p w14:paraId="4B0397B3" w14:textId="77777777" w:rsidR="003A0507" w:rsidRDefault="00BC7C60">
      <w:pPr>
        <w:pStyle w:val="Odstavecseseznamem"/>
        <w:numPr>
          <w:ilvl w:val="0"/>
          <w:numId w:val="2"/>
        </w:numPr>
        <w:tabs>
          <w:tab w:val="left" w:pos="545"/>
        </w:tabs>
        <w:spacing w:line="276" w:lineRule="auto"/>
        <w:ind w:right="114"/>
        <w:jc w:val="both"/>
        <w:rPr>
          <w:sz w:val="24"/>
        </w:rPr>
      </w:pPr>
      <w:r>
        <w:rPr>
          <w:color w:val="231F20"/>
          <w:sz w:val="24"/>
        </w:rPr>
        <w:t>V případě prodlení poradce s plněním dle termínů dohodnutých smluvními stranami má klient vůči poradci nárok na zaplacení smluvní pokuty ve výši 0,5 % z ceny poskytované služby za každý započatý den prodlení. To platí pouze v případě, kdy prodlení s plněním termínů je způsobeno výlučně důvody na straně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poradce.</w:t>
      </w:r>
    </w:p>
    <w:p w14:paraId="63DF8AB6" w14:textId="77777777" w:rsidR="003A0507" w:rsidRDefault="00BC7C60">
      <w:pPr>
        <w:pStyle w:val="Odstavecseseznamem"/>
        <w:numPr>
          <w:ilvl w:val="0"/>
          <w:numId w:val="2"/>
        </w:numPr>
        <w:tabs>
          <w:tab w:val="left" w:pos="545"/>
        </w:tabs>
        <w:spacing w:line="276" w:lineRule="auto"/>
        <w:ind w:right="117"/>
        <w:jc w:val="both"/>
        <w:rPr>
          <w:sz w:val="24"/>
        </w:rPr>
      </w:pPr>
      <w:r>
        <w:rPr>
          <w:color w:val="231F20"/>
          <w:sz w:val="24"/>
        </w:rPr>
        <w:t>Pro případ porušení povinnosti mlčenlivosti poradcem uvedené v čl. VIII. této smlouvy sjednávají smluvní strany smluvní pokutu ve výši 50 000,- Kč a to za každé jednotlivé porušení.</w:t>
      </w:r>
    </w:p>
    <w:p w14:paraId="11D95C69" w14:textId="77777777" w:rsidR="003A0507" w:rsidRDefault="003A0507">
      <w:pPr>
        <w:spacing w:line="276" w:lineRule="auto"/>
        <w:jc w:val="both"/>
        <w:rPr>
          <w:sz w:val="24"/>
        </w:rPr>
        <w:sectPr w:rsidR="003A0507">
          <w:pgSz w:w="11910" w:h="16840"/>
          <w:pgMar w:top="1600" w:right="1300" w:bottom="280" w:left="1300" w:header="708" w:footer="708" w:gutter="0"/>
          <w:cols w:space="708"/>
        </w:sectPr>
      </w:pPr>
    </w:p>
    <w:p w14:paraId="5ABAD806" w14:textId="77777777" w:rsidR="003A0507" w:rsidRDefault="00BC7C60">
      <w:pPr>
        <w:pStyle w:val="Odstavecseseznamem"/>
        <w:numPr>
          <w:ilvl w:val="0"/>
          <w:numId w:val="2"/>
        </w:numPr>
        <w:tabs>
          <w:tab w:val="left" w:pos="545"/>
        </w:tabs>
        <w:spacing w:before="75"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lastRenderedPageBreak/>
        <w:t>V případě porušení povinnosti udržovat pojištění dle čl. V. této smlouvy, po celou dobu trvání této smlouvy, má klient právo na uplatnění smluvní pokuty vůči poradci ve výši   20 000,- Kč za každý i započatý den prodlení se splněním této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povinnosti.</w:t>
      </w:r>
    </w:p>
    <w:p w14:paraId="4CFE3AA4" w14:textId="77777777" w:rsidR="003A0507" w:rsidRDefault="00BC7C60">
      <w:pPr>
        <w:pStyle w:val="Odstavecseseznamem"/>
        <w:numPr>
          <w:ilvl w:val="0"/>
          <w:numId w:val="2"/>
        </w:numPr>
        <w:tabs>
          <w:tab w:val="left" w:pos="545"/>
        </w:tabs>
        <w:spacing w:before="1"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Smluvní pokuty lze uložit opakovaně za každý jednotlivý případ. Zaplacením smluvní pokuty není dotčeno právo na náhradu škody. Výše smluvních pokut se do výše náhrady škody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nezapočítává.</w:t>
      </w:r>
    </w:p>
    <w:p w14:paraId="501C84F6" w14:textId="77777777" w:rsidR="003A0507" w:rsidRDefault="003A0507">
      <w:pPr>
        <w:pStyle w:val="Zkladntext"/>
        <w:rPr>
          <w:sz w:val="26"/>
        </w:rPr>
      </w:pPr>
    </w:p>
    <w:p w14:paraId="7125B3F8" w14:textId="77777777" w:rsidR="003A0507" w:rsidRDefault="003A0507">
      <w:pPr>
        <w:pStyle w:val="Zkladntext"/>
        <w:spacing w:before="1"/>
        <w:rPr>
          <w:sz w:val="29"/>
        </w:rPr>
      </w:pPr>
    </w:p>
    <w:p w14:paraId="4E7632CB" w14:textId="77777777" w:rsidR="003A0507" w:rsidRDefault="00BC7C60">
      <w:pPr>
        <w:pStyle w:val="Nadpis1"/>
      </w:pPr>
      <w:r>
        <w:rPr>
          <w:color w:val="231F20"/>
        </w:rPr>
        <w:t>Čl. IX.</w:t>
      </w:r>
    </w:p>
    <w:p w14:paraId="27877FC5" w14:textId="77777777" w:rsidR="003A0507" w:rsidRDefault="00BC7C60">
      <w:pPr>
        <w:ind w:left="356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Odkaz na právní úpravu</w:t>
      </w:r>
    </w:p>
    <w:p w14:paraId="143D833C" w14:textId="77777777" w:rsidR="003A0507" w:rsidRDefault="003A0507">
      <w:pPr>
        <w:pStyle w:val="Zkladntext"/>
        <w:rPr>
          <w:b/>
        </w:rPr>
      </w:pPr>
    </w:p>
    <w:p w14:paraId="16E04009" w14:textId="77777777" w:rsidR="003A0507" w:rsidRDefault="00BC7C60">
      <w:pPr>
        <w:pStyle w:val="Zkladntext"/>
        <w:spacing w:line="276" w:lineRule="auto"/>
        <w:ind w:left="544" w:right="117" w:hanging="427"/>
        <w:jc w:val="both"/>
      </w:pPr>
      <w:r>
        <w:rPr>
          <w:color w:val="231F20"/>
        </w:rPr>
        <w:t>1. Vztahy v této smlouvě neupravené se řídí obecně závaznými právními předpisy platnými  na území České republiky a zejména zák. č. 89/2012 Sb., občanský zákoník, v platném znění.</w:t>
      </w:r>
    </w:p>
    <w:p w14:paraId="34054554" w14:textId="77777777" w:rsidR="003A0507" w:rsidRDefault="003A0507">
      <w:pPr>
        <w:pStyle w:val="Zkladntext"/>
        <w:rPr>
          <w:sz w:val="26"/>
        </w:rPr>
      </w:pPr>
    </w:p>
    <w:p w14:paraId="494179DD" w14:textId="77777777" w:rsidR="003A0507" w:rsidRDefault="003A0507">
      <w:pPr>
        <w:pStyle w:val="Zkladntext"/>
        <w:spacing w:before="11"/>
        <w:rPr>
          <w:sz w:val="21"/>
        </w:rPr>
      </w:pPr>
    </w:p>
    <w:p w14:paraId="6FECDEA9" w14:textId="77777777" w:rsidR="003A0507" w:rsidRDefault="00BC7C60">
      <w:pPr>
        <w:pStyle w:val="Nadpis1"/>
        <w:ind w:left="358"/>
      </w:pPr>
      <w:r>
        <w:rPr>
          <w:color w:val="231F20"/>
        </w:rPr>
        <w:t>Čl. X.</w:t>
      </w:r>
    </w:p>
    <w:p w14:paraId="6D26EF41" w14:textId="77777777" w:rsidR="003A0507" w:rsidRDefault="00BC7C60">
      <w:pPr>
        <w:ind w:left="355" w:right="359"/>
        <w:jc w:val="center"/>
        <w:rPr>
          <w:b/>
          <w:sz w:val="24"/>
        </w:rPr>
      </w:pPr>
      <w:r>
        <w:rPr>
          <w:b/>
          <w:color w:val="231F20"/>
          <w:sz w:val="24"/>
        </w:rPr>
        <w:t>Závěrečná ustanovení</w:t>
      </w:r>
    </w:p>
    <w:p w14:paraId="09B5862E" w14:textId="77777777" w:rsidR="003A0507" w:rsidRDefault="003A0507">
      <w:pPr>
        <w:pStyle w:val="Zkladntext"/>
        <w:rPr>
          <w:b/>
        </w:rPr>
      </w:pPr>
    </w:p>
    <w:p w14:paraId="13E9460A" w14:textId="77777777" w:rsidR="003A0507" w:rsidRDefault="00BC7C60">
      <w:pPr>
        <w:pStyle w:val="Odstavecseseznamem"/>
        <w:numPr>
          <w:ilvl w:val="0"/>
          <w:numId w:val="1"/>
        </w:numPr>
        <w:tabs>
          <w:tab w:val="left" w:pos="545"/>
        </w:tabs>
        <w:spacing w:line="276" w:lineRule="auto"/>
        <w:ind w:right="115"/>
        <w:jc w:val="both"/>
        <w:rPr>
          <w:sz w:val="24"/>
        </w:rPr>
      </w:pPr>
      <w:r>
        <w:rPr>
          <w:color w:val="231F20"/>
          <w:sz w:val="24"/>
        </w:rPr>
        <w:t>Tato smlouva nabývá platnosti dnem podpisu smluvních stran a účinnosti dnem jejího uveřejnění v registru smluv dle zák. č. 340/2015 Sb., o zvláštních podmínkách účinnosti některých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smluv,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uveřejňování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těchto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registru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(zákon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registru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smluv).</w:t>
      </w:r>
    </w:p>
    <w:p w14:paraId="7730B15D" w14:textId="77777777" w:rsidR="003A0507" w:rsidRDefault="00BC7C60">
      <w:pPr>
        <w:pStyle w:val="Odstavecseseznamem"/>
        <w:numPr>
          <w:ilvl w:val="0"/>
          <w:numId w:val="1"/>
        </w:numPr>
        <w:tabs>
          <w:tab w:val="left" w:pos="545"/>
        </w:tabs>
        <w:spacing w:line="276" w:lineRule="auto"/>
        <w:ind w:right="116"/>
        <w:jc w:val="both"/>
        <w:rPr>
          <w:sz w:val="24"/>
        </w:rPr>
      </w:pPr>
      <w:r>
        <w:rPr>
          <w:color w:val="231F20"/>
          <w:sz w:val="24"/>
        </w:rPr>
        <w:t>Tato smlouva může být změněna pouze písemnými dodatky uzavřenými dle obecně závazných právních předpisů platných na území České republiky a na základě souhlasu obou účastníků této smlouvy.</w:t>
      </w:r>
    </w:p>
    <w:p w14:paraId="221144C8" w14:textId="77777777" w:rsidR="003A0507" w:rsidRDefault="00BC7C60">
      <w:pPr>
        <w:pStyle w:val="Odstavecseseznamem"/>
        <w:numPr>
          <w:ilvl w:val="0"/>
          <w:numId w:val="1"/>
        </w:numPr>
        <w:tabs>
          <w:tab w:val="left" w:pos="545"/>
        </w:tabs>
        <w:spacing w:line="276" w:lineRule="auto"/>
        <w:ind w:right="115"/>
        <w:jc w:val="both"/>
        <w:rPr>
          <w:sz w:val="24"/>
        </w:rPr>
      </w:pPr>
      <w:r>
        <w:rPr>
          <w:color w:val="231F20"/>
          <w:sz w:val="24"/>
        </w:rPr>
        <w:t>Smluvní strany tímto prohlašují, že v případě, že by kdykoliv v budoucnu bylo shledáno některé ustanovení této smlouvy neplatné, platnost ostatních ujednání smlouvy tím nejsou dotčena; smluvní strany se zavazují neplatné ustanovení nahradit ustanovením platným, obdobného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obsahu.</w:t>
      </w:r>
    </w:p>
    <w:p w14:paraId="0B887A36" w14:textId="77777777" w:rsidR="003A0507" w:rsidRDefault="00BC7C60">
      <w:pPr>
        <w:pStyle w:val="Odstavecseseznamem"/>
        <w:numPr>
          <w:ilvl w:val="0"/>
          <w:numId w:val="1"/>
        </w:numPr>
        <w:tabs>
          <w:tab w:val="left" w:pos="545"/>
        </w:tabs>
        <w:spacing w:line="276" w:lineRule="auto"/>
        <w:ind w:right="118"/>
        <w:jc w:val="both"/>
        <w:rPr>
          <w:sz w:val="24"/>
        </w:rPr>
      </w:pPr>
      <w:r>
        <w:rPr>
          <w:color w:val="231F20"/>
          <w:sz w:val="24"/>
        </w:rPr>
        <w:t>Obě smluvní strany prohlašují, že tato smlouva odpovídá jejich svobodné a vážné vůli, prosté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omylu,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řádně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přečetly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souhlasí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jejím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obsahem,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důkaz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čehož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připojují k této smlouvě své podpisy.</w:t>
      </w:r>
    </w:p>
    <w:p w14:paraId="0DC51D05" w14:textId="77777777" w:rsidR="003A0507" w:rsidRDefault="00BC7C60">
      <w:pPr>
        <w:pStyle w:val="Odstavecseseznamem"/>
        <w:numPr>
          <w:ilvl w:val="0"/>
          <w:numId w:val="1"/>
        </w:numPr>
        <w:tabs>
          <w:tab w:val="left" w:pos="545"/>
        </w:tabs>
        <w:spacing w:line="276" w:lineRule="auto"/>
        <w:ind w:right="120"/>
        <w:jc w:val="both"/>
        <w:rPr>
          <w:sz w:val="24"/>
        </w:rPr>
      </w:pPr>
      <w:r>
        <w:rPr>
          <w:color w:val="231F20"/>
          <w:sz w:val="24"/>
        </w:rPr>
        <w:t>Poradce prohlašuje, že  si  je  vědom  povinnosti,  že  ve  smyslu  §  2  písm.  e)  zákona  č.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320/2001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finanční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kontrole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správě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změně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některých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zákonů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(zákon o finanční kontrole), ve znění pozdějších předpisů, spolupůsobit při výkonu finanční kontroly.</w:t>
      </w:r>
    </w:p>
    <w:p w14:paraId="5DF71385" w14:textId="77777777" w:rsidR="003A0507" w:rsidRDefault="003A0507">
      <w:pPr>
        <w:pStyle w:val="Zkladntext"/>
        <w:rPr>
          <w:sz w:val="26"/>
        </w:rPr>
      </w:pPr>
    </w:p>
    <w:p w14:paraId="6AB4B2D3" w14:textId="5A8F7CD2" w:rsidR="003A0507" w:rsidRDefault="00BC7C60">
      <w:pPr>
        <w:pStyle w:val="Zkladntext"/>
        <w:spacing w:before="176"/>
        <w:ind w:left="117"/>
      </w:pPr>
      <w:r>
        <w:rPr>
          <w:color w:val="231F20"/>
        </w:rPr>
        <w:t>V Praze dne</w:t>
      </w:r>
      <w:r w:rsidR="00F96F6E">
        <w:rPr>
          <w:color w:val="231F20"/>
        </w:rPr>
        <w:t xml:space="preserve"> </w:t>
      </w:r>
    </w:p>
    <w:p w14:paraId="313D3CDE" w14:textId="77777777" w:rsidR="003A0507" w:rsidRDefault="003A0507">
      <w:pPr>
        <w:pStyle w:val="Zkladntext"/>
        <w:rPr>
          <w:sz w:val="26"/>
        </w:rPr>
      </w:pPr>
    </w:p>
    <w:p w14:paraId="1554DFED" w14:textId="77777777" w:rsidR="003A0507" w:rsidRDefault="003A0507">
      <w:pPr>
        <w:pStyle w:val="Zkladntext"/>
        <w:rPr>
          <w:sz w:val="26"/>
        </w:rPr>
      </w:pPr>
    </w:p>
    <w:p w14:paraId="741F4150" w14:textId="77777777" w:rsidR="003A0507" w:rsidRDefault="003A0507">
      <w:pPr>
        <w:pStyle w:val="Zkladntext"/>
        <w:rPr>
          <w:sz w:val="26"/>
        </w:rPr>
      </w:pPr>
    </w:p>
    <w:p w14:paraId="6E199F6F" w14:textId="77777777" w:rsidR="003A0507" w:rsidRDefault="003A0507">
      <w:pPr>
        <w:pStyle w:val="Zkladntext"/>
        <w:rPr>
          <w:sz w:val="26"/>
        </w:rPr>
      </w:pPr>
    </w:p>
    <w:p w14:paraId="68064B73" w14:textId="77777777" w:rsidR="003A0507" w:rsidRDefault="00BC7C60">
      <w:pPr>
        <w:pStyle w:val="Zkladntext"/>
        <w:tabs>
          <w:tab w:val="left" w:pos="7194"/>
        </w:tabs>
        <w:spacing w:before="180"/>
        <w:ind w:left="823"/>
      </w:pPr>
      <w:r>
        <w:rPr>
          <w:color w:val="231F20"/>
        </w:rPr>
        <w:t>poradce</w:t>
      </w:r>
      <w:r>
        <w:rPr>
          <w:color w:val="231F20"/>
        </w:rPr>
        <w:tab/>
      </w:r>
      <w:bookmarkEnd w:id="0"/>
      <w:r>
        <w:rPr>
          <w:color w:val="231F20"/>
          <w:position w:val="1"/>
        </w:rPr>
        <w:t>klient</w:t>
      </w:r>
    </w:p>
    <w:sectPr w:rsidR="003A0507">
      <w:pgSz w:w="11910" w:h="16840"/>
      <w:pgMar w:top="10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702"/>
    <w:multiLevelType w:val="hybridMultilevel"/>
    <w:tmpl w:val="59987294"/>
    <w:lvl w:ilvl="0" w:tplc="137A850C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27"/>
        <w:w w:val="99"/>
        <w:sz w:val="24"/>
        <w:szCs w:val="24"/>
      </w:rPr>
    </w:lvl>
    <w:lvl w:ilvl="1" w:tplc="9920E0E0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A3B844B6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64FEF792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22289B44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071874A6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92DC75C8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199824A8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B1F46A52">
      <w:numFmt w:val="bullet"/>
      <w:lvlText w:val="•"/>
      <w:lvlJc w:val="left"/>
      <w:pPr>
        <w:ind w:left="7551" w:hanging="427"/>
      </w:pPr>
      <w:rPr>
        <w:rFonts w:hint="default"/>
      </w:rPr>
    </w:lvl>
  </w:abstractNum>
  <w:abstractNum w:abstractNumId="1" w15:restartNumberingAfterBreak="0">
    <w:nsid w:val="1E5D1FCC"/>
    <w:multiLevelType w:val="hybridMultilevel"/>
    <w:tmpl w:val="217E435E"/>
    <w:lvl w:ilvl="0" w:tplc="E1B2E77C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1" w:tplc="1F2AE9D4"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E850F712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F286ABE8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6A98BD6E">
      <w:numFmt w:val="bullet"/>
      <w:lvlText w:val="•"/>
      <w:lvlJc w:val="left"/>
      <w:pPr>
        <w:ind w:left="4657" w:hanging="360"/>
      </w:pPr>
      <w:rPr>
        <w:rFonts w:hint="default"/>
      </w:rPr>
    </w:lvl>
    <w:lvl w:ilvl="5" w:tplc="A7562C9E"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0F709BFA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454C07BA"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D81649F4">
      <w:numFmt w:val="bullet"/>
      <w:lvlText w:val="•"/>
      <w:lvlJc w:val="left"/>
      <w:pPr>
        <w:ind w:left="7755" w:hanging="360"/>
      </w:pPr>
      <w:rPr>
        <w:rFonts w:hint="default"/>
      </w:rPr>
    </w:lvl>
  </w:abstractNum>
  <w:abstractNum w:abstractNumId="2" w15:restartNumberingAfterBreak="0">
    <w:nsid w:val="2820100C"/>
    <w:multiLevelType w:val="hybridMultilevel"/>
    <w:tmpl w:val="95705E66"/>
    <w:lvl w:ilvl="0" w:tplc="CA52607E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99"/>
        <w:sz w:val="24"/>
        <w:szCs w:val="24"/>
      </w:rPr>
    </w:lvl>
    <w:lvl w:ilvl="1" w:tplc="378ED2EA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FA3A1766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F5181EA8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648E396C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436E596C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1F94D69E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0A3E5084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53FC5D80">
      <w:numFmt w:val="bullet"/>
      <w:lvlText w:val="•"/>
      <w:lvlJc w:val="left"/>
      <w:pPr>
        <w:ind w:left="7551" w:hanging="427"/>
      </w:pPr>
      <w:rPr>
        <w:rFonts w:hint="default"/>
      </w:rPr>
    </w:lvl>
  </w:abstractNum>
  <w:abstractNum w:abstractNumId="3" w15:restartNumberingAfterBreak="0">
    <w:nsid w:val="2B0F07AD"/>
    <w:multiLevelType w:val="hybridMultilevel"/>
    <w:tmpl w:val="4C7C9F30"/>
    <w:lvl w:ilvl="0" w:tplc="753607C4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4"/>
        <w:szCs w:val="24"/>
      </w:rPr>
    </w:lvl>
    <w:lvl w:ilvl="1" w:tplc="5B16ECF8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8826B7CE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00E82554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81168932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BD8C26BA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21F4038E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B4BAC37E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505642B2">
      <w:numFmt w:val="bullet"/>
      <w:lvlText w:val="•"/>
      <w:lvlJc w:val="left"/>
      <w:pPr>
        <w:ind w:left="7551" w:hanging="427"/>
      </w:pPr>
      <w:rPr>
        <w:rFonts w:hint="default"/>
      </w:rPr>
    </w:lvl>
  </w:abstractNum>
  <w:abstractNum w:abstractNumId="4" w15:restartNumberingAfterBreak="0">
    <w:nsid w:val="32FD44B6"/>
    <w:multiLevelType w:val="hybridMultilevel"/>
    <w:tmpl w:val="9BA4899A"/>
    <w:lvl w:ilvl="0" w:tplc="75A6F8B6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99"/>
        <w:sz w:val="24"/>
        <w:szCs w:val="24"/>
      </w:rPr>
    </w:lvl>
    <w:lvl w:ilvl="1" w:tplc="E4F2D630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A918AB22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D862E850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E83CDFAC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4C26CD22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3796FEEA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1F127F34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77789236">
      <w:numFmt w:val="bullet"/>
      <w:lvlText w:val="•"/>
      <w:lvlJc w:val="left"/>
      <w:pPr>
        <w:ind w:left="7551" w:hanging="427"/>
      </w:pPr>
      <w:rPr>
        <w:rFonts w:hint="default"/>
      </w:rPr>
    </w:lvl>
  </w:abstractNum>
  <w:abstractNum w:abstractNumId="5" w15:restartNumberingAfterBreak="0">
    <w:nsid w:val="330B7237"/>
    <w:multiLevelType w:val="hybridMultilevel"/>
    <w:tmpl w:val="CBC83E50"/>
    <w:lvl w:ilvl="0" w:tplc="CDC800D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99"/>
        <w:sz w:val="24"/>
        <w:szCs w:val="24"/>
      </w:rPr>
    </w:lvl>
    <w:lvl w:ilvl="1" w:tplc="E794D2E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1E00C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3ECA81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E964D0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5B4614F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1C7AEABA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706C415C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E4C5F78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6" w15:restartNumberingAfterBreak="0">
    <w:nsid w:val="45C4387D"/>
    <w:multiLevelType w:val="hybridMultilevel"/>
    <w:tmpl w:val="9C48E89C"/>
    <w:lvl w:ilvl="0" w:tplc="398AC9B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99"/>
        <w:sz w:val="24"/>
        <w:szCs w:val="24"/>
      </w:rPr>
    </w:lvl>
    <w:lvl w:ilvl="1" w:tplc="86BC57AA">
      <w:start w:val="1"/>
      <w:numFmt w:val="lowerRoman"/>
      <w:lvlText w:val="%2."/>
      <w:lvlJc w:val="left"/>
      <w:pPr>
        <w:ind w:left="837" w:hanging="487"/>
        <w:jc w:val="right"/>
      </w:pPr>
      <w:rPr>
        <w:rFonts w:hint="default"/>
        <w:w w:val="100"/>
      </w:rPr>
    </w:lvl>
    <w:lvl w:ilvl="2" w:tplc="7E109636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color w:val="231F20"/>
        <w:spacing w:val="-18"/>
        <w:w w:val="99"/>
        <w:sz w:val="24"/>
        <w:szCs w:val="24"/>
      </w:rPr>
    </w:lvl>
    <w:lvl w:ilvl="3" w:tplc="FCAA97D8">
      <w:numFmt w:val="bullet"/>
      <w:lvlText w:val="•"/>
      <w:lvlJc w:val="left"/>
      <w:pPr>
        <w:ind w:left="2528" w:hanging="360"/>
      </w:pPr>
      <w:rPr>
        <w:rFonts w:hint="default"/>
      </w:rPr>
    </w:lvl>
    <w:lvl w:ilvl="4" w:tplc="D3E6D9EE"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0C7AEFC8"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962CB7B6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4A66A882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2960BD6C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7" w15:restartNumberingAfterBreak="0">
    <w:nsid w:val="575A5FDF"/>
    <w:multiLevelType w:val="hybridMultilevel"/>
    <w:tmpl w:val="96829D8E"/>
    <w:lvl w:ilvl="0" w:tplc="E7ECFA26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24"/>
        <w:szCs w:val="24"/>
      </w:rPr>
    </w:lvl>
    <w:lvl w:ilvl="1" w:tplc="51802570">
      <w:numFmt w:val="bullet"/>
      <w:lvlText w:val="•"/>
      <w:lvlJc w:val="left"/>
      <w:pPr>
        <w:ind w:left="720" w:hanging="427"/>
      </w:pPr>
      <w:rPr>
        <w:rFonts w:hint="default"/>
      </w:rPr>
    </w:lvl>
    <w:lvl w:ilvl="2" w:tplc="BD94697A">
      <w:numFmt w:val="bullet"/>
      <w:lvlText w:val="•"/>
      <w:lvlJc w:val="left"/>
      <w:pPr>
        <w:ind w:left="1673" w:hanging="427"/>
      </w:pPr>
      <w:rPr>
        <w:rFonts w:hint="default"/>
      </w:rPr>
    </w:lvl>
    <w:lvl w:ilvl="3" w:tplc="C3926FE0">
      <w:numFmt w:val="bullet"/>
      <w:lvlText w:val="•"/>
      <w:lvlJc w:val="left"/>
      <w:pPr>
        <w:ind w:left="2627" w:hanging="427"/>
      </w:pPr>
      <w:rPr>
        <w:rFonts w:hint="default"/>
      </w:rPr>
    </w:lvl>
    <w:lvl w:ilvl="4" w:tplc="48660356">
      <w:numFmt w:val="bullet"/>
      <w:lvlText w:val="•"/>
      <w:lvlJc w:val="left"/>
      <w:pPr>
        <w:ind w:left="3581" w:hanging="427"/>
      </w:pPr>
      <w:rPr>
        <w:rFonts w:hint="default"/>
      </w:rPr>
    </w:lvl>
    <w:lvl w:ilvl="5" w:tplc="449435B4">
      <w:numFmt w:val="bullet"/>
      <w:lvlText w:val="•"/>
      <w:lvlJc w:val="left"/>
      <w:pPr>
        <w:ind w:left="4535" w:hanging="427"/>
      </w:pPr>
      <w:rPr>
        <w:rFonts w:hint="default"/>
      </w:rPr>
    </w:lvl>
    <w:lvl w:ilvl="6" w:tplc="95FC7D16">
      <w:numFmt w:val="bullet"/>
      <w:lvlText w:val="•"/>
      <w:lvlJc w:val="left"/>
      <w:pPr>
        <w:ind w:left="5489" w:hanging="427"/>
      </w:pPr>
      <w:rPr>
        <w:rFonts w:hint="default"/>
      </w:rPr>
    </w:lvl>
    <w:lvl w:ilvl="7" w:tplc="18E21288">
      <w:numFmt w:val="bullet"/>
      <w:lvlText w:val="•"/>
      <w:lvlJc w:val="left"/>
      <w:pPr>
        <w:ind w:left="6442" w:hanging="427"/>
      </w:pPr>
      <w:rPr>
        <w:rFonts w:hint="default"/>
      </w:rPr>
    </w:lvl>
    <w:lvl w:ilvl="8" w:tplc="6C161656">
      <w:numFmt w:val="bullet"/>
      <w:lvlText w:val="•"/>
      <w:lvlJc w:val="left"/>
      <w:pPr>
        <w:ind w:left="7396" w:hanging="427"/>
      </w:pPr>
      <w:rPr>
        <w:rFonts w:hint="default"/>
      </w:rPr>
    </w:lvl>
  </w:abstractNum>
  <w:abstractNum w:abstractNumId="8" w15:restartNumberingAfterBreak="0">
    <w:nsid w:val="7538424A"/>
    <w:multiLevelType w:val="hybridMultilevel"/>
    <w:tmpl w:val="A69AF070"/>
    <w:lvl w:ilvl="0" w:tplc="7EDACFA0">
      <w:start w:val="1"/>
      <w:numFmt w:val="decimal"/>
      <w:lvlText w:val="%1."/>
      <w:lvlJc w:val="left"/>
      <w:pPr>
        <w:ind w:left="544" w:hanging="427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4"/>
        <w:szCs w:val="24"/>
      </w:rPr>
    </w:lvl>
    <w:lvl w:ilvl="1" w:tplc="D2E8CB9A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7012D394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67D281F6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297CCD84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FE525040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03228314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F5405BCE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515C9096">
      <w:numFmt w:val="bullet"/>
      <w:lvlText w:val="•"/>
      <w:lvlJc w:val="left"/>
      <w:pPr>
        <w:ind w:left="7551" w:hanging="4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07"/>
    <w:rsid w:val="001952E5"/>
    <w:rsid w:val="003A0507"/>
    <w:rsid w:val="00413537"/>
    <w:rsid w:val="004F7828"/>
    <w:rsid w:val="006D2243"/>
    <w:rsid w:val="007D7D56"/>
    <w:rsid w:val="00AD1903"/>
    <w:rsid w:val="00BC7C60"/>
    <w:rsid w:val="00C111BB"/>
    <w:rsid w:val="00E2613D"/>
    <w:rsid w:val="00E720CB"/>
    <w:rsid w:val="00E77FEA"/>
    <w:rsid w:val="00F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DCCA"/>
  <w15:docId w15:val="{18D9901A-41B7-4030-8F2D-7B91CB1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55" w:right="35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4" w:hanging="42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1353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1766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 pomoci</vt:lpstr>
    </vt:vector>
  </TitlesOfParts>
  <Company>VSCHT Praha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 pomoci</dc:title>
  <dc:creator>proksj</dc:creator>
  <cp:lastModifiedBy>Maurerova Marketa</cp:lastModifiedBy>
  <cp:revision>12</cp:revision>
  <dcterms:created xsi:type="dcterms:W3CDTF">2024-06-03T10:23:00Z</dcterms:created>
  <dcterms:modified xsi:type="dcterms:W3CDTF">2024-06-03T09:00:00Z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2024-06-03T00:00:00Z</vt:filetime>
  </property>
</Properties>
</file>