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C8C46E9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7723B2">
        <w:rPr>
          <w:rFonts w:eastAsia="Times New Roman"/>
          <w:lang w:eastAsia="cs-CZ"/>
        </w:rPr>
        <w:t>KK01685/2024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01B03FD9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7723B2">
        <w:rPr>
          <w:rFonts w:eastAsia="Times New Roman"/>
          <w:b/>
          <w:bCs/>
          <w:lang w:eastAsia="cs-CZ"/>
        </w:rPr>
        <w:t>Obec Velký Luh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6C31EBDE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7723B2">
        <w:rPr>
          <w:rFonts w:eastAsia="Times New Roman"/>
          <w:bCs/>
          <w:lang w:eastAsia="cs-CZ"/>
        </w:rPr>
        <w:t>č.p. 22, 35134 Velký Luh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2806A9B8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7723B2">
        <w:rPr>
          <w:rFonts w:eastAsia="Times New Roman"/>
          <w:bCs/>
          <w:lang w:eastAsia="cs-CZ"/>
        </w:rPr>
        <w:t>883603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26F8145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7723B2">
        <w:rPr>
          <w:rFonts w:eastAsia="Times New Roman"/>
          <w:bCs/>
          <w:lang w:eastAsia="cs-CZ"/>
        </w:rPr>
        <w:t>CZ00883603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48369D5B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7723B2">
        <w:rPr>
          <w:rFonts w:eastAsia="Times New Roman"/>
          <w:lang w:eastAsia="cs-CZ"/>
        </w:rPr>
        <w:t>Jiřina Vrábelová, starostka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41EFAFA6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7723B2">
        <w:rPr>
          <w:rFonts w:eastAsia="Times New Roman"/>
          <w:lang w:eastAsia="cs-CZ"/>
        </w:rPr>
        <w:t>MONETA Money Bank,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7CBE0172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7723B2">
        <w:rPr>
          <w:rFonts w:eastAsia="Times New Roman"/>
          <w:lang w:eastAsia="cs-CZ"/>
        </w:rPr>
        <w:t>197712211/0600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56E5093E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029E1604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7723B2">
        <w:rPr>
          <w:rFonts w:eastAsia="Times New Roman"/>
          <w:lang w:eastAsia="cs-CZ"/>
        </w:rPr>
        <w:t>xkjamiv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79DB5AB4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7723B2">
        <w:rPr>
          <w:sz w:val="22"/>
          <w:szCs w:val="22"/>
        </w:rPr>
        <w:t>500 000,00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35434F5C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7723B2">
        <w:rPr>
          <w:sz w:val="22"/>
          <w:szCs w:val="22"/>
        </w:rPr>
        <w:t xml:space="preserve"> pět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5AE9CBE2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7723B2">
        <w:rPr>
          <w:sz w:val="22"/>
          <w:szCs w:val="22"/>
        </w:rPr>
        <w:t>Podprogram 1 - Tribuna na fotbalovém hřišti  a venkovní rekonstrukce klubovny u fotbalového hřiště Velký Luh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2D6DE495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7723B2">
        <w:rPr>
          <w:sz w:val="22"/>
          <w:szCs w:val="22"/>
        </w:rPr>
        <w:t>2490694069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16C9973B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7723B2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0B774180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7723B2">
        <w:rPr>
          <w:rFonts w:eastAsia="Times New Roman"/>
          <w:bCs/>
          <w:lang w:eastAsia="cs-CZ"/>
        </w:rPr>
        <w:t>a) Tribuna 1 ks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66E52BBE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7723B2">
        <w:rPr>
          <w:rFonts w:eastAsia="Times New Roman"/>
          <w:bCs/>
          <w:lang w:eastAsia="cs-CZ"/>
        </w:rPr>
        <w:t> </w:t>
      </w:r>
      <w:r w:rsidR="007723B2">
        <w:rPr>
          <w:rFonts w:eastAsia="Times New Roman"/>
          <w:bCs/>
          <w:lang w:eastAsia="cs-CZ"/>
        </w:rPr>
        <w:t> </w:t>
      </w:r>
      <w:r w:rsidR="007723B2">
        <w:rPr>
          <w:rFonts w:eastAsia="Times New Roman"/>
          <w:bCs/>
          <w:lang w:eastAsia="cs-CZ"/>
        </w:rPr>
        <w:t> </w:t>
      </w:r>
      <w:r w:rsidR="007723B2">
        <w:rPr>
          <w:rFonts w:eastAsia="Times New Roman"/>
          <w:bCs/>
          <w:lang w:eastAsia="cs-CZ"/>
        </w:rPr>
        <w:t> </w:t>
      </w:r>
      <w:r w:rsidR="007723B2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1583A906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7723B2">
        <w:rPr>
          <w:rFonts w:eastAsia="Times New Roman"/>
          <w:bCs/>
          <w:lang w:eastAsia="cs-CZ"/>
        </w:rPr>
        <w:t> </w:t>
      </w:r>
      <w:r w:rsidR="007723B2">
        <w:rPr>
          <w:rFonts w:eastAsia="Times New Roman"/>
          <w:bCs/>
          <w:lang w:eastAsia="cs-CZ"/>
        </w:rPr>
        <w:t> </w:t>
      </w:r>
      <w:r w:rsidR="007723B2">
        <w:rPr>
          <w:rFonts w:eastAsia="Times New Roman"/>
          <w:bCs/>
          <w:lang w:eastAsia="cs-CZ"/>
        </w:rPr>
        <w:t> </w:t>
      </w:r>
      <w:r w:rsidR="007723B2">
        <w:rPr>
          <w:rFonts w:eastAsia="Times New Roman"/>
          <w:bCs/>
          <w:lang w:eastAsia="cs-CZ"/>
        </w:rPr>
        <w:t> </w:t>
      </w:r>
      <w:r w:rsidR="007723B2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C0E532A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7723B2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7723B2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D681843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7723B2">
              <w:rPr>
                <w:rFonts w:eastAsia="Times New Roman"/>
                <w:lang w:eastAsia="cs-CZ"/>
              </w:rPr>
              <w:t>Jiřina Vrábelová,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23B2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03F4B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6962C-A38C-4915-83CE-52C650E0C767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6FABA4-5327-4DF3-8062-A0649DC8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2192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2024-05-29T11:20:00Z</dcterms:created>
  <dcterms:modified xsi:type="dcterms:W3CDTF">2024-05-29T11:20:00Z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