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97" w:rsidRDefault="0024556B">
      <w:pPr>
        <w:tabs>
          <w:tab w:val="center" w:pos="3111"/>
          <w:tab w:val="right" w:pos="907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485183">
        <w:rPr>
          <w:rFonts w:ascii="Calibri" w:eastAsia="Calibri" w:hAnsi="Calibri" w:cs="Calibri"/>
          <w:color w:val="767171"/>
          <w:sz w:val="64"/>
        </w:rPr>
        <w:t xml:space="preserve"> </w:t>
      </w:r>
      <w:r w:rsidR="00485183">
        <w:rPr>
          <w:rFonts w:ascii="Calibri" w:eastAsia="Calibri" w:hAnsi="Calibri" w:cs="Calibri"/>
          <w:color w:val="767171"/>
          <w:sz w:val="64"/>
        </w:rPr>
        <w:tab/>
        <w:t xml:space="preserve">   </w:t>
      </w:r>
    </w:p>
    <w:p w:rsidR="004B6297" w:rsidRDefault="0024556B">
      <w:pPr>
        <w:spacing w:after="0" w:line="259" w:lineRule="auto"/>
        <w:ind w:left="0" w:right="3" w:firstLine="0"/>
        <w:jc w:val="center"/>
      </w:pPr>
      <w:r>
        <w:rPr>
          <w:b/>
          <w:sz w:val="24"/>
        </w:rPr>
        <w:t xml:space="preserve">DOHODA O UKONČENÍ  </w:t>
      </w:r>
    </w:p>
    <w:p w:rsidR="004B6297" w:rsidRDefault="0024556B">
      <w:pPr>
        <w:spacing w:after="14" w:line="259" w:lineRule="auto"/>
        <w:ind w:left="53" w:firstLine="0"/>
        <w:jc w:val="center"/>
      </w:pPr>
      <w:r>
        <w:rPr>
          <w:b/>
        </w:rPr>
        <w:t xml:space="preserve"> </w:t>
      </w:r>
    </w:p>
    <w:p w:rsidR="004B6297" w:rsidRDefault="0024556B">
      <w:pPr>
        <w:spacing w:after="14" w:line="259" w:lineRule="auto"/>
        <w:ind w:left="53" w:firstLine="0"/>
        <w:jc w:val="center"/>
      </w:pPr>
      <w:r>
        <w:rPr>
          <w:b/>
        </w:rPr>
        <w:t xml:space="preserve"> </w:t>
      </w:r>
    </w:p>
    <w:p w:rsidR="004B6297" w:rsidRDefault="0024556B">
      <w:pPr>
        <w:ind w:left="-5" w:right="2"/>
      </w:pPr>
      <w:r>
        <w:t xml:space="preserve">Smluvní strany: </w:t>
      </w:r>
    </w:p>
    <w:p w:rsidR="004B6297" w:rsidRDefault="0024556B">
      <w:pPr>
        <w:spacing w:after="14" w:line="259" w:lineRule="auto"/>
        <w:ind w:left="0" w:firstLine="0"/>
        <w:jc w:val="left"/>
      </w:pPr>
      <w:r>
        <w:rPr>
          <w:b/>
        </w:rPr>
        <w:t xml:space="preserve"> </w:t>
      </w:r>
    </w:p>
    <w:p w:rsidR="004B6297" w:rsidRDefault="0024556B">
      <w:pPr>
        <w:spacing w:after="7" w:line="266" w:lineRule="auto"/>
        <w:ind w:left="-5" w:right="2207"/>
        <w:jc w:val="left"/>
      </w:pPr>
      <w:r>
        <w:rPr>
          <w:b/>
        </w:rPr>
        <w:t xml:space="preserve">Vlastivědné muzeum v Olomouci  </w:t>
      </w:r>
    </w:p>
    <w:p w:rsidR="004B6297" w:rsidRDefault="0024556B">
      <w:pPr>
        <w:tabs>
          <w:tab w:val="center" w:pos="3145"/>
        </w:tabs>
        <w:ind w:left="-15" w:firstLine="0"/>
        <w:jc w:val="left"/>
      </w:pPr>
      <w:r>
        <w:t xml:space="preserve">se sídlem:  </w:t>
      </w:r>
      <w:r>
        <w:tab/>
        <w:t xml:space="preserve">nám. Republiky 823/5, 77900 Olomouc </w:t>
      </w:r>
    </w:p>
    <w:p w:rsidR="004B6297" w:rsidRDefault="0024556B">
      <w:pPr>
        <w:tabs>
          <w:tab w:val="center" w:pos="708"/>
          <w:tab w:val="center" w:pos="1861"/>
        </w:tabs>
        <w:ind w:left="-15" w:firstLine="0"/>
        <w:jc w:val="left"/>
      </w:pPr>
      <w:r>
        <w:t xml:space="preserve">IČO:  </w:t>
      </w:r>
      <w:r>
        <w:tab/>
        <w:t xml:space="preserve"> </w:t>
      </w:r>
      <w:r>
        <w:tab/>
        <w:t xml:space="preserve">00100609 </w:t>
      </w:r>
    </w:p>
    <w:p w:rsidR="004B6297" w:rsidRDefault="0024556B">
      <w:pPr>
        <w:tabs>
          <w:tab w:val="center" w:pos="708"/>
          <w:tab w:val="center" w:pos="1995"/>
        </w:tabs>
        <w:ind w:left="-15" w:firstLine="0"/>
        <w:jc w:val="left"/>
      </w:pPr>
      <w:r>
        <w:t xml:space="preserve">DIČ: </w:t>
      </w:r>
      <w:r>
        <w:tab/>
        <w:t xml:space="preserve"> </w:t>
      </w:r>
      <w:r>
        <w:tab/>
        <w:t xml:space="preserve">CZ00100609 </w:t>
      </w:r>
    </w:p>
    <w:p w:rsidR="004B6297" w:rsidRDefault="0024556B">
      <w:pPr>
        <w:ind w:left="-5" w:right="2"/>
      </w:pPr>
      <w:r>
        <w:t xml:space="preserve">bankovní účet: </w:t>
      </w:r>
      <w:proofErr w:type="spellStart"/>
      <w:r w:rsidR="00485183">
        <w:t>xxxxxxxxxxxxxxxxxxxxxxxxxxxxxxxxxxxxxxxxxx</w:t>
      </w:r>
      <w:proofErr w:type="spellEnd"/>
      <w:r>
        <w:t xml:space="preserve"> </w:t>
      </w:r>
    </w:p>
    <w:p w:rsidR="004B6297" w:rsidRDefault="0024556B">
      <w:pPr>
        <w:tabs>
          <w:tab w:val="center" w:pos="2906"/>
        </w:tabs>
        <w:ind w:left="-15" w:firstLine="0"/>
        <w:jc w:val="left"/>
      </w:pPr>
      <w:r>
        <w:t>zastoupené:</w:t>
      </w:r>
      <w:r>
        <w:t xml:space="preserve">  </w:t>
      </w:r>
      <w:r>
        <w:tab/>
        <w:t xml:space="preserve">Mgr. Jakubem </w:t>
      </w:r>
      <w:proofErr w:type="spellStart"/>
      <w:r>
        <w:t>Rálišem</w:t>
      </w:r>
      <w:proofErr w:type="spellEnd"/>
      <w:r>
        <w:t xml:space="preserve">, ředitelem </w:t>
      </w:r>
    </w:p>
    <w:p w:rsidR="004B6297" w:rsidRDefault="0024556B">
      <w:pPr>
        <w:spacing w:after="14" w:line="259" w:lineRule="auto"/>
        <w:ind w:left="0" w:firstLine="0"/>
        <w:jc w:val="left"/>
      </w:pPr>
      <w:r>
        <w:t xml:space="preserve"> </w:t>
      </w:r>
    </w:p>
    <w:p w:rsidR="004B6297" w:rsidRDefault="0024556B">
      <w:pPr>
        <w:ind w:left="-5" w:right="2"/>
      </w:pPr>
      <w:r>
        <w:t>(dále jen „</w:t>
      </w:r>
      <w:r>
        <w:rPr>
          <w:b/>
          <w:u w:val="single" w:color="000000"/>
        </w:rPr>
        <w:t>Objednatel</w:t>
      </w:r>
      <w:r>
        <w:t xml:space="preserve">“) </w:t>
      </w:r>
    </w:p>
    <w:p w:rsidR="004B6297" w:rsidRDefault="0024556B">
      <w:pPr>
        <w:spacing w:after="14" w:line="259" w:lineRule="auto"/>
        <w:ind w:left="0" w:firstLine="0"/>
        <w:jc w:val="left"/>
      </w:pPr>
      <w:r>
        <w:t xml:space="preserve"> </w:t>
      </w:r>
    </w:p>
    <w:p w:rsidR="004B6297" w:rsidRDefault="0024556B">
      <w:pPr>
        <w:ind w:left="-5" w:right="2"/>
      </w:pPr>
      <w:r>
        <w:t xml:space="preserve">a </w:t>
      </w:r>
    </w:p>
    <w:p w:rsidR="004B6297" w:rsidRDefault="0024556B">
      <w:pPr>
        <w:spacing w:after="14" w:line="259" w:lineRule="auto"/>
        <w:ind w:left="0" w:firstLine="0"/>
        <w:jc w:val="left"/>
      </w:pPr>
      <w:r>
        <w:rPr>
          <w:b/>
        </w:rPr>
        <w:t xml:space="preserve"> </w:t>
      </w:r>
    </w:p>
    <w:p w:rsidR="004B6297" w:rsidRDefault="0024556B">
      <w:pPr>
        <w:spacing w:after="7" w:line="266" w:lineRule="auto"/>
        <w:ind w:left="-5" w:right="2207"/>
        <w:jc w:val="left"/>
      </w:pPr>
      <w:r>
        <w:rPr>
          <w:b/>
        </w:rPr>
        <w:t xml:space="preserve">K o r a c  spol. s r.o. </w:t>
      </w:r>
    </w:p>
    <w:p w:rsidR="004B6297" w:rsidRDefault="0024556B">
      <w:pPr>
        <w:tabs>
          <w:tab w:val="center" w:pos="3017"/>
        </w:tabs>
        <w:ind w:left="-15" w:firstLine="0"/>
        <w:jc w:val="left"/>
      </w:pPr>
      <w:r>
        <w:t xml:space="preserve">se sídlem:  </w:t>
      </w:r>
      <w:r>
        <w:tab/>
        <w:t xml:space="preserve">Mánesova 887/12, 796 01 Prostějov </w:t>
      </w:r>
    </w:p>
    <w:p w:rsidR="004B6297" w:rsidRDefault="0024556B">
      <w:pPr>
        <w:tabs>
          <w:tab w:val="center" w:pos="708"/>
          <w:tab w:val="center" w:pos="1861"/>
        </w:tabs>
        <w:ind w:left="-15" w:firstLine="0"/>
        <w:jc w:val="left"/>
      </w:pPr>
      <w:r>
        <w:t xml:space="preserve">IČO:  </w:t>
      </w:r>
      <w:r>
        <w:tab/>
        <w:t xml:space="preserve"> </w:t>
      </w:r>
      <w:r>
        <w:tab/>
        <w:t xml:space="preserve">60733365 </w:t>
      </w:r>
    </w:p>
    <w:p w:rsidR="004B6297" w:rsidRDefault="0024556B">
      <w:pPr>
        <w:tabs>
          <w:tab w:val="center" w:pos="708"/>
          <w:tab w:val="center" w:pos="1995"/>
        </w:tabs>
        <w:ind w:left="-15" w:firstLine="0"/>
        <w:jc w:val="left"/>
      </w:pPr>
      <w:r>
        <w:t xml:space="preserve">DIČ:  </w:t>
      </w:r>
      <w:r>
        <w:tab/>
        <w:t xml:space="preserve"> </w:t>
      </w:r>
      <w:r>
        <w:tab/>
        <w:t xml:space="preserve">CZ60733365  </w:t>
      </w:r>
    </w:p>
    <w:p w:rsidR="004B6297" w:rsidRDefault="00485183">
      <w:pPr>
        <w:ind w:left="-5" w:right="2"/>
      </w:pPr>
      <w:r>
        <w:t>xxxxxxxxxxxxxxxxxxxxxxxxxxxxxxxxxxxxxxxxxxxxxxxxxxxxxxxxxxxxxxxxxxxxxxxxxxxxxxxxxxxxxxxxxxxxxxxxxxxxxxxxxxxxxxxxxxxxxxxxxxxxxxxxx</w:t>
      </w:r>
      <w:r w:rsidR="0024556B">
        <w:t xml:space="preserve"> </w:t>
      </w:r>
    </w:p>
    <w:p w:rsidR="004B6297" w:rsidRDefault="0024556B">
      <w:pPr>
        <w:spacing w:after="14" w:line="259" w:lineRule="auto"/>
        <w:ind w:left="0" w:firstLine="0"/>
        <w:jc w:val="left"/>
      </w:pPr>
      <w:r>
        <w:t xml:space="preserve"> </w:t>
      </w:r>
    </w:p>
    <w:p w:rsidR="004B6297" w:rsidRDefault="0024556B">
      <w:pPr>
        <w:ind w:left="-5" w:right="2"/>
      </w:pPr>
      <w:r>
        <w:t>(dále jen „</w:t>
      </w:r>
      <w:r>
        <w:rPr>
          <w:b/>
          <w:u w:val="single" w:color="000000"/>
        </w:rPr>
        <w:t>Dodavatel</w:t>
      </w:r>
      <w:r>
        <w:t xml:space="preserve">“) </w:t>
      </w:r>
    </w:p>
    <w:p w:rsidR="004B6297" w:rsidRDefault="0024556B">
      <w:pPr>
        <w:spacing w:after="14" w:line="259" w:lineRule="auto"/>
        <w:ind w:left="0" w:firstLine="0"/>
        <w:jc w:val="left"/>
      </w:pPr>
      <w:r>
        <w:t xml:space="preserve"> </w:t>
      </w:r>
    </w:p>
    <w:p w:rsidR="004B6297" w:rsidRDefault="0024556B">
      <w:pPr>
        <w:ind w:left="-5" w:right="2"/>
      </w:pPr>
      <w:r>
        <w:t xml:space="preserve">a </w:t>
      </w:r>
    </w:p>
    <w:p w:rsidR="004B6297" w:rsidRDefault="0024556B">
      <w:pPr>
        <w:spacing w:after="14" w:line="259" w:lineRule="auto"/>
        <w:ind w:left="0" w:firstLine="0"/>
        <w:jc w:val="left"/>
      </w:pPr>
      <w:r>
        <w:t xml:space="preserve"> </w:t>
      </w:r>
    </w:p>
    <w:p w:rsidR="004B6297" w:rsidRDefault="0024556B">
      <w:pPr>
        <w:spacing w:after="7" w:line="266" w:lineRule="auto"/>
        <w:ind w:left="-5" w:right="2207"/>
        <w:jc w:val="left"/>
      </w:pPr>
      <w:r>
        <w:rPr>
          <w:b/>
        </w:rPr>
        <w:t xml:space="preserve">GORDIC spol. s r.o. </w:t>
      </w:r>
    </w:p>
    <w:p w:rsidR="004B6297" w:rsidRDefault="0024556B">
      <w:pPr>
        <w:tabs>
          <w:tab w:val="center" w:pos="2879"/>
        </w:tabs>
        <w:ind w:left="-15" w:firstLine="0"/>
        <w:jc w:val="left"/>
      </w:pPr>
      <w:r>
        <w:t xml:space="preserve">se sídlem:  </w:t>
      </w:r>
      <w:r>
        <w:tab/>
        <w:t xml:space="preserve">Erbenova 2108/4, 586 01 Jihlava </w:t>
      </w:r>
    </w:p>
    <w:p w:rsidR="004B6297" w:rsidRDefault="0024556B">
      <w:pPr>
        <w:tabs>
          <w:tab w:val="center" w:pos="708"/>
          <w:tab w:val="center" w:pos="1861"/>
        </w:tabs>
        <w:ind w:left="-15" w:firstLine="0"/>
        <w:jc w:val="left"/>
      </w:pPr>
      <w:r>
        <w:t xml:space="preserve">IČO:  </w:t>
      </w:r>
      <w:r>
        <w:tab/>
        <w:t xml:space="preserve"> </w:t>
      </w:r>
      <w:r>
        <w:tab/>
        <w:t xml:space="preserve">47903783 </w:t>
      </w:r>
    </w:p>
    <w:p w:rsidR="004B6297" w:rsidRDefault="0024556B">
      <w:pPr>
        <w:tabs>
          <w:tab w:val="center" w:pos="708"/>
          <w:tab w:val="center" w:pos="2050"/>
        </w:tabs>
        <w:ind w:left="-15" w:firstLine="0"/>
        <w:jc w:val="left"/>
      </w:pPr>
      <w:r>
        <w:t xml:space="preserve">DIČ:  </w:t>
      </w:r>
      <w:r>
        <w:tab/>
        <w:t xml:space="preserve"> </w:t>
      </w:r>
      <w:r>
        <w:tab/>
        <w:t xml:space="preserve">CZ479037835  </w:t>
      </w:r>
    </w:p>
    <w:p w:rsidR="004B6297" w:rsidRDefault="00485183">
      <w:pPr>
        <w:ind w:left="-5" w:right="113"/>
      </w:pPr>
      <w:r>
        <w:t>xxxxxxxxxxxxxxxxxxxxxxxxxxxxxxxxxxxxxxxxxxxxxxxxxxxxxxxxxxxxxxxxxxxxxxxxxxxxxxxxxxxxxxxxxxxxxxxxxxxxxxxxxxxxxxxxxxxxxxxxxxxxxxxxxxxxxxxxx</w:t>
      </w:r>
      <w:r w:rsidR="0024556B">
        <w:t xml:space="preserve"> </w:t>
      </w:r>
    </w:p>
    <w:p w:rsidR="004B6297" w:rsidRDefault="0024556B">
      <w:pPr>
        <w:spacing w:after="14" w:line="259" w:lineRule="auto"/>
        <w:ind w:left="0" w:firstLine="0"/>
        <w:jc w:val="left"/>
      </w:pPr>
      <w:r>
        <w:t xml:space="preserve"> </w:t>
      </w:r>
    </w:p>
    <w:p w:rsidR="004B6297" w:rsidRDefault="0024556B">
      <w:pPr>
        <w:ind w:left="-5" w:right="2"/>
      </w:pPr>
      <w:r>
        <w:t>(dále jen „</w:t>
      </w:r>
      <w:r>
        <w:rPr>
          <w:b/>
          <w:u w:val="single" w:color="000000"/>
        </w:rPr>
        <w:t>GORDIC</w:t>
      </w:r>
      <w:r>
        <w:t xml:space="preserve">“)   </w:t>
      </w:r>
    </w:p>
    <w:p w:rsidR="004B6297" w:rsidRDefault="0024556B">
      <w:pPr>
        <w:spacing w:after="14" w:line="259" w:lineRule="auto"/>
        <w:ind w:left="0" w:firstLine="0"/>
        <w:jc w:val="left"/>
      </w:pPr>
      <w:r>
        <w:t xml:space="preserve">   </w:t>
      </w:r>
    </w:p>
    <w:p w:rsidR="004B6297" w:rsidRDefault="0024556B">
      <w:pPr>
        <w:ind w:left="-5" w:right="2"/>
      </w:pPr>
      <w:r>
        <w:t>(Objednatel a Dodavatel společně také jako „</w:t>
      </w:r>
      <w:r>
        <w:rPr>
          <w:b/>
          <w:u w:val="single" w:color="000000"/>
        </w:rPr>
        <w:t>Smluvní strany</w:t>
      </w:r>
      <w:r>
        <w:t>“ a jednotlivě jako „</w:t>
      </w:r>
      <w:r>
        <w:rPr>
          <w:b/>
          <w:u w:val="single" w:color="000000"/>
        </w:rPr>
        <w:t>Smluvní strana</w:t>
      </w:r>
      <w:r>
        <w:t xml:space="preserve">“) </w:t>
      </w:r>
    </w:p>
    <w:p w:rsidR="004B6297" w:rsidRDefault="0024556B">
      <w:pPr>
        <w:spacing w:after="14" w:line="259" w:lineRule="auto"/>
        <w:ind w:left="0" w:firstLine="0"/>
        <w:jc w:val="left"/>
      </w:pPr>
      <w:r>
        <w:t xml:space="preserve"> </w:t>
      </w:r>
    </w:p>
    <w:p w:rsidR="004B6297" w:rsidRDefault="0024556B">
      <w:pPr>
        <w:ind w:left="-5" w:right="2"/>
      </w:pPr>
      <w:r>
        <w:t xml:space="preserve">uzavřely níže uvedeného dne, měsíce a roku v souladu s </w:t>
      </w:r>
      <w:proofErr w:type="spellStart"/>
      <w:r>
        <w:t>ust</w:t>
      </w:r>
      <w:proofErr w:type="spellEnd"/>
      <w:r>
        <w:t>. § 1981 zákona č. 89/2012 Sb., občanský zákoník, ve znění pozdějších předpisů (dále jen „</w:t>
      </w:r>
      <w:r>
        <w:rPr>
          <w:b/>
          <w:u w:val="single" w:color="000000"/>
        </w:rPr>
        <w:t>Občanský zákoník</w:t>
      </w:r>
      <w:r>
        <w:t>“) tuto dohodu o ukončení (dále jen „</w:t>
      </w:r>
      <w:r>
        <w:rPr>
          <w:b/>
          <w:u w:val="single" w:color="000000"/>
        </w:rPr>
        <w:t>Dohoda</w:t>
      </w:r>
      <w:r>
        <w:t xml:space="preserve">“): </w:t>
      </w:r>
    </w:p>
    <w:p w:rsidR="004B6297" w:rsidRDefault="0024556B">
      <w:pPr>
        <w:spacing w:after="18" w:line="259" w:lineRule="auto"/>
        <w:ind w:left="0" w:firstLine="0"/>
        <w:jc w:val="left"/>
      </w:pPr>
      <w:r>
        <w:t xml:space="preserve"> </w:t>
      </w:r>
    </w:p>
    <w:p w:rsidR="004B6297" w:rsidRDefault="0024556B">
      <w:pPr>
        <w:spacing w:after="14" w:line="259" w:lineRule="auto"/>
        <w:ind w:left="53" w:firstLine="0"/>
        <w:jc w:val="center"/>
      </w:pPr>
      <w:r>
        <w:rPr>
          <w:b/>
        </w:rPr>
        <w:t xml:space="preserve"> </w:t>
      </w:r>
    </w:p>
    <w:p w:rsidR="004B6297" w:rsidRDefault="0024556B">
      <w:pPr>
        <w:tabs>
          <w:tab w:val="center" w:pos="4586"/>
          <w:tab w:val="center" w:pos="525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I. </w:t>
      </w:r>
      <w:r>
        <w:rPr>
          <w:b/>
        </w:rPr>
        <w:tab/>
        <w:t xml:space="preserve"> </w:t>
      </w:r>
    </w:p>
    <w:p w:rsidR="004B6297" w:rsidRDefault="0024556B">
      <w:pPr>
        <w:spacing w:after="0" w:line="259" w:lineRule="auto"/>
        <w:ind w:left="219" w:right="211"/>
        <w:jc w:val="center"/>
      </w:pPr>
      <w:r>
        <w:rPr>
          <w:b/>
        </w:rPr>
        <w:t xml:space="preserve">Úvodní ustanovení </w:t>
      </w:r>
    </w:p>
    <w:p w:rsidR="004B6297" w:rsidRDefault="0024556B">
      <w:pPr>
        <w:spacing w:after="14" w:line="259" w:lineRule="auto"/>
        <w:ind w:left="53" w:firstLine="0"/>
        <w:jc w:val="center"/>
      </w:pPr>
      <w:r>
        <w:rPr>
          <w:b/>
        </w:rPr>
        <w:t xml:space="preserve"> </w:t>
      </w:r>
    </w:p>
    <w:p w:rsidR="004B6297" w:rsidRDefault="0024556B">
      <w:pPr>
        <w:numPr>
          <w:ilvl w:val="0"/>
          <w:numId w:val="1"/>
        </w:numPr>
        <w:spacing w:after="158"/>
        <w:ind w:right="2" w:hanging="426"/>
      </w:pPr>
      <w:r>
        <w:t xml:space="preserve">Objednatelem bylo na základě objednávky ze dne 3. 11. 2022 objednáno u Dodavatele plnění spočívající v dodávce programového vybavení </w:t>
      </w:r>
      <w:proofErr w:type="spellStart"/>
      <w:r>
        <w:t>Gordic</w:t>
      </w:r>
      <w:proofErr w:type="spellEnd"/>
      <w:r>
        <w:t xml:space="preserve"> (dále jen „</w:t>
      </w:r>
      <w:r>
        <w:rPr>
          <w:b/>
        </w:rPr>
        <w:t>Objednávka</w:t>
      </w:r>
      <w:r>
        <w:t>“), a to v následujícím rozsahu:</w:t>
      </w:r>
      <w:r>
        <w:rPr>
          <w:b/>
        </w:rPr>
        <w:t xml:space="preserve"> </w:t>
      </w:r>
    </w:p>
    <w:p w:rsidR="004B6297" w:rsidRDefault="0024556B">
      <w:pPr>
        <w:numPr>
          <w:ilvl w:val="1"/>
          <w:numId w:val="1"/>
        </w:numPr>
        <w:spacing w:after="127"/>
        <w:ind w:right="2" w:hanging="361"/>
      </w:pPr>
      <w:r>
        <w:t>SQL – UCR – Účetnictví a rozpočet do 500</w:t>
      </w:r>
      <w:r>
        <w:t xml:space="preserve">0 </w:t>
      </w:r>
      <w:proofErr w:type="spellStart"/>
      <w:r>
        <w:t>záp</w:t>
      </w:r>
      <w:proofErr w:type="spellEnd"/>
      <w:r>
        <w:t>./měsíc;</w:t>
      </w:r>
      <w:r>
        <w:rPr>
          <w:b/>
        </w:rPr>
        <w:t xml:space="preserve"> </w:t>
      </w:r>
    </w:p>
    <w:p w:rsidR="004B6297" w:rsidRDefault="0024556B">
      <w:pPr>
        <w:numPr>
          <w:ilvl w:val="1"/>
          <w:numId w:val="1"/>
        </w:numPr>
        <w:spacing w:after="127"/>
        <w:ind w:right="2" w:hanging="361"/>
      </w:pPr>
      <w:r>
        <w:t>SQL – EMA – Evidence majetku do 10000 karet;</w:t>
      </w:r>
      <w:r>
        <w:rPr>
          <w:b/>
        </w:rPr>
        <w:t xml:space="preserve"> </w:t>
      </w:r>
    </w:p>
    <w:p w:rsidR="004B6297" w:rsidRDefault="0024556B">
      <w:pPr>
        <w:numPr>
          <w:ilvl w:val="1"/>
          <w:numId w:val="1"/>
        </w:numPr>
        <w:ind w:right="2" w:hanging="361"/>
      </w:pPr>
      <w:r>
        <w:t>SQL – KDF – Kniha došlých faktur do 2000 faktur/rok;</w:t>
      </w:r>
      <w:r>
        <w:rPr>
          <w:b/>
        </w:rPr>
        <w:t xml:space="preserve"> </w:t>
      </w:r>
    </w:p>
    <w:p w:rsidR="004B6297" w:rsidRDefault="0024556B">
      <w:pPr>
        <w:numPr>
          <w:ilvl w:val="1"/>
          <w:numId w:val="1"/>
        </w:numPr>
        <w:spacing w:after="127"/>
        <w:ind w:right="2" w:hanging="361"/>
      </w:pPr>
      <w:r>
        <w:t>SQL – KXF – Komunikace s bankou do 2000 příkazů/rok;</w:t>
      </w:r>
      <w:r>
        <w:rPr>
          <w:b/>
        </w:rPr>
        <w:t xml:space="preserve"> </w:t>
      </w:r>
    </w:p>
    <w:p w:rsidR="004B6297" w:rsidRDefault="0024556B">
      <w:pPr>
        <w:numPr>
          <w:ilvl w:val="1"/>
          <w:numId w:val="1"/>
        </w:numPr>
        <w:spacing w:after="127"/>
        <w:ind w:right="2" w:hanging="361"/>
      </w:pPr>
      <w:r>
        <w:t>SQL – POK – Pokladna do 5000 položek;</w:t>
      </w:r>
      <w:r>
        <w:rPr>
          <w:b/>
        </w:rPr>
        <w:t xml:space="preserve"> </w:t>
      </w:r>
    </w:p>
    <w:p w:rsidR="004B6297" w:rsidRDefault="0024556B">
      <w:pPr>
        <w:numPr>
          <w:ilvl w:val="1"/>
          <w:numId w:val="1"/>
        </w:numPr>
        <w:spacing w:after="127"/>
        <w:ind w:right="2" w:hanging="361"/>
      </w:pPr>
      <w:r>
        <w:t xml:space="preserve">SQL – PED – Státní pokladna – podání el. </w:t>
      </w:r>
      <w:proofErr w:type="gramStart"/>
      <w:r>
        <w:t>dat</w:t>
      </w:r>
      <w:proofErr w:type="gramEnd"/>
      <w:r>
        <w:t>;</w:t>
      </w:r>
      <w:r>
        <w:rPr>
          <w:b/>
        </w:rPr>
        <w:t xml:space="preserve"> </w:t>
      </w:r>
    </w:p>
    <w:p w:rsidR="004B6297" w:rsidRDefault="0024556B">
      <w:pPr>
        <w:numPr>
          <w:ilvl w:val="1"/>
          <w:numId w:val="1"/>
        </w:numPr>
        <w:spacing w:after="127"/>
        <w:ind w:right="2" w:hanging="361"/>
      </w:pPr>
      <w:r>
        <w:lastRenderedPageBreak/>
        <w:t>S</w:t>
      </w:r>
      <w:r>
        <w:t>QL – KOF – Kniha odeslaných faktur do 500 faktur/rok;</w:t>
      </w:r>
      <w:r>
        <w:rPr>
          <w:b/>
        </w:rPr>
        <w:t xml:space="preserve"> </w:t>
      </w:r>
    </w:p>
    <w:p w:rsidR="004B6297" w:rsidRDefault="0024556B">
      <w:pPr>
        <w:numPr>
          <w:ilvl w:val="1"/>
          <w:numId w:val="1"/>
        </w:numPr>
        <w:spacing w:after="127"/>
        <w:ind w:right="2" w:hanging="361"/>
      </w:pPr>
      <w:r>
        <w:t>SQL – PAM – Práce a mzdy do 200 PPV;</w:t>
      </w:r>
      <w:r>
        <w:rPr>
          <w:b/>
        </w:rPr>
        <w:t xml:space="preserve"> </w:t>
      </w:r>
    </w:p>
    <w:p w:rsidR="004B6297" w:rsidRDefault="0024556B">
      <w:pPr>
        <w:numPr>
          <w:ilvl w:val="1"/>
          <w:numId w:val="1"/>
        </w:numPr>
        <w:spacing w:line="380" w:lineRule="auto"/>
        <w:ind w:right="2" w:hanging="361"/>
      </w:pPr>
      <w:r>
        <w:t>SQL - PER – Personalistika do 200 PPV;</w:t>
      </w:r>
      <w:r>
        <w:rPr>
          <w:b/>
        </w:rPr>
        <w:t xml:space="preserve"> </w:t>
      </w:r>
      <w:r>
        <w:rPr>
          <w:rFonts w:ascii="Segoe UI Symbol" w:eastAsia="Segoe UI Symbol" w:hAnsi="Segoe UI Symbol" w:cs="Segoe UI Symbol"/>
        </w:rPr>
        <w:t>-</w:t>
      </w:r>
      <w:r>
        <w:t xml:space="preserve"> </w:t>
      </w:r>
      <w:r>
        <w:tab/>
        <w:t xml:space="preserve">SQL – OBJ – Objednávky 2 000 </w:t>
      </w:r>
      <w:proofErr w:type="spellStart"/>
      <w:r>
        <w:t>obj</w:t>
      </w:r>
      <w:proofErr w:type="spellEnd"/>
      <w:r>
        <w:t>./rok.</w:t>
      </w:r>
      <w:r>
        <w:rPr>
          <w:b/>
        </w:rPr>
        <w:t xml:space="preserve"> </w:t>
      </w:r>
    </w:p>
    <w:p w:rsidR="004B6297" w:rsidRDefault="0024556B">
      <w:pPr>
        <w:spacing w:after="134" w:line="259" w:lineRule="auto"/>
        <w:ind w:left="644" w:firstLine="0"/>
        <w:jc w:val="left"/>
      </w:pPr>
      <w:r>
        <w:t>(dále jen „</w:t>
      </w:r>
      <w:r>
        <w:rPr>
          <w:b/>
          <w:u w:val="single" w:color="000000"/>
        </w:rPr>
        <w:t xml:space="preserve">Programové vybavení </w:t>
      </w:r>
      <w:proofErr w:type="spellStart"/>
      <w:r>
        <w:rPr>
          <w:b/>
          <w:u w:val="single" w:color="000000"/>
        </w:rPr>
        <w:t>Gordic</w:t>
      </w:r>
      <w:proofErr w:type="spellEnd"/>
      <w:r>
        <w:t xml:space="preserve">“) </w:t>
      </w:r>
    </w:p>
    <w:p w:rsidR="004B6297" w:rsidRDefault="0024556B">
      <w:pPr>
        <w:numPr>
          <w:ilvl w:val="0"/>
          <w:numId w:val="1"/>
        </w:numPr>
        <w:spacing w:after="124"/>
        <w:ind w:right="2" w:hanging="426"/>
      </w:pPr>
      <w:r>
        <w:t xml:space="preserve">Ze strany Dodavatele byla poskytnuta dodávka Programového vybavení </w:t>
      </w:r>
      <w:proofErr w:type="spellStart"/>
      <w:r>
        <w:t>Gordic</w:t>
      </w:r>
      <w:proofErr w:type="spellEnd"/>
      <w:r>
        <w:t xml:space="preserve"> vč. většiny souvisejících implementačních a servisních prací a školení. V souvislosti s dodávkou Programového vybavení </w:t>
      </w:r>
      <w:proofErr w:type="spellStart"/>
      <w:r>
        <w:t>Gordic</w:t>
      </w:r>
      <w:proofErr w:type="spellEnd"/>
      <w:r>
        <w:t xml:space="preserve"> měl být dále ze strany Dodavatele zajištěn následný serv</w:t>
      </w:r>
      <w:r>
        <w:t xml:space="preserve">is a upgrade Programového vybavení </w:t>
      </w:r>
      <w:proofErr w:type="spellStart"/>
      <w:r>
        <w:t>Gordic</w:t>
      </w:r>
      <w:proofErr w:type="spellEnd"/>
      <w:r>
        <w:t xml:space="preserve">.    </w:t>
      </w:r>
      <w:r>
        <w:rPr>
          <w:b/>
        </w:rPr>
        <w:t xml:space="preserve"> </w:t>
      </w:r>
    </w:p>
    <w:p w:rsidR="004B6297" w:rsidRDefault="0024556B">
      <w:pPr>
        <w:numPr>
          <w:ilvl w:val="0"/>
          <w:numId w:val="1"/>
        </w:numPr>
        <w:spacing w:after="124"/>
        <w:ind w:right="2" w:hanging="426"/>
      </w:pPr>
      <w:r>
        <w:t xml:space="preserve">Ze strany Objednatele došlo řádně k úhradě ceny za dodávku Programového vybavení </w:t>
      </w:r>
      <w:proofErr w:type="spellStart"/>
      <w:r>
        <w:t>Gordic</w:t>
      </w:r>
      <w:proofErr w:type="spellEnd"/>
      <w:r>
        <w:t xml:space="preserve"> vč. provedených souvisejících implementačních a servisních prací a škole</w:t>
      </w:r>
      <w:r w:rsidR="00485183">
        <w:t xml:space="preserve">ní, jakož i ročního </w:t>
      </w:r>
      <w:proofErr w:type="spellStart"/>
      <w:r w:rsidR="00485183">
        <w:t>udržovacíhopo</w:t>
      </w:r>
      <w:r>
        <w:t>platku</w:t>
      </w:r>
      <w:proofErr w:type="spellEnd"/>
      <w:r>
        <w:t xml:space="preserve">, </w:t>
      </w:r>
      <w:r w:rsidR="00485183">
        <w:t>xxxxxxxxxxxxxxxxxxxxxxxxxxxxxxxxxxxxxxxxxxxxxxxxxxxxxxxxxxxxxxxxxxxxxxxxxxxxxxxxxxxxxxxxxxxxxxxxxxxxx</w:t>
      </w:r>
      <w:r>
        <w:t xml:space="preserve"> </w:t>
      </w:r>
      <w:r>
        <w:rPr>
          <w:b/>
        </w:rPr>
        <w:t xml:space="preserve"> </w:t>
      </w:r>
    </w:p>
    <w:p w:rsidR="004B6297" w:rsidRDefault="0024556B">
      <w:pPr>
        <w:numPr>
          <w:ilvl w:val="0"/>
          <w:numId w:val="1"/>
        </w:numPr>
        <w:spacing w:after="124"/>
        <w:ind w:right="2" w:hanging="426"/>
      </w:pPr>
      <w:r>
        <w:t xml:space="preserve">S ohledem na skutečnost, že po uvedení Programového vybavení </w:t>
      </w:r>
      <w:proofErr w:type="spellStart"/>
      <w:r>
        <w:t>Gordic</w:t>
      </w:r>
      <w:proofErr w:type="spellEnd"/>
      <w:r>
        <w:t xml:space="preserve"> do provozu v podmínkách Objednatele bylo na straně Objednatele zjištěno, že Programové vyb</w:t>
      </w:r>
      <w:r>
        <w:t xml:space="preserve">avení </w:t>
      </w:r>
      <w:proofErr w:type="spellStart"/>
      <w:r>
        <w:t>Gordic</w:t>
      </w:r>
      <w:proofErr w:type="spellEnd"/>
      <w:r>
        <w:t xml:space="preserve"> nevyhovuje potřebám Objednatele, dohodly se Smluvní strany, že Objednatel již nadále nemá zájem Programové vybavení </w:t>
      </w:r>
      <w:proofErr w:type="spellStart"/>
      <w:r>
        <w:t>Gordic</w:t>
      </w:r>
      <w:proofErr w:type="spellEnd"/>
      <w:r>
        <w:t xml:space="preserve"> užívat pročež Smluvní strany ukončí smluvní vztahy související s dodávkou Programového vybavení </w:t>
      </w:r>
      <w:proofErr w:type="spellStart"/>
      <w:r>
        <w:t>Gordic</w:t>
      </w:r>
      <w:proofErr w:type="spellEnd"/>
      <w:r>
        <w:t xml:space="preserve"> a vypořádají souv</w:t>
      </w:r>
      <w:r>
        <w:t xml:space="preserve">isející práva a povinnosti. </w:t>
      </w:r>
      <w:r>
        <w:rPr>
          <w:b/>
        </w:rPr>
        <w:t xml:space="preserve"> </w:t>
      </w:r>
    </w:p>
    <w:p w:rsidR="004B6297" w:rsidRDefault="0024556B">
      <w:pPr>
        <w:spacing w:after="134" w:line="259" w:lineRule="auto"/>
        <w:ind w:left="426" w:firstLine="0"/>
        <w:jc w:val="left"/>
      </w:pPr>
      <w:r>
        <w:rPr>
          <w:b/>
        </w:rPr>
        <w:t xml:space="preserve"> </w:t>
      </w:r>
    </w:p>
    <w:p w:rsidR="004B6297" w:rsidRDefault="0024556B">
      <w:pPr>
        <w:tabs>
          <w:tab w:val="center" w:pos="4614"/>
          <w:tab w:val="center" w:pos="525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II. </w:t>
      </w:r>
      <w:r>
        <w:rPr>
          <w:b/>
        </w:rPr>
        <w:tab/>
        <w:t xml:space="preserve"> </w:t>
      </w:r>
    </w:p>
    <w:p w:rsidR="004B6297" w:rsidRDefault="0024556B">
      <w:pPr>
        <w:spacing w:after="0" w:line="259" w:lineRule="auto"/>
        <w:ind w:left="219" w:right="211"/>
        <w:jc w:val="center"/>
      </w:pPr>
      <w:r>
        <w:rPr>
          <w:b/>
        </w:rPr>
        <w:t xml:space="preserve">Předmět Dohody </w:t>
      </w:r>
    </w:p>
    <w:p w:rsidR="004B6297" w:rsidRDefault="0024556B">
      <w:pPr>
        <w:spacing w:after="14" w:line="259" w:lineRule="auto"/>
        <w:ind w:left="0" w:firstLine="0"/>
        <w:jc w:val="left"/>
      </w:pPr>
      <w:r>
        <w:rPr>
          <w:b/>
        </w:rPr>
        <w:t xml:space="preserve"> </w:t>
      </w:r>
    </w:p>
    <w:p w:rsidR="004B6297" w:rsidRDefault="0024556B">
      <w:pPr>
        <w:numPr>
          <w:ilvl w:val="0"/>
          <w:numId w:val="2"/>
        </w:numPr>
        <w:spacing w:after="124"/>
        <w:ind w:right="2" w:hanging="426"/>
      </w:pPr>
      <w:r>
        <w:t xml:space="preserve">Předmětem této Dohody je ukončení smluvního vztahu založeného mezi Smluvními stranami na základě Objednávky a v rámci právní jistoty rovněž případných přímo souvisejících smluvních vztahů s </w:t>
      </w:r>
      <w:r>
        <w:t xml:space="preserve">dodávkou Programového vybavení </w:t>
      </w:r>
      <w:proofErr w:type="spellStart"/>
      <w:r>
        <w:t>Gordic</w:t>
      </w:r>
      <w:proofErr w:type="spellEnd"/>
      <w:r>
        <w:t xml:space="preserve"> (dále jen „</w:t>
      </w:r>
      <w:r>
        <w:rPr>
          <w:b/>
        </w:rPr>
        <w:t>Smluvní vztahy</w:t>
      </w:r>
      <w:r>
        <w:t xml:space="preserve">“).    </w:t>
      </w:r>
    </w:p>
    <w:p w:rsidR="004B6297" w:rsidRDefault="0024556B">
      <w:pPr>
        <w:numPr>
          <w:ilvl w:val="0"/>
          <w:numId w:val="2"/>
        </w:numPr>
        <w:spacing w:after="124"/>
        <w:ind w:right="2" w:hanging="426"/>
      </w:pPr>
      <w:r>
        <w:t xml:space="preserve">Smluvní strany tímto na základě dohody ukončují Smluvní vztahy, a to ke dni nabytí účinnosti této Dohody.  </w:t>
      </w:r>
    </w:p>
    <w:p w:rsidR="004B6297" w:rsidRDefault="0024556B">
      <w:pPr>
        <w:numPr>
          <w:ilvl w:val="0"/>
          <w:numId w:val="2"/>
        </w:numPr>
        <w:spacing w:after="124"/>
        <w:ind w:right="2" w:hanging="426"/>
      </w:pPr>
      <w:r>
        <w:t>Smluvní strany se dohodly, že jakékoliv další implementační, servisní práce a</w:t>
      </w:r>
      <w:r>
        <w:t xml:space="preserve"> školení související s Programovým vybavením nebudou Objednatelem požadovány a Dodavatelem dodány.  </w:t>
      </w:r>
    </w:p>
    <w:p w:rsidR="004B6297" w:rsidRDefault="0024556B">
      <w:pPr>
        <w:numPr>
          <w:ilvl w:val="0"/>
          <w:numId w:val="2"/>
        </w:numPr>
        <w:spacing w:after="124"/>
        <w:ind w:right="2" w:hanging="426"/>
      </w:pPr>
      <w:r>
        <w:t>Smluvní strany se v souvislosti s ukončením Smluvních vztahů dohodly na finančním vypořádání, a to s ohledem na skutečnost, že ze strany Objednatele nebude</w:t>
      </w:r>
      <w:r>
        <w:t xml:space="preserve"> Dodavatelem poskytnuté plnění užíváno v předpokládaném rozsahu a vzhledem ke specifickým okol</w:t>
      </w:r>
      <w:r>
        <w:t xml:space="preserve">nostem daného případu Dodavatel </w:t>
      </w:r>
      <w:r>
        <w:t xml:space="preserve">nepovažuje </w:t>
      </w:r>
      <w:r>
        <w:t xml:space="preserve">úhradu </w:t>
      </w:r>
      <w:r>
        <w:t xml:space="preserve">v </w:t>
      </w:r>
      <w:proofErr w:type="spellStart"/>
      <w:r w:rsidR="00485183">
        <w:t>xxxxxxx</w:t>
      </w:r>
      <w:proofErr w:type="spellEnd"/>
      <w:r>
        <w:t xml:space="preserve"> </w:t>
      </w:r>
      <w:proofErr w:type="spellStart"/>
      <w:r w:rsidR="00485183">
        <w:t>xxxx</w:t>
      </w:r>
      <w:proofErr w:type="spellEnd"/>
      <w:r>
        <w:t xml:space="preserve"> </w:t>
      </w:r>
      <w:proofErr w:type="spellStart"/>
      <w:r w:rsidR="00485183">
        <w:t>xxx</w:t>
      </w:r>
      <w:proofErr w:type="spellEnd"/>
      <w:r>
        <w:t xml:space="preserve"> </w:t>
      </w:r>
      <w:proofErr w:type="spellStart"/>
      <w:r w:rsidR="00485183">
        <w:t>xxx</w:t>
      </w:r>
      <w:proofErr w:type="spellEnd"/>
      <w:r>
        <w:t xml:space="preserve"> </w:t>
      </w:r>
      <w:proofErr w:type="spellStart"/>
      <w:r w:rsidR="00485183">
        <w:t>xx</w:t>
      </w:r>
      <w:proofErr w:type="spellEnd"/>
      <w:r>
        <w:t xml:space="preserve"> </w:t>
      </w:r>
      <w:proofErr w:type="spellStart"/>
      <w:r w:rsidR="00485183">
        <w:t>xxxxxxx</w:t>
      </w:r>
      <w:proofErr w:type="spellEnd"/>
      <w:r>
        <w:rPr>
          <w:i/>
        </w:rPr>
        <w:t xml:space="preserve"> </w:t>
      </w:r>
      <w:proofErr w:type="spellStart"/>
      <w:r w:rsidR="00485183">
        <w:rPr>
          <w:i/>
        </w:rPr>
        <w:t>xxx</w:t>
      </w:r>
      <w:proofErr w:type="spellEnd"/>
      <w:r>
        <w:rPr>
          <w:i/>
        </w:rPr>
        <w:t xml:space="preserve"> </w:t>
      </w:r>
      <w:proofErr w:type="spellStart"/>
      <w:r w:rsidR="00485183">
        <w:rPr>
          <w:i/>
        </w:rPr>
        <w:t>xxx</w:t>
      </w:r>
      <w:proofErr w:type="spellEnd"/>
      <w:r>
        <w:rPr>
          <w:i/>
        </w:rPr>
        <w:t xml:space="preserve"> </w:t>
      </w:r>
      <w:proofErr w:type="spellStart"/>
      <w:r w:rsidR="00485183">
        <w:rPr>
          <w:i/>
        </w:rPr>
        <w:t>xxxxxxxx</w:t>
      </w:r>
      <w:proofErr w:type="spellEnd"/>
      <w:r>
        <w:rPr>
          <w:i/>
        </w:rPr>
        <w:t xml:space="preserve"> </w:t>
      </w:r>
      <w:proofErr w:type="spellStart"/>
      <w:r w:rsidR="00485183">
        <w:rPr>
          <w:i/>
        </w:rPr>
        <w:t>xxxx</w:t>
      </w:r>
      <w:proofErr w:type="spellEnd"/>
      <w:r>
        <w:rPr>
          <w:i/>
        </w:rPr>
        <w:t xml:space="preserve"> </w:t>
      </w:r>
      <w:proofErr w:type="spellStart"/>
      <w:r w:rsidR="00485183">
        <w:rPr>
          <w:i/>
        </w:rPr>
        <w:t>xxxxx</w:t>
      </w:r>
      <w:proofErr w:type="spellEnd"/>
      <w:r>
        <w:rPr>
          <w:i/>
        </w:rPr>
        <w:t xml:space="preserve"> </w:t>
      </w:r>
      <w:proofErr w:type="spellStart"/>
      <w:r w:rsidR="00485183">
        <w:rPr>
          <w:i/>
        </w:rPr>
        <w:t>xxxxxx</w:t>
      </w:r>
      <w:proofErr w:type="spellEnd"/>
      <w:r>
        <w:rPr>
          <w:i/>
        </w:rPr>
        <w:t xml:space="preserve"> </w:t>
      </w:r>
      <w:proofErr w:type="spellStart"/>
      <w:r w:rsidR="00485183">
        <w:rPr>
          <w:i/>
        </w:rPr>
        <w:t>xxx</w:t>
      </w:r>
      <w:proofErr w:type="spellEnd"/>
      <w:r>
        <w:rPr>
          <w:i/>
        </w:rPr>
        <w:t xml:space="preserve"> </w:t>
      </w:r>
      <w:proofErr w:type="spellStart"/>
      <w:r w:rsidR="00485183">
        <w:rPr>
          <w:i/>
        </w:rPr>
        <w:t>xxxxx</w:t>
      </w:r>
      <w:proofErr w:type="spellEnd"/>
      <w:r>
        <w:rPr>
          <w:i/>
        </w:rPr>
        <w:t xml:space="preserve"> </w:t>
      </w:r>
      <w:proofErr w:type="spellStart"/>
      <w:r w:rsidR="00485183">
        <w:rPr>
          <w:i/>
        </w:rPr>
        <w:t>xxxxxxxx</w:t>
      </w:r>
      <w:proofErr w:type="spellEnd"/>
      <w:r>
        <w:t xml:space="preserve"> </w:t>
      </w:r>
      <w:proofErr w:type="spellStart"/>
      <w:r w:rsidR="00485183">
        <w:t>xxx</w:t>
      </w:r>
      <w:proofErr w:type="spellEnd"/>
      <w:r>
        <w:t xml:space="preserve"> </w:t>
      </w:r>
      <w:proofErr w:type="spellStart"/>
      <w:r w:rsidR="00485183">
        <w:t>xxx</w:t>
      </w:r>
      <w:proofErr w:type="spellEnd"/>
      <w:r>
        <w:t xml:space="preserve"> </w:t>
      </w:r>
      <w:proofErr w:type="spellStart"/>
      <w:r w:rsidR="00485183">
        <w:t>xx</w:t>
      </w:r>
      <w:proofErr w:type="spellEnd"/>
      <w:r>
        <w:t xml:space="preserve"> </w:t>
      </w:r>
      <w:proofErr w:type="spellStart"/>
      <w:r w:rsidR="00485183">
        <w:t>xxxxxxxxxxxxx</w:t>
      </w:r>
      <w:proofErr w:type="spellEnd"/>
      <w:r>
        <w:t xml:space="preserve"> S ohledem na právě uvedené se GORDIC zavazuje uhradit </w:t>
      </w:r>
      <w:r>
        <w:t>O</w:t>
      </w:r>
      <w:r>
        <w:t>b</w:t>
      </w:r>
      <w:r>
        <w:t>j</w:t>
      </w:r>
      <w:r>
        <w:t>e</w:t>
      </w:r>
      <w:r>
        <w:t>d</w:t>
      </w:r>
      <w:r>
        <w:t>n</w:t>
      </w:r>
      <w:r>
        <w:t>a</w:t>
      </w:r>
      <w:r>
        <w:t>t</w:t>
      </w:r>
      <w:r>
        <w:t>e</w:t>
      </w:r>
      <w:r>
        <w:t>l</w:t>
      </w:r>
      <w:r>
        <w:t xml:space="preserve">i částku ve výši </w:t>
      </w:r>
      <w:proofErr w:type="spellStart"/>
      <w:r w:rsidR="00485183">
        <w:t>xxxxxxxxxx</w:t>
      </w:r>
      <w:proofErr w:type="spellEnd"/>
      <w:r>
        <w:t xml:space="preserve"> </w:t>
      </w:r>
      <w:proofErr w:type="spellStart"/>
      <w:r w:rsidR="00485183">
        <w:t>xxxxxxx</w:t>
      </w:r>
      <w:proofErr w:type="spellEnd"/>
      <w:r>
        <w:rPr>
          <w:i/>
        </w:rPr>
        <w:t xml:space="preserve"> </w:t>
      </w:r>
      <w:proofErr w:type="spellStart"/>
      <w:r w:rsidR="00485183">
        <w:rPr>
          <w:i/>
        </w:rPr>
        <w:t>xxxxx</w:t>
      </w:r>
      <w:proofErr w:type="spellEnd"/>
      <w:r>
        <w:rPr>
          <w:i/>
        </w:rPr>
        <w:t xml:space="preserve"> </w:t>
      </w:r>
      <w:proofErr w:type="spellStart"/>
      <w:r w:rsidR="00485183">
        <w:rPr>
          <w:i/>
        </w:rPr>
        <w:t>xxx</w:t>
      </w:r>
      <w:proofErr w:type="spellEnd"/>
      <w:r>
        <w:rPr>
          <w:i/>
        </w:rPr>
        <w:t xml:space="preserve"> </w:t>
      </w:r>
      <w:proofErr w:type="spellStart"/>
      <w:r w:rsidR="00485183">
        <w:rPr>
          <w:i/>
        </w:rPr>
        <w:t>xxxxx</w:t>
      </w:r>
      <w:proofErr w:type="spellEnd"/>
      <w:r>
        <w:rPr>
          <w:i/>
        </w:rPr>
        <w:t xml:space="preserve"> </w:t>
      </w:r>
      <w:proofErr w:type="spellStart"/>
      <w:r w:rsidR="00485183">
        <w:rPr>
          <w:i/>
        </w:rPr>
        <w:t>xxxxx</w:t>
      </w:r>
      <w:proofErr w:type="spellEnd"/>
      <w:r>
        <w:rPr>
          <w:i/>
        </w:rPr>
        <w:t xml:space="preserve"> </w:t>
      </w:r>
      <w:proofErr w:type="spellStart"/>
      <w:r w:rsidR="00485183">
        <w:rPr>
          <w:i/>
        </w:rPr>
        <w:t>xxxxx</w:t>
      </w:r>
      <w:proofErr w:type="spellEnd"/>
      <w:r>
        <w:rPr>
          <w:i/>
        </w:rPr>
        <w:t xml:space="preserve"> </w:t>
      </w:r>
      <w:proofErr w:type="spellStart"/>
      <w:r w:rsidR="00485183">
        <w:rPr>
          <w:i/>
        </w:rPr>
        <w:t>xxx</w:t>
      </w:r>
      <w:proofErr w:type="spellEnd"/>
      <w:r>
        <w:rPr>
          <w:i/>
        </w:rPr>
        <w:t xml:space="preserve"> </w:t>
      </w:r>
      <w:proofErr w:type="spellStart"/>
      <w:r w:rsidR="00485183">
        <w:rPr>
          <w:i/>
        </w:rPr>
        <w:t>xxxxxxxx</w:t>
      </w:r>
      <w:proofErr w:type="spellEnd"/>
      <w:r>
        <w:rPr>
          <w:i/>
        </w:rPr>
        <w:t xml:space="preserve"> </w:t>
      </w:r>
      <w:proofErr w:type="spellStart"/>
      <w:r w:rsidR="00485183">
        <w:rPr>
          <w:i/>
        </w:rPr>
        <w:t>xxxxxxxxx</w:t>
      </w:r>
      <w:proofErr w:type="spellEnd"/>
      <w:r>
        <w:rPr>
          <w:i/>
        </w:rPr>
        <w:t xml:space="preserve"> </w:t>
      </w:r>
      <w:proofErr w:type="spellStart"/>
      <w:r w:rsidR="00485183">
        <w:rPr>
          <w:i/>
        </w:rPr>
        <w:t>xxxxxxxx</w:t>
      </w:r>
      <w:proofErr w:type="spellEnd"/>
      <w:r>
        <w:t xml:space="preserve"> </w:t>
      </w:r>
      <w:proofErr w:type="spellStart"/>
      <w:r w:rsidR="00485183">
        <w:t>xxx</w:t>
      </w:r>
      <w:proofErr w:type="spellEnd"/>
      <w:r>
        <w:t xml:space="preserve"> </w:t>
      </w:r>
      <w:proofErr w:type="spellStart"/>
      <w:r w:rsidR="00485183">
        <w:t>xxxx</w:t>
      </w:r>
      <w:proofErr w:type="spellEnd"/>
      <w:r>
        <w:t xml:space="preserve"> a to do 7 dní od účinnosti této Dohody na bankovní účet Objednatele uvedený v záhlaví </w:t>
      </w:r>
      <w:r>
        <w:t>této Dohody. Tato částka se považuje za uhrazenou dnem připsání na bankovní účet Objednatele uvedený v záhlaví této Dohody. Smluvní strany prohlašují, že připsáním částky</w:t>
      </w:r>
      <w:r w:rsidR="00485183">
        <w:t xml:space="preserve"> </w:t>
      </w:r>
      <w:proofErr w:type="spellStart"/>
      <w:r w:rsidR="00485183">
        <w:t>xxxxxxxxxxxxxx</w:t>
      </w:r>
      <w:proofErr w:type="spellEnd"/>
      <w:r>
        <w:t xml:space="preserve"> </w:t>
      </w:r>
      <w:proofErr w:type="spellStart"/>
      <w:r w:rsidR="00485183">
        <w:t>xxxxxxx</w:t>
      </w:r>
      <w:proofErr w:type="spellEnd"/>
      <w:r>
        <w:rPr>
          <w:i/>
        </w:rPr>
        <w:t xml:space="preserve"> </w:t>
      </w:r>
      <w:proofErr w:type="spellStart"/>
      <w:r w:rsidR="00485183">
        <w:rPr>
          <w:i/>
        </w:rPr>
        <w:t>xxxxx</w:t>
      </w:r>
      <w:proofErr w:type="spellEnd"/>
      <w:r>
        <w:rPr>
          <w:i/>
        </w:rPr>
        <w:t xml:space="preserve"> </w:t>
      </w:r>
      <w:proofErr w:type="spellStart"/>
      <w:r w:rsidR="00485183">
        <w:rPr>
          <w:i/>
        </w:rPr>
        <w:t>xxx</w:t>
      </w:r>
      <w:proofErr w:type="spellEnd"/>
      <w:r>
        <w:rPr>
          <w:i/>
        </w:rPr>
        <w:t xml:space="preserve"> </w:t>
      </w:r>
      <w:proofErr w:type="spellStart"/>
      <w:r w:rsidR="00485183">
        <w:rPr>
          <w:i/>
        </w:rPr>
        <w:t>xxxxxx</w:t>
      </w:r>
      <w:proofErr w:type="spellEnd"/>
      <w:r>
        <w:rPr>
          <w:i/>
        </w:rPr>
        <w:t xml:space="preserve"> </w:t>
      </w:r>
      <w:proofErr w:type="spellStart"/>
      <w:r w:rsidR="00485183">
        <w:rPr>
          <w:i/>
        </w:rPr>
        <w:t>xxxx</w:t>
      </w:r>
      <w:proofErr w:type="spellEnd"/>
      <w:r>
        <w:rPr>
          <w:i/>
        </w:rPr>
        <w:t xml:space="preserve"> </w:t>
      </w:r>
      <w:proofErr w:type="spellStart"/>
      <w:r w:rsidR="00485183">
        <w:rPr>
          <w:i/>
        </w:rPr>
        <w:t>xxxxx</w:t>
      </w:r>
      <w:proofErr w:type="spellEnd"/>
      <w:r>
        <w:rPr>
          <w:i/>
        </w:rPr>
        <w:t xml:space="preserve"> </w:t>
      </w:r>
      <w:proofErr w:type="spellStart"/>
      <w:r w:rsidR="00485183">
        <w:rPr>
          <w:i/>
        </w:rPr>
        <w:t>xxx</w:t>
      </w:r>
      <w:proofErr w:type="spellEnd"/>
      <w:r>
        <w:rPr>
          <w:i/>
        </w:rPr>
        <w:t xml:space="preserve"> </w:t>
      </w:r>
      <w:proofErr w:type="spellStart"/>
      <w:r w:rsidR="00485183">
        <w:rPr>
          <w:i/>
        </w:rPr>
        <w:t>xxx</w:t>
      </w:r>
      <w:proofErr w:type="spellEnd"/>
      <w:r>
        <w:rPr>
          <w:i/>
        </w:rPr>
        <w:t xml:space="preserve"> </w:t>
      </w:r>
      <w:proofErr w:type="spellStart"/>
      <w:r w:rsidR="00485183">
        <w:rPr>
          <w:i/>
        </w:rPr>
        <w:t>xxxxxxxx</w:t>
      </w:r>
      <w:proofErr w:type="spellEnd"/>
      <w:r>
        <w:rPr>
          <w:i/>
        </w:rPr>
        <w:t xml:space="preserve"> </w:t>
      </w:r>
      <w:proofErr w:type="spellStart"/>
      <w:r w:rsidR="00485183">
        <w:rPr>
          <w:i/>
        </w:rPr>
        <w:t>xxx</w:t>
      </w:r>
      <w:proofErr w:type="spellEnd"/>
      <w:r>
        <w:rPr>
          <w:i/>
        </w:rPr>
        <w:t xml:space="preserve"> </w:t>
      </w:r>
      <w:proofErr w:type="spellStart"/>
      <w:r w:rsidR="00485183">
        <w:rPr>
          <w:i/>
        </w:rPr>
        <w:t>xxxxx</w:t>
      </w:r>
      <w:proofErr w:type="spellEnd"/>
      <w:r>
        <w:rPr>
          <w:i/>
        </w:rPr>
        <w:t xml:space="preserve"> </w:t>
      </w:r>
      <w:proofErr w:type="spellStart"/>
      <w:r w:rsidR="00485183">
        <w:rPr>
          <w:i/>
        </w:rPr>
        <w:t>xxxxxxxx</w:t>
      </w:r>
      <w:proofErr w:type="spellEnd"/>
      <w:r>
        <w:t xml:space="preserve"> </w:t>
      </w:r>
      <w:proofErr w:type="spellStart"/>
      <w:r w:rsidR="00485183">
        <w:t>xxx</w:t>
      </w:r>
      <w:proofErr w:type="spellEnd"/>
      <w:r>
        <w:t xml:space="preserve"> </w:t>
      </w:r>
      <w:proofErr w:type="spellStart"/>
      <w:r w:rsidR="00485183">
        <w:t>xxxx</w:t>
      </w:r>
      <w:r>
        <w:t>budou</w:t>
      </w:r>
      <w:proofErr w:type="spellEnd"/>
      <w:r>
        <w:t xml:space="preserve"> Smluvní vztahy vypořádány.  </w:t>
      </w:r>
    </w:p>
    <w:p w:rsidR="004B6297" w:rsidRDefault="0024556B">
      <w:pPr>
        <w:numPr>
          <w:ilvl w:val="0"/>
          <w:numId w:val="2"/>
        </w:numPr>
        <w:spacing w:after="436"/>
        <w:ind w:right="2" w:hanging="426"/>
      </w:pPr>
      <w:r>
        <w:t xml:space="preserve">Pro vyloučení případných pochybností GORDIC deklaruje, že Objednateli při dodání poskytl nevýhradní oprávnění k užití kopie Programového vybavení </w:t>
      </w:r>
      <w:proofErr w:type="spellStart"/>
      <w:r>
        <w:t>Gordic</w:t>
      </w:r>
      <w:proofErr w:type="spellEnd"/>
      <w:r>
        <w:t>, přičemž ukončení Smluvních vztahů se oprávnění k užit</w:t>
      </w:r>
      <w:r>
        <w:t xml:space="preserve">í nijak nedotýká. Pro případ změny stanoviska Objednatele stran rozsahu </w:t>
      </w:r>
    </w:p>
    <w:p w:rsidR="0024556B" w:rsidRDefault="0024556B" w:rsidP="0024556B">
      <w:pPr>
        <w:spacing w:after="436"/>
        <w:ind w:left="426" w:right="2" w:firstLine="0"/>
      </w:pPr>
    </w:p>
    <w:p w:rsidR="0024556B" w:rsidRDefault="0024556B" w:rsidP="0024556B">
      <w:pPr>
        <w:spacing w:after="436"/>
        <w:ind w:left="426" w:right="2" w:firstLine="0"/>
      </w:pPr>
    </w:p>
    <w:p w:rsidR="0024556B" w:rsidRDefault="0024556B" w:rsidP="0024556B">
      <w:pPr>
        <w:spacing w:after="436"/>
        <w:ind w:left="426" w:right="2" w:firstLine="0"/>
      </w:pPr>
    </w:p>
    <w:p w:rsidR="0024556B" w:rsidRDefault="0024556B" w:rsidP="0024556B">
      <w:pPr>
        <w:spacing w:after="436"/>
        <w:ind w:left="426" w:right="2" w:firstLine="0"/>
      </w:pPr>
    </w:p>
    <w:p w:rsidR="004B6297" w:rsidRDefault="0024556B">
      <w:pPr>
        <w:spacing w:after="0" w:line="259" w:lineRule="auto"/>
        <w:ind w:left="1992" w:right="1984"/>
        <w:jc w:val="center"/>
      </w:pPr>
      <w:r>
        <w:lastRenderedPageBreak/>
        <w:t xml:space="preserve">2 </w:t>
      </w:r>
    </w:p>
    <w:p w:rsidR="004B6297" w:rsidRDefault="0024556B">
      <w:pPr>
        <w:spacing w:after="0" w:line="259" w:lineRule="auto"/>
        <w:ind w:left="0" w:firstLine="0"/>
        <w:jc w:val="left"/>
      </w:pPr>
      <w:r>
        <w:t xml:space="preserve"> </w:t>
      </w:r>
    </w:p>
    <w:p w:rsidR="004B6297" w:rsidRDefault="0024556B">
      <w:pPr>
        <w:spacing w:after="124"/>
        <w:ind w:left="436" w:right="2"/>
      </w:pPr>
      <w:r>
        <w:t xml:space="preserve">užívání Programového vybavení </w:t>
      </w:r>
      <w:proofErr w:type="spellStart"/>
      <w:r>
        <w:t>Gordic</w:t>
      </w:r>
      <w:proofErr w:type="spellEnd"/>
      <w:r>
        <w:t xml:space="preserve">, je Objednatel oprávněn Programové vybavení </w:t>
      </w:r>
      <w:proofErr w:type="spellStart"/>
      <w:r>
        <w:t>Gordic</w:t>
      </w:r>
      <w:proofErr w:type="spellEnd"/>
      <w:r>
        <w:t xml:space="preserve"> užívat v plném rozsahu po uhrazení ročního udržovacího poplatku. </w:t>
      </w:r>
      <w:r>
        <w:t xml:space="preserve">Objednatel není však oprávněn užít Programové vybavení </w:t>
      </w:r>
      <w:proofErr w:type="spellStart"/>
      <w:r>
        <w:t>Gordic</w:t>
      </w:r>
      <w:proofErr w:type="spellEnd"/>
      <w:r>
        <w:t xml:space="preserve"> k jiným účelům, než ke kterým bylo určeno, tj. k evidenci účetnictví či jej jakkoli zneužít v neprospěch Dodavatele či GORDIC. </w:t>
      </w:r>
    </w:p>
    <w:p w:rsidR="004B6297" w:rsidRDefault="0024556B">
      <w:pPr>
        <w:spacing w:after="134" w:line="259" w:lineRule="auto"/>
        <w:ind w:left="0" w:firstLine="0"/>
        <w:jc w:val="left"/>
      </w:pPr>
      <w:r>
        <w:t xml:space="preserve"> </w:t>
      </w:r>
    </w:p>
    <w:p w:rsidR="004B6297" w:rsidRDefault="0024556B">
      <w:pPr>
        <w:tabs>
          <w:tab w:val="center" w:pos="4642"/>
          <w:tab w:val="center" w:pos="525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III. </w:t>
      </w:r>
      <w:r>
        <w:rPr>
          <w:b/>
        </w:rPr>
        <w:tab/>
        <w:t xml:space="preserve"> </w:t>
      </w:r>
    </w:p>
    <w:p w:rsidR="004B6297" w:rsidRDefault="0024556B">
      <w:pPr>
        <w:spacing w:after="0" w:line="259" w:lineRule="auto"/>
        <w:ind w:left="219" w:right="211"/>
        <w:jc w:val="center"/>
      </w:pPr>
      <w:r>
        <w:rPr>
          <w:b/>
        </w:rPr>
        <w:t xml:space="preserve">Závěrečná ustanovení </w:t>
      </w:r>
    </w:p>
    <w:p w:rsidR="004B6297" w:rsidRDefault="0024556B">
      <w:pPr>
        <w:spacing w:after="2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4B6297" w:rsidRDefault="0024556B">
      <w:pPr>
        <w:numPr>
          <w:ilvl w:val="0"/>
          <w:numId w:val="3"/>
        </w:numPr>
        <w:spacing w:after="95"/>
        <w:ind w:right="2" w:hanging="426"/>
      </w:pPr>
      <w:r>
        <w:t xml:space="preserve">Tato Dohoda nabývá platnosti </w:t>
      </w:r>
      <w:r>
        <w:t xml:space="preserve">dnem podpisu oprávněnými zástupci Smluvních stran a účinnosti dnem zveřejnění v registru smluv. </w:t>
      </w:r>
    </w:p>
    <w:p w:rsidR="004B6297" w:rsidRDefault="0024556B">
      <w:pPr>
        <w:numPr>
          <w:ilvl w:val="0"/>
          <w:numId w:val="3"/>
        </w:numPr>
        <w:spacing w:after="94"/>
        <w:ind w:right="2" w:hanging="426"/>
      </w:pPr>
      <w:r>
        <w:t>Tato Dohoda, jakož i práva a povinnosti vzniklé na základě této Dohody nebo v souvislosti s ní, se řídí Občanským zákoníkem a platnými obecně závaznými právním</w:t>
      </w:r>
      <w:r>
        <w:t xml:space="preserve">i předpisy. </w:t>
      </w:r>
    </w:p>
    <w:p w:rsidR="004B6297" w:rsidRDefault="0024556B">
      <w:pPr>
        <w:numPr>
          <w:ilvl w:val="0"/>
          <w:numId w:val="3"/>
        </w:numPr>
        <w:spacing w:after="95"/>
        <w:ind w:right="2" w:hanging="426"/>
      </w:pPr>
      <w:r>
        <w:t xml:space="preserve">Spory vyplývající z této Dohody budou řešeny smírnou cestou, a to primárně prostřednictvím jednání pověřených zástupců, a pouze v případě, že nedojde k dohodě Smluvních stran, bude rozhodovat věcně a místně příslušný soud.  </w:t>
      </w:r>
    </w:p>
    <w:p w:rsidR="004B6297" w:rsidRDefault="0024556B">
      <w:pPr>
        <w:numPr>
          <w:ilvl w:val="0"/>
          <w:numId w:val="3"/>
        </w:numPr>
        <w:spacing w:after="95"/>
        <w:ind w:right="2" w:hanging="426"/>
      </w:pPr>
      <w:r>
        <w:t>Je-li nebo stane-l</w:t>
      </w:r>
      <w:r>
        <w:t>i se jakékoliv jednotlivé ustanovení této Dohody zdánlivým, neplatným nebo neproveditelným, ostatní ustanovení tím nejsou dotčena. Smluvní strany se zavazují nahradit zdánlivé, neplatné nebo neproveditelné ustanovení Dohody právně platným ustanovením, kter</w:t>
      </w:r>
      <w:r>
        <w:t xml:space="preserve">é se co možná nejvíce blíží účelu zdánlivého, neplatného nebo neproveditelného ustanovení Dohody. </w:t>
      </w:r>
    </w:p>
    <w:p w:rsidR="004B6297" w:rsidRDefault="0024556B">
      <w:pPr>
        <w:numPr>
          <w:ilvl w:val="0"/>
          <w:numId w:val="3"/>
        </w:numPr>
        <w:spacing w:after="95"/>
        <w:ind w:right="2" w:hanging="426"/>
      </w:pPr>
      <w:r>
        <w:t xml:space="preserve">Tato Dohoda je vyhotovena v 1 elektronickém vyhotovení s elektronickými podpisy Smluvních stran. </w:t>
      </w:r>
    </w:p>
    <w:p w:rsidR="004B6297" w:rsidRDefault="0024556B">
      <w:pPr>
        <w:numPr>
          <w:ilvl w:val="0"/>
          <w:numId w:val="3"/>
        </w:numPr>
        <w:spacing w:after="95"/>
        <w:ind w:right="2" w:hanging="426"/>
      </w:pPr>
      <w:r>
        <w:t xml:space="preserve">Smluvní strany výslovně prohlašují, že si tuto Dohodu </w:t>
      </w:r>
      <w:r>
        <w:t xml:space="preserve">pozorně přečetly, že jí plně porozuměly, že tato Dohoda nebyla uzavřena v tísni ani za nápadně nevýhodných podmínek, a že obsah této Dohody představuje jejich pravou, svobodnou a vážnou vůli, na důkaz čehož připojují své podpisy. </w:t>
      </w:r>
    </w:p>
    <w:p w:rsidR="004B6297" w:rsidRDefault="0024556B">
      <w:pPr>
        <w:spacing w:after="134" w:line="259" w:lineRule="auto"/>
        <w:ind w:left="53" w:firstLine="0"/>
        <w:jc w:val="center"/>
      </w:pPr>
      <w:r>
        <w:rPr>
          <w:i/>
        </w:rPr>
        <w:t xml:space="preserve"> </w:t>
      </w:r>
    </w:p>
    <w:p w:rsidR="004B6297" w:rsidRDefault="0024556B">
      <w:pPr>
        <w:spacing w:after="134" w:line="259" w:lineRule="auto"/>
        <w:ind w:left="53" w:firstLine="0"/>
        <w:jc w:val="center"/>
      </w:pPr>
      <w:r>
        <w:t xml:space="preserve"> </w:t>
      </w:r>
    </w:p>
    <w:p w:rsidR="004B6297" w:rsidRDefault="0024556B">
      <w:pPr>
        <w:tabs>
          <w:tab w:val="center" w:pos="4248"/>
          <w:tab w:val="center" w:pos="6680"/>
        </w:tabs>
        <w:spacing w:after="132"/>
        <w:ind w:left="-15" w:firstLine="0"/>
        <w:jc w:val="left"/>
      </w:pPr>
      <w:r>
        <w:t xml:space="preserve">V Olomouci dne </w:t>
      </w:r>
      <w:r>
        <w:tab/>
        <w:t xml:space="preserve">                                                   V Pr</w:t>
      </w:r>
      <w:r>
        <w:t>ostějově dne</w:t>
      </w:r>
    </w:p>
    <w:p w:rsidR="004B6297" w:rsidRDefault="0024556B">
      <w:pPr>
        <w:spacing w:after="14" w:line="259" w:lineRule="auto"/>
        <w:ind w:left="0" w:firstLine="0"/>
        <w:jc w:val="left"/>
      </w:pPr>
      <w:r>
        <w:t xml:space="preserve"> </w:t>
      </w:r>
    </w:p>
    <w:p w:rsidR="004B6297" w:rsidRDefault="0024556B">
      <w:pPr>
        <w:spacing w:after="14" w:line="259" w:lineRule="auto"/>
        <w:ind w:left="0" w:firstLine="0"/>
        <w:jc w:val="left"/>
      </w:pPr>
      <w:r>
        <w:t xml:space="preserve"> </w:t>
      </w:r>
    </w:p>
    <w:p w:rsidR="004B6297" w:rsidRDefault="0024556B">
      <w:pPr>
        <w:tabs>
          <w:tab w:val="center" w:pos="5640"/>
        </w:tabs>
        <w:ind w:left="-15" w:firstLine="0"/>
        <w:jc w:val="left"/>
      </w:pPr>
      <w:r>
        <w:t xml:space="preserve">Za Objednatele:                                                </w:t>
      </w:r>
      <w:r>
        <w:tab/>
        <w:t xml:space="preserve">Za Dodavatele:  </w:t>
      </w:r>
    </w:p>
    <w:p w:rsidR="004B6297" w:rsidRDefault="0024556B">
      <w:pPr>
        <w:spacing w:after="14" w:line="259" w:lineRule="auto"/>
        <w:ind w:left="0" w:firstLine="0"/>
        <w:jc w:val="left"/>
      </w:pPr>
      <w:r>
        <w:t xml:space="preserve"> </w:t>
      </w:r>
    </w:p>
    <w:p w:rsidR="004B6297" w:rsidRDefault="0024556B">
      <w:pPr>
        <w:spacing w:after="2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4B6297" w:rsidRDefault="0024556B">
      <w:pPr>
        <w:spacing w:after="18" w:line="259" w:lineRule="auto"/>
        <w:ind w:left="0" w:firstLine="0"/>
        <w:jc w:val="left"/>
      </w:pPr>
      <w:r>
        <w:t xml:space="preserve"> </w:t>
      </w:r>
    </w:p>
    <w:p w:rsidR="004B6297" w:rsidRDefault="0024556B">
      <w:pPr>
        <w:tabs>
          <w:tab w:val="center" w:pos="6556"/>
        </w:tabs>
        <w:ind w:left="-15" w:firstLine="0"/>
        <w:jc w:val="left"/>
      </w:pPr>
      <w:r>
        <w:t xml:space="preserve">___________________________________ </w:t>
      </w:r>
      <w:r>
        <w:tab/>
        <w:t xml:space="preserve">             ___________________________________ </w:t>
      </w:r>
    </w:p>
    <w:p w:rsidR="004B6297" w:rsidRDefault="004B6297">
      <w:pPr>
        <w:spacing w:after="14" w:line="259" w:lineRule="auto"/>
        <w:ind w:left="0" w:firstLine="0"/>
        <w:jc w:val="left"/>
      </w:pPr>
    </w:p>
    <w:p w:rsidR="004B6297" w:rsidRDefault="0024556B">
      <w:pPr>
        <w:spacing w:after="14" w:line="259" w:lineRule="auto"/>
        <w:ind w:left="0" w:firstLine="0"/>
        <w:jc w:val="left"/>
      </w:pPr>
      <w:r>
        <w:t xml:space="preserve"> </w:t>
      </w:r>
    </w:p>
    <w:p w:rsidR="004B6297" w:rsidRDefault="0024556B">
      <w:pPr>
        <w:spacing w:after="2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B6297" w:rsidRDefault="0024556B">
      <w:pPr>
        <w:ind w:left="4966" w:right="2"/>
      </w:pPr>
      <w:r>
        <w:t>V Jihlavě dne</w:t>
      </w:r>
    </w:p>
    <w:p w:rsidR="004B6297" w:rsidRDefault="0024556B">
      <w:pPr>
        <w:spacing w:after="14" w:line="259" w:lineRule="auto"/>
        <w:ind w:left="0" w:firstLine="0"/>
        <w:jc w:val="left"/>
      </w:pPr>
      <w:r>
        <w:t xml:space="preserve"> </w:t>
      </w:r>
    </w:p>
    <w:p w:rsidR="004B6297" w:rsidRDefault="0024556B">
      <w:pPr>
        <w:spacing w:after="14" w:line="259" w:lineRule="auto"/>
        <w:ind w:left="0" w:firstLine="0"/>
        <w:jc w:val="left"/>
      </w:pPr>
      <w:r>
        <w:t xml:space="preserve"> </w:t>
      </w:r>
    </w:p>
    <w:p w:rsidR="004B6297" w:rsidRDefault="0024556B">
      <w:pPr>
        <w:spacing w:after="0" w:line="259" w:lineRule="auto"/>
        <w:ind w:left="1992"/>
        <w:jc w:val="center"/>
      </w:pPr>
      <w:r>
        <w:t xml:space="preserve">Za GORDIC: </w:t>
      </w:r>
    </w:p>
    <w:p w:rsidR="004B6297" w:rsidRDefault="0024556B">
      <w:pPr>
        <w:spacing w:after="18" w:line="259" w:lineRule="auto"/>
        <w:ind w:left="0" w:firstLine="0"/>
        <w:jc w:val="left"/>
      </w:pPr>
      <w:r>
        <w:t xml:space="preserve"> </w:t>
      </w:r>
    </w:p>
    <w:p w:rsidR="004B6297" w:rsidRDefault="0024556B">
      <w:pPr>
        <w:spacing w:after="14" w:line="259" w:lineRule="auto"/>
        <w:ind w:left="0" w:firstLine="0"/>
        <w:jc w:val="left"/>
      </w:pPr>
      <w:r>
        <w:t xml:space="preserve"> </w:t>
      </w:r>
    </w:p>
    <w:p w:rsidR="004B6297" w:rsidRDefault="0024556B">
      <w:pPr>
        <w:spacing w:after="14" w:line="259" w:lineRule="auto"/>
        <w:ind w:left="0" w:firstLine="0"/>
        <w:jc w:val="left"/>
      </w:pPr>
      <w:r>
        <w:t xml:space="preserve"> </w:t>
      </w:r>
    </w:p>
    <w:p w:rsidR="004B6297" w:rsidRDefault="0024556B">
      <w:pPr>
        <w:spacing w:after="883" w:line="280" w:lineRule="auto"/>
        <w:ind w:left="0" w:right="22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bookmarkStart w:id="0" w:name="_GoBack"/>
      <w:bookmarkEnd w:id="0"/>
      <w:r>
        <w:t xml:space="preserve"> </w:t>
      </w:r>
    </w:p>
    <w:p w:rsidR="004B6297" w:rsidRDefault="0024556B">
      <w:pPr>
        <w:spacing w:after="0" w:line="259" w:lineRule="auto"/>
        <w:ind w:left="1992" w:right="1984"/>
        <w:jc w:val="center"/>
      </w:pPr>
      <w:r>
        <w:t xml:space="preserve">3 </w:t>
      </w:r>
    </w:p>
    <w:p w:rsidR="004B6297" w:rsidRDefault="0024556B">
      <w:pPr>
        <w:spacing w:after="0" w:line="259" w:lineRule="auto"/>
        <w:ind w:left="0" w:firstLine="0"/>
        <w:jc w:val="left"/>
      </w:pPr>
      <w:r>
        <w:t xml:space="preserve"> </w:t>
      </w:r>
    </w:p>
    <w:sectPr w:rsidR="004B6297">
      <w:pgSz w:w="11904" w:h="16838"/>
      <w:pgMar w:top="707" w:right="1413" w:bottom="27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361CE"/>
    <w:multiLevelType w:val="hybridMultilevel"/>
    <w:tmpl w:val="EBC0A710"/>
    <w:lvl w:ilvl="0" w:tplc="A4CEF8DE">
      <w:start w:val="1"/>
      <w:numFmt w:val="decimal"/>
      <w:lvlText w:val="%1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B419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6015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16BD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1E49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BCF1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4E69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2090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5E2C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8E2320"/>
    <w:multiLevelType w:val="hybridMultilevel"/>
    <w:tmpl w:val="5A68ABC8"/>
    <w:lvl w:ilvl="0" w:tplc="AD900BC2">
      <w:start w:val="1"/>
      <w:numFmt w:val="decimal"/>
      <w:lvlText w:val="%1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4A31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FE7D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9AB1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F631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902C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A466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B4E8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085C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6B6AB2"/>
    <w:multiLevelType w:val="hybridMultilevel"/>
    <w:tmpl w:val="E5741B26"/>
    <w:lvl w:ilvl="0" w:tplc="071C2140">
      <w:start w:val="1"/>
      <w:numFmt w:val="decimal"/>
      <w:lvlText w:val="%1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841AD8">
      <w:start w:val="1"/>
      <w:numFmt w:val="bullet"/>
      <w:lvlText w:val="-"/>
      <w:lvlJc w:val="left"/>
      <w:pPr>
        <w:ind w:left="1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52E736">
      <w:start w:val="1"/>
      <w:numFmt w:val="bullet"/>
      <w:lvlText w:val="▪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802674">
      <w:start w:val="1"/>
      <w:numFmt w:val="bullet"/>
      <w:lvlText w:val="•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1AB7B6">
      <w:start w:val="1"/>
      <w:numFmt w:val="bullet"/>
      <w:lvlText w:val="o"/>
      <w:lvlJc w:val="left"/>
      <w:pPr>
        <w:ind w:left="3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26E84">
      <w:start w:val="1"/>
      <w:numFmt w:val="bullet"/>
      <w:lvlText w:val="▪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7E89F4">
      <w:start w:val="1"/>
      <w:numFmt w:val="bullet"/>
      <w:lvlText w:val="•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B461F0">
      <w:start w:val="1"/>
      <w:numFmt w:val="bullet"/>
      <w:lvlText w:val="o"/>
      <w:lvlJc w:val="left"/>
      <w:pPr>
        <w:ind w:left="5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D46B6E">
      <w:start w:val="1"/>
      <w:numFmt w:val="bullet"/>
      <w:lvlText w:val="▪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97"/>
    <w:rsid w:val="0024556B"/>
    <w:rsid w:val="00485183"/>
    <w:rsid w:val="004B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B267"/>
  <w15:docId w15:val="{2FB31E1C-8DF4-4E3A-8DB6-CA2B88AA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8" w:line="269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Pantělejevová Radka</dc:creator>
  <cp:keywords/>
  <cp:lastModifiedBy>Pantělejevová Radka</cp:lastModifiedBy>
  <cp:revision>2</cp:revision>
  <dcterms:created xsi:type="dcterms:W3CDTF">2024-05-31T07:42:00Z</dcterms:created>
  <dcterms:modified xsi:type="dcterms:W3CDTF">2024-05-31T07:42:00Z</dcterms:modified>
</cp:coreProperties>
</file>