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0BCC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Divadlo Archa, o.p.s. </w:t>
      </w:r>
    </w:p>
    <w:p w14:paraId="228D707F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č. p. 1047, Na Poříčí 26, Praha 1</w:t>
      </w:r>
    </w:p>
    <w:p w14:paraId="27217462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zastoupená Jindřichem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Krippnerem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ředitelem společnosti,</w:t>
      </w:r>
    </w:p>
    <w:p w14:paraId="497A8893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26 72 30 00, DIČ: CZ 26 72 30 00,</w:t>
      </w:r>
    </w:p>
    <w:p w14:paraId="7CD65959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b/>
          <w:color w:val="000000"/>
          <w:sz w:val="22"/>
          <w:szCs w:val="22"/>
        </w:rPr>
        <w:t>dále jen ARCHA+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462EA564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38F29FCE" w14:textId="77777777" w:rsidR="00FE532E" w:rsidRDefault="00FE532E" w:rsidP="00FE532E">
      <w:pPr>
        <w:shd w:val="clear" w:color="auto" w:fill="FFFFFF"/>
        <w:ind w:left="0" w:hanging="2"/>
        <w:jc w:val="both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INA s.r.o.</w:t>
      </w:r>
    </w:p>
    <w:p w14:paraId="4EE9620D" w14:textId="77777777" w:rsidR="00FE532E" w:rsidRDefault="00FE532E" w:rsidP="00FE532E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se sídlem Sobotecká 3, 101 00 Praha 10</w:t>
      </w:r>
    </w:p>
    <w:p w14:paraId="6A6359BF" w14:textId="77777777" w:rsidR="00FE532E" w:rsidRDefault="00FE532E" w:rsidP="00FE532E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zastoupená Ivo Novotným, jednatelem společnosti</w:t>
      </w:r>
    </w:p>
    <w:p w14:paraId="0076EA1A" w14:textId="77777777" w:rsidR="00FE532E" w:rsidRDefault="00FE532E" w:rsidP="00FE532E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IČO: 49686119, DIČ: CZ49686119</w:t>
      </w:r>
    </w:p>
    <w:p w14:paraId="6CFFA8A1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6F529B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dále také jako „smluvní strana“/společně jako „smluvní strany“</w:t>
      </w:r>
    </w:p>
    <w:p w14:paraId="264F29C7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028345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uzavírají podle zákona č. 89/2012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občanského zákoníku níže uvedeného dne, měsíce a roku tuto</w:t>
      </w:r>
    </w:p>
    <w:p w14:paraId="6972CEF2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47A14CB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A7CABC2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26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SMLOUVU O KRÁTKODOBÉM PODNÁJMU PROSTOR A POSKYTNUTÝCH SLUŽBÁCH</w:t>
      </w:r>
    </w:p>
    <w:p w14:paraId="6BD5D644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589CFAA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F06209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I.</w:t>
      </w:r>
    </w:p>
    <w:p w14:paraId="2AEDAC5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Předmět smlouvy </w:t>
      </w:r>
    </w:p>
    <w:p w14:paraId="7AFA555B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0A981A3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této smlouvy je úprava vzájemných práv a povinností smluvních stran souvisejících s uspořádáním</w:t>
      </w:r>
      <w:r>
        <w:rPr>
          <w:rFonts w:ascii="Arial" w:eastAsia="Arial" w:hAnsi="Arial" w:cs="Arial"/>
          <w:color w:val="191A1B"/>
          <w:szCs w:val="24"/>
        </w:rPr>
        <w:t xml:space="preserve"> slavnostního večera s udílením cen 31. ročníku </w:t>
      </w:r>
      <w:r>
        <w:rPr>
          <w:rFonts w:ascii="Arial" w:eastAsia="Arial" w:hAnsi="Arial" w:cs="Arial"/>
          <w:i/>
          <w:color w:val="191A1B"/>
          <w:szCs w:val="24"/>
        </w:rPr>
        <w:t xml:space="preserve">ADC Czech </w:t>
      </w:r>
      <w:proofErr w:type="spellStart"/>
      <w:r>
        <w:rPr>
          <w:rFonts w:ascii="Arial" w:eastAsia="Arial" w:hAnsi="Arial" w:cs="Arial"/>
          <w:i/>
          <w:color w:val="191A1B"/>
          <w:szCs w:val="24"/>
        </w:rPr>
        <w:t>Creative</w:t>
      </w:r>
      <w:proofErr w:type="spellEnd"/>
      <w:r>
        <w:rPr>
          <w:rFonts w:ascii="Arial" w:eastAsia="Arial" w:hAnsi="Arial" w:cs="Arial"/>
          <w:i/>
          <w:color w:val="191A1B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91A1B"/>
          <w:szCs w:val="24"/>
        </w:rPr>
        <w:t>Awards</w:t>
      </w:r>
      <w:proofErr w:type="spellEnd"/>
      <w:r>
        <w:rPr>
          <w:rFonts w:ascii="Arial" w:eastAsia="Arial" w:hAnsi="Arial" w:cs="Arial"/>
          <w:color w:val="191A1B"/>
          <w:szCs w:val="24"/>
        </w:rPr>
        <w:t xml:space="preserve"> (dále jen Akce)</w:t>
      </w:r>
      <w:r>
        <w:rPr>
          <w:rFonts w:ascii="Arial" w:eastAsia="Arial" w:hAnsi="Arial" w:cs="Arial"/>
          <w:sz w:val="22"/>
          <w:szCs w:val="22"/>
        </w:rPr>
        <w:t>. Akce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 uskuteční v prostoru ARCHA+ dne 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 5. 2024 od 1</w:t>
      </w:r>
      <w:r>
        <w:rPr>
          <w:rFonts w:ascii="Arial" w:eastAsia="Arial" w:hAnsi="Arial" w:cs="Arial"/>
          <w:sz w:val="22"/>
          <w:szCs w:val="22"/>
        </w:rPr>
        <w:t>8.30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ADC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 organizátorem a pořadatele</w:t>
      </w:r>
      <w:r>
        <w:rPr>
          <w:rFonts w:ascii="Arial" w:eastAsia="Arial" w:hAnsi="Arial" w:cs="Arial"/>
          <w:sz w:val="22"/>
          <w:szCs w:val="22"/>
        </w:rPr>
        <w:t xml:space="preserve">m 31. ročníku ADC Czech </w:t>
      </w:r>
      <w:proofErr w:type="spellStart"/>
      <w:r>
        <w:rPr>
          <w:rFonts w:ascii="Arial" w:eastAsia="Arial" w:hAnsi="Arial" w:cs="Arial"/>
          <w:sz w:val="22"/>
          <w:szCs w:val="22"/>
        </w:rPr>
        <w:t>Creative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Awards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pořadatelem Akce,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ARCHA+ je poskytovatelem služeb a prostor potřebných k realizaci </w:t>
      </w:r>
      <w:r>
        <w:rPr>
          <w:rFonts w:ascii="Arial" w:eastAsia="Arial" w:hAnsi="Arial" w:cs="Arial"/>
          <w:sz w:val="22"/>
          <w:szCs w:val="22"/>
        </w:rPr>
        <w:t>akce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31DF348A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AEF6261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14:paraId="2C9E11AF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Povinnosti ARCHY+</w:t>
      </w:r>
    </w:p>
    <w:p w14:paraId="4719365F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D47C583" w14:textId="77777777" w:rsidR="00FE532E" w:rsidRPr="005D5ADC" w:rsidRDefault="00FE532E" w:rsidP="00FE532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ARCHA+ </w:t>
      </w:r>
      <w:proofErr w:type="gramStart"/>
      <w:r w:rsidRPr="005D5ADC">
        <w:rPr>
          <w:rFonts w:ascii="Arial" w:eastAsia="Arial" w:hAnsi="Arial" w:cs="Arial"/>
          <w:color w:val="000000"/>
          <w:sz w:val="22"/>
          <w:szCs w:val="22"/>
        </w:rPr>
        <w:t>ze</w:t>
      </w:r>
      <w:proofErr w:type="gramEnd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zavazuje pro </w:t>
      </w:r>
      <w:r w:rsidRPr="005D5ADC">
        <w:rPr>
          <w:rFonts w:ascii="Arial" w:eastAsia="Arial" w:hAnsi="Arial" w:cs="Arial"/>
          <w:sz w:val="22"/>
          <w:szCs w:val="22"/>
        </w:rPr>
        <w:t>uskutečnění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poskytnout dne 16. 5. prostory velkého i malého sálu a jeho zázemí (včetně dodávky energií a úklidu prostor), které budou sloužit pro přípravu a realizaci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dle níže uvedeného časového harmonogramu. </w:t>
      </w:r>
    </w:p>
    <w:p w14:paraId="3570F4C1" w14:textId="77777777" w:rsidR="00FE532E" w:rsidRPr="005D5ADC" w:rsidRDefault="00FE532E" w:rsidP="00FE532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příprava </w:t>
      </w:r>
      <w:r w:rsidRPr="005D5ADC">
        <w:rPr>
          <w:rFonts w:ascii="Arial" w:eastAsia="Arial" w:hAnsi="Arial" w:cs="Arial"/>
          <w:sz w:val="22"/>
          <w:szCs w:val="22"/>
        </w:rPr>
        <w:t>6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:00 - 1</w:t>
      </w:r>
      <w:r w:rsidRPr="005D5ADC">
        <w:rPr>
          <w:rFonts w:ascii="Arial" w:eastAsia="Arial" w:hAnsi="Arial" w:cs="Arial"/>
          <w:sz w:val="22"/>
          <w:szCs w:val="22"/>
        </w:rPr>
        <w:t>6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:00 hodin</w:t>
      </w:r>
    </w:p>
    <w:p w14:paraId="496A5280" w14:textId="77777777" w:rsidR="00FE532E" w:rsidRPr="005D5ADC" w:rsidRDefault="00FE532E" w:rsidP="00FE532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zkoušky 16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:00 - 1</w:t>
      </w:r>
      <w:r w:rsidRPr="005D5ADC">
        <w:rPr>
          <w:rFonts w:ascii="Arial" w:eastAsia="Arial" w:hAnsi="Arial" w:cs="Arial"/>
          <w:sz w:val="22"/>
          <w:szCs w:val="22"/>
        </w:rPr>
        <w:t>8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:00 h</w:t>
      </w:r>
      <w:r w:rsidRPr="005D5ADC">
        <w:rPr>
          <w:rFonts w:ascii="Arial" w:eastAsia="Arial" w:hAnsi="Arial" w:cs="Arial"/>
          <w:sz w:val="22"/>
          <w:szCs w:val="22"/>
        </w:rPr>
        <w:t>o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din</w:t>
      </w:r>
    </w:p>
    <w:p w14:paraId="0EEBCFCB" w14:textId="77777777" w:rsidR="00FE532E" w:rsidRPr="005D5ADC" w:rsidRDefault="00FE532E" w:rsidP="00FE532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 w:rsidRPr="005D5ADC">
        <w:rPr>
          <w:rFonts w:ascii="Arial" w:eastAsia="Arial" w:hAnsi="Arial" w:cs="Arial"/>
          <w:sz w:val="22"/>
          <w:szCs w:val="22"/>
        </w:rPr>
        <w:t>8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.</w:t>
      </w:r>
      <w:r w:rsidRPr="005D5ADC">
        <w:rPr>
          <w:rFonts w:ascii="Arial" w:eastAsia="Arial" w:hAnsi="Arial" w:cs="Arial"/>
          <w:sz w:val="22"/>
          <w:szCs w:val="22"/>
        </w:rPr>
        <w:t>3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0 - 02.00 hodin (17. 5.) </w:t>
      </w:r>
    </w:p>
    <w:p w14:paraId="078F69AE" w14:textId="77777777" w:rsidR="00FE532E" w:rsidRPr="005D5ADC" w:rsidRDefault="00FE532E" w:rsidP="00FE532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likvidace 17. 5. 02:00 - 04:00 hodin</w:t>
      </w:r>
    </w:p>
    <w:p w14:paraId="23D5DDE7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sz w:val="22"/>
          <w:szCs w:val="22"/>
        </w:rPr>
      </w:pPr>
    </w:p>
    <w:p w14:paraId="5EAEA867" w14:textId="77777777" w:rsidR="00FE532E" w:rsidRPr="005D5ADC" w:rsidRDefault="00FE532E" w:rsidP="00FE532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ARCHA+   zajistí </w:t>
      </w:r>
      <w:r w:rsidRPr="005D5ADC">
        <w:rPr>
          <w:rFonts w:ascii="Arial" w:eastAsia="Arial" w:hAnsi="Arial" w:cs="Arial"/>
          <w:sz w:val="22"/>
          <w:szCs w:val="22"/>
        </w:rPr>
        <w:t>produkční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služby související s přípravou a realizací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D7F6E2D" w14:textId="77777777" w:rsidR="00FE532E" w:rsidRPr="005D5ADC" w:rsidRDefault="00FE532E" w:rsidP="00FE532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>ARCHA+ zajistí ozvučovací</w:t>
      </w:r>
      <w:r w:rsidRPr="005D5ADC">
        <w:rPr>
          <w:rFonts w:ascii="Arial" w:eastAsia="Arial" w:hAnsi="Arial" w:cs="Arial"/>
          <w:sz w:val="22"/>
          <w:szCs w:val="22"/>
        </w:rPr>
        <w:t xml:space="preserve"> a 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osvětlovací služby, v</w:t>
      </w:r>
      <w:r w:rsidRPr="005D5ADC">
        <w:rPr>
          <w:rFonts w:ascii="Arial" w:eastAsia="Arial" w:hAnsi="Arial" w:cs="Arial"/>
          <w:sz w:val="22"/>
          <w:szCs w:val="22"/>
        </w:rPr>
        <w:t xml:space="preserve">ideo služby a 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služby jevištní techniky.  </w:t>
      </w:r>
    </w:p>
    <w:p w14:paraId="4CB2B0BA" w14:textId="77777777" w:rsidR="00FE532E" w:rsidRPr="005D5ADC" w:rsidRDefault="00FE532E" w:rsidP="00FE532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ARCHA+ </w:t>
      </w:r>
      <w:r w:rsidRPr="005D5ADC">
        <w:rPr>
          <w:rFonts w:ascii="Arial" w:eastAsia="Arial" w:hAnsi="Arial" w:cs="Arial"/>
          <w:sz w:val="22"/>
          <w:szCs w:val="22"/>
        </w:rPr>
        <w:t>zajistí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služby produkční, uvaděčů a šatnářek, včetně požární asistenční hlídky. </w:t>
      </w:r>
    </w:p>
    <w:p w14:paraId="7E32BD7D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B9C5027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14:paraId="36BBF02A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Povinnosti </w:t>
      </w:r>
      <w:r>
        <w:rPr>
          <w:rFonts w:ascii="Arial" w:eastAsia="Arial" w:hAnsi="Arial" w:cs="Arial"/>
          <w:b/>
          <w:sz w:val="22"/>
          <w:szCs w:val="22"/>
        </w:rPr>
        <w:t>ADC</w:t>
      </w:r>
    </w:p>
    <w:p w14:paraId="62F948CF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06B06F7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zajistí vešker</w:t>
      </w:r>
      <w:r w:rsidRPr="005D5ADC">
        <w:rPr>
          <w:rFonts w:ascii="Arial" w:eastAsia="Arial" w:hAnsi="Arial" w:cs="Arial"/>
          <w:sz w:val="22"/>
          <w:szCs w:val="22"/>
        </w:rPr>
        <w:t>ou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organiza</w:t>
      </w:r>
      <w:r w:rsidRPr="005D5ADC">
        <w:rPr>
          <w:rFonts w:ascii="Arial" w:eastAsia="Arial" w:hAnsi="Arial" w:cs="Arial"/>
          <w:sz w:val="22"/>
          <w:szCs w:val="22"/>
        </w:rPr>
        <w:t>ci Akce a součinnost s ARCHOU+</w:t>
      </w:r>
    </w:p>
    <w:p w14:paraId="74F6FC6E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 dodá s dostatečným předstihem seznam všech spolupracovníků, kteří mají mít přístup do prostor ARCHA+.</w:t>
      </w:r>
    </w:p>
    <w:p w14:paraId="423F0BD6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 uhradí všechny odměny účinkujícím na základě samostatně uzavřených smluv.</w:t>
      </w:r>
    </w:p>
    <w:p w14:paraId="07B5DE99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uhradí všechny autorské odměny včetně licencí a jiných autorských poplatků v případě, že na odměnu vznikne autorům v souvislosti s uspořádáním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nárok. </w:t>
      </w:r>
      <w:r w:rsidRPr="005D5ADC">
        <w:rPr>
          <w:rFonts w:ascii="Arial" w:eastAsia="Arial" w:hAnsi="Arial" w:cs="Arial"/>
          <w:color w:val="000000"/>
          <w:sz w:val="22"/>
          <w:szCs w:val="22"/>
        </w:rPr>
        <w:lastRenderedPageBreak/>
        <w:t>V případě užití audiozáznamů či audiovizuálních záznamů je</w:t>
      </w:r>
      <w:r w:rsidRPr="005D5ADC">
        <w:rPr>
          <w:rFonts w:ascii="Arial" w:eastAsia="Arial" w:hAnsi="Arial" w:cs="Arial"/>
          <w:sz w:val="22"/>
          <w:szCs w:val="22"/>
        </w:rPr>
        <w:t xml:space="preserve"> ADC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povinen nahlásit užití záznamů kolektivním správcům OSA, </w:t>
      </w:r>
      <w:proofErr w:type="spellStart"/>
      <w:r w:rsidRPr="005D5ADC">
        <w:rPr>
          <w:rFonts w:ascii="Arial" w:eastAsia="Arial" w:hAnsi="Arial" w:cs="Arial"/>
          <w:color w:val="000000"/>
          <w:sz w:val="22"/>
          <w:szCs w:val="22"/>
        </w:rPr>
        <w:t>Dilia</w:t>
      </w:r>
      <w:proofErr w:type="spellEnd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5D5ADC">
        <w:rPr>
          <w:rFonts w:ascii="Arial" w:eastAsia="Arial" w:hAnsi="Arial" w:cs="Arial"/>
          <w:color w:val="000000"/>
          <w:sz w:val="22"/>
          <w:szCs w:val="22"/>
        </w:rPr>
        <w:t>Intergram</w:t>
      </w:r>
      <w:proofErr w:type="spellEnd"/>
      <w:r w:rsidRPr="005D5ADC">
        <w:rPr>
          <w:rFonts w:ascii="Arial" w:eastAsia="Arial" w:hAnsi="Arial" w:cs="Arial"/>
          <w:color w:val="000000"/>
          <w:sz w:val="22"/>
          <w:szCs w:val="22"/>
        </w:rPr>
        <w:t>. ARCHA+ nenese odpovědnost za případná porušení autorských a dalších práv vyplývajících z autorského zákona souvisejíc</w:t>
      </w:r>
      <w:r w:rsidRPr="005D5ADC">
        <w:rPr>
          <w:rFonts w:ascii="Arial" w:eastAsia="Arial" w:hAnsi="Arial" w:cs="Arial"/>
          <w:sz w:val="22"/>
          <w:szCs w:val="22"/>
        </w:rPr>
        <w:t>ích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s uspořádáním </w:t>
      </w:r>
      <w:proofErr w:type="spellStart"/>
      <w:r w:rsidRPr="005D5ADC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67293C7E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 xml:space="preserve">ADC odpovídá za bezpečnost svých spolupracovníků a za jejich dodržování zásad BOZP a PO. </w:t>
      </w:r>
    </w:p>
    <w:p w14:paraId="34028E5B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zajistí propagaci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dle svých možností.</w:t>
      </w:r>
    </w:p>
    <w:p w14:paraId="611C1811" w14:textId="77777777" w:rsidR="00FE532E" w:rsidRPr="005D5ADC" w:rsidRDefault="00FE532E" w:rsidP="00FE532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ADC zajistí prodej vstupenek i distribuci čestných vstupenek, výnosy ze vstupného náleží ADC.</w:t>
      </w:r>
    </w:p>
    <w:p w14:paraId="0DD42A4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67BBEB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IV.</w:t>
      </w:r>
    </w:p>
    <w:p w14:paraId="69A0E815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Finanční podmínky</w:t>
      </w:r>
    </w:p>
    <w:p w14:paraId="5CF452E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41E647B" w14:textId="77777777" w:rsidR="00FE532E" w:rsidRPr="005D5ADC" w:rsidRDefault="00FE532E" w:rsidP="00FE532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Za služby dle článku II. odstavců </w:t>
      </w:r>
      <w:proofErr w:type="gramStart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1 – </w:t>
      </w:r>
      <w:r w:rsidRPr="005D5ADC">
        <w:rPr>
          <w:rFonts w:ascii="Arial" w:eastAsia="Arial" w:hAnsi="Arial" w:cs="Arial"/>
          <w:sz w:val="22"/>
          <w:szCs w:val="22"/>
        </w:rPr>
        <w:t>4</w:t>
      </w:r>
      <w:proofErr w:type="gramEnd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uhradí </w:t>
      </w:r>
      <w:r w:rsidRPr="005D5ADC">
        <w:rPr>
          <w:rFonts w:ascii="Arial" w:eastAsia="Arial" w:hAnsi="Arial" w:cs="Arial"/>
          <w:sz w:val="22"/>
          <w:szCs w:val="22"/>
        </w:rPr>
        <w:t>ADC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ARŠE+ </w:t>
      </w:r>
      <w:r w:rsidRPr="005D5ADC">
        <w:rPr>
          <w:rFonts w:ascii="Arial" w:eastAsia="Arial" w:hAnsi="Arial" w:cs="Arial"/>
          <w:sz w:val="22"/>
          <w:szCs w:val="22"/>
        </w:rPr>
        <w:t>cenu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ve výši </w:t>
      </w:r>
      <w:r w:rsidRPr="005D5ADC">
        <w:rPr>
          <w:rFonts w:ascii="Arial" w:eastAsia="Arial" w:hAnsi="Arial" w:cs="Arial"/>
          <w:sz w:val="22"/>
          <w:szCs w:val="22"/>
        </w:rPr>
        <w:t>216 120 Kč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(slovy: </w:t>
      </w:r>
      <w:r w:rsidRPr="005D5ADC">
        <w:rPr>
          <w:rFonts w:ascii="Arial" w:eastAsia="Arial" w:hAnsi="Arial" w:cs="Arial"/>
          <w:sz w:val="22"/>
          <w:szCs w:val="22"/>
        </w:rPr>
        <w:t>dvě stě šestnáct tisíc sto dvacet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korun českých) + DPH ve výši 21%. </w:t>
      </w:r>
    </w:p>
    <w:p w14:paraId="3D018B5D" w14:textId="77777777" w:rsidR="00FE532E" w:rsidRPr="005D5ADC" w:rsidRDefault="00FE532E" w:rsidP="00FE532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 xml:space="preserve">Cena 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bud</w:t>
      </w:r>
      <w:r w:rsidRPr="005D5ADC">
        <w:rPr>
          <w:rFonts w:ascii="Arial" w:eastAsia="Arial" w:hAnsi="Arial" w:cs="Arial"/>
          <w:sz w:val="22"/>
          <w:szCs w:val="22"/>
        </w:rPr>
        <w:t>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uhrazen</w:t>
      </w:r>
      <w:r w:rsidRPr="005D5ADC">
        <w:rPr>
          <w:rFonts w:ascii="Arial" w:eastAsia="Arial" w:hAnsi="Arial" w:cs="Arial"/>
          <w:sz w:val="22"/>
          <w:szCs w:val="22"/>
        </w:rPr>
        <w:t>a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na základě faktury vystavené ARCHOU+ nejdříve den po uskutečnění Soutěže.  </w:t>
      </w:r>
    </w:p>
    <w:p w14:paraId="7F4C4FF7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DA4A720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20AC3BC9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Zvláštní ujednání</w:t>
      </w:r>
    </w:p>
    <w:p w14:paraId="0A7E5A9A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C666B7C" w14:textId="77777777" w:rsidR="00FE532E" w:rsidRPr="005D5ADC" w:rsidRDefault="00FE532E" w:rsidP="00FE532E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V případě, že se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neuskuteční z důvodu vyšší moci, nemá žádná ze smluvních stran nárok na náhradu dosud vynaložených nákladů souvisejících s plněním dle této smlouvy. </w:t>
      </w:r>
    </w:p>
    <w:p w14:paraId="70364DF5" w14:textId="77777777" w:rsidR="00FE532E" w:rsidRPr="005D5ADC" w:rsidRDefault="00FE532E" w:rsidP="00FE532E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Pokud jedna ze stran zruší realizaci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odstoupením od </w:t>
      </w:r>
      <w:proofErr w:type="gramStart"/>
      <w:r w:rsidRPr="005D5ADC">
        <w:rPr>
          <w:rFonts w:ascii="Arial" w:eastAsia="Arial" w:hAnsi="Arial" w:cs="Arial"/>
          <w:color w:val="000000"/>
          <w:sz w:val="22"/>
          <w:szCs w:val="22"/>
        </w:rPr>
        <w:t>smlouvy  z</w:t>
      </w:r>
      <w:proofErr w:type="gramEnd"/>
      <w:r w:rsidRPr="005D5ADC">
        <w:rPr>
          <w:rFonts w:ascii="Arial" w:eastAsia="Arial" w:hAnsi="Arial" w:cs="Arial"/>
          <w:color w:val="000000"/>
          <w:sz w:val="22"/>
          <w:szCs w:val="22"/>
        </w:rPr>
        <w:t> důvodů na své straně, zavazuje se odstupující strana uhradit prokazatelně vynaložené náklady druhou (neodstupující) stranou v souvislosti s přípravou</w:t>
      </w:r>
      <w:r w:rsidRPr="005D5ADC">
        <w:rPr>
          <w:rFonts w:ascii="Arial" w:eastAsia="Arial" w:hAnsi="Arial" w:cs="Arial"/>
          <w:sz w:val="22"/>
          <w:szCs w:val="22"/>
        </w:rPr>
        <w:t xml:space="preserve"> 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a částku 10 000 Kč (slovy: deset tisíc korun českých) jako náhradu za náklady spojené se zrušením </w:t>
      </w:r>
      <w:r w:rsidRPr="005D5ADC">
        <w:rPr>
          <w:rFonts w:ascii="Arial" w:eastAsia="Arial" w:hAnsi="Arial" w:cs="Arial"/>
          <w:sz w:val="22"/>
          <w:szCs w:val="22"/>
        </w:rPr>
        <w:t>Akce</w:t>
      </w:r>
      <w:r w:rsidRPr="005D5AD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E59AF01" w14:textId="77777777" w:rsidR="00FE532E" w:rsidRPr="005D5ADC" w:rsidRDefault="00FE532E" w:rsidP="00FE532E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Pokuty a prokazatelně vynaložené náklady budou uhrazeny na základě faktur vystavených příslušnou smluvní stranou. </w:t>
      </w:r>
    </w:p>
    <w:p w14:paraId="019BB513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D7E492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VI.</w:t>
      </w:r>
    </w:p>
    <w:p w14:paraId="00CA5B28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6E17CC9E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11C75B" w14:textId="77777777" w:rsidR="00FE532E" w:rsidRPr="005D5ADC" w:rsidRDefault="00FE532E" w:rsidP="00FE532E">
      <w:pPr>
        <w:pStyle w:val="Odstavecseseznamem"/>
        <w:numPr>
          <w:ilvl w:val="0"/>
          <w:numId w:val="5"/>
        </w:numPr>
        <w:ind w:leftChars="0" w:right="-226" w:firstLineChars="0"/>
        <w:jc w:val="both"/>
        <w:rPr>
          <w:rFonts w:ascii="Arial" w:eastAsia="Arial" w:hAnsi="Arial" w:cs="Arial"/>
          <w:sz w:val="22"/>
          <w:szCs w:val="22"/>
        </w:rPr>
      </w:pPr>
      <w:r w:rsidRPr="005D5ADC">
        <w:rPr>
          <w:rFonts w:ascii="Arial" w:eastAsia="Arial" w:hAnsi="Arial" w:cs="Arial"/>
          <w:sz w:val="22"/>
          <w:szCs w:val="22"/>
        </w:rPr>
        <w:t>Tato smlouva nabývá platnosti dnem podpisu oprávněnými zástupci obou smluvních stran a je uzavírána do doby vyrovnání veškerých vzájemných závazků z této smlouvy vyplývajících.</w:t>
      </w:r>
    </w:p>
    <w:p w14:paraId="1F19BA1D" w14:textId="77777777" w:rsidR="00FE532E" w:rsidRPr="005D5ADC" w:rsidRDefault="00FE532E" w:rsidP="00FE532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>Smluvní strany souhlasí s uveřejněním této smlouvy v registru smluv podle zvláštního zákona. Zákonnou povinnost (v souladu se zákonem č. 340/2015 Sb., o zvláštních podmínkách účinnosti některých smluv, uveřejňování těchto smluv a o registru smluv v platném znění/ zákon o registru smluv) se zavazuje splnit</w:t>
      </w:r>
      <w:r w:rsidRPr="005D5ADC">
        <w:rPr>
          <w:rFonts w:ascii="Arial" w:eastAsia="Arial" w:hAnsi="Arial" w:cs="Arial"/>
          <w:sz w:val="22"/>
          <w:szCs w:val="22"/>
        </w:rPr>
        <w:t xml:space="preserve"> ARCHA+.</w:t>
      </w:r>
    </w:p>
    <w:p w14:paraId="3905AC06" w14:textId="77777777" w:rsidR="00FE532E" w:rsidRPr="005D5ADC" w:rsidRDefault="00FE532E" w:rsidP="00FE532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>Zástupci obou smluvních stran prohlašují, že jsou oprávněni tuto smlouvu uzavřít.</w:t>
      </w:r>
    </w:p>
    <w:p w14:paraId="29A53294" w14:textId="77777777" w:rsidR="00FE532E" w:rsidRPr="005D5ADC" w:rsidRDefault="00FE532E" w:rsidP="00FE532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>Jakékoliv změny této smlouvy se mohou řešit pouze formou písemných a číslovaných dodatků uzavřených po dohodě obou smluvních stran.</w:t>
      </w:r>
    </w:p>
    <w:p w14:paraId="41922DC9" w14:textId="77777777" w:rsidR="00FE532E" w:rsidRPr="005D5ADC" w:rsidRDefault="00FE532E" w:rsidP="00FE532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26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Tato smlouva je vyhotovena ve dvou stejnopisech, z nichž každá z obou smluvních stran </w:t>
      </w:r>
      <w:proofErr w:type="gramStart"/>
      <w:r w:rsidRPr="005D5ADC"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gramEnd"/>
      <w:r w:rsidRPr="005D5ADC">
        <w:rPr>
          <w:rFonts w:ascii="Arial" w:eastAsia="Arial" w:hAnsi="Arial" w:cs="Arial"/>
          <w:color w:val="000000"/>
          <w:sz w:val="22"/>
          <w:szCs w:val="22"/>
        </w:rPr>
        <w:t xml:space="preserve"> po jednom. </w:t>
      </w:r>
    </w:p>
    <w:p w14:paraId="1FF33F94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DAD626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Praze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dne:  </w:t>
      </w:r>
      <w:r>
        <w:rPr>
          <w:rFonts w:ascii="Arial" w:eastAsia="Arial" w:hAnsi="Arial" w:cs="Arial"/>
          <w:sz w:val="22"/>
          <w:szCs w:val="22"/>
        </w:rPr>
        <w:t>15.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5. 2024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V Praze dne: </w:t>
      </w:r>
    </w:p>
    <w:p w14:paraId="53565149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79436C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1C6146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CC8882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....................................................</w:t>
      </w:r>
    </w:p>
    <w:p w14:paraId="049DA10C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Divadlo Archa, o. p. s.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</w:t>
      </w:r>
      <w:r>
        <w:rPr>
          <w:rFonts w:ascii="Arial" w:eastAsia="Arial" w:hAnsi="Arial" w:cs="Arial"/>
          <w:b/>
          <w:sz w:val="22"/>
          <w:szCs w:val="22"/>
        </w:rPr>
        <w:t>ADC</w:t>
      </w:r>
    </w:p>
    <w:p w14:paraId="2E37F738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13D91D" w14:textId="77777777" w:rsidR="00FE532E" w:rsidRDefault="00FE532E" w:rsidP="00FE5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6DF6EB" w14:textId="77777777" w:rsidR="00E379EC" w:rsidRDefault="00E379EC">
      <w:pPr>
        <w:ind w:left="0" w:hanging="2"/>
      </w:pPr>
    </w:p>
    <w:sectPr w:rsidR="00E3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manEES">
    <w:altName w:val="Calibri"/>
    <w:charset w:val="00"/>
    <w:family w:val="auto"/>
    <w:pitch w:val="default"/>
  </w:font>
  <w:font w:name="Inte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10DE"/>
    <w:multiLevelType w:val="hybridMultilevel"/>
    <w:tmpl w:val="90A0C6B4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72D33A4"/>
    <w:multiLevelType w:val="hybridMultilevel"/>
    <w:tmpl w:val="8AB60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FA0"/>
    <w:multiLevelType w:val="hybridMultilevel"/>
    <w:tmpl w:val="28FCBE56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EAF7A3A"/>
    <w:multiLevelType w:val="hybridMultilevel"/>
    <w:tmpl w:val="9A762612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36A73B9"/>
    <w:multiLevelType w:val="hybridMultilevel"/>
    <w:tmpl w:val="C80E3842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218708096">
    <w:abstractNumId w:val="1"/>
  </w:num>
  <w:num w:numId="2" w16cid:durableId="886180758">
    <w:abstractNumId w:val="0"/>
  </w:num>
  <w:num w:numId="3" w16cid:durableId="702171128">
    <w:abstractNumId w:val="4"/>
  </w:num>
  <w:num w:numId="4" w16cid:durableId="1749418411">
    <w:abstractNumId w:val="3"/>
  </w:num>
  <w:num w:numId="5" w16cid:durableId="4510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2E"/>
    <w:rsid w:val="00950233"/>
    <w:rsid w:val="00E379EC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85A"/>
  <w15:chartTrackingRefBased/>
  <w15:docId w15:val="{B46B79F2-CA58-4A4F-99B9-06F086A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32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RomanEES" w:eastAsia="Inter" w:hAnsi="RomanEES" w:cs="Inter"/>
      <w:kern w:val="0"/>
      <w:position w:val="-1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32E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3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3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3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3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3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3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5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3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FE53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3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3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Kareisová</dc:creator>
  <cp:keywords/>
  <dc:description/>
  <cp:lastModifiedBy>Radka Kareisová</cp:lastModifiedBy>
  <cp:revision>1</cp:revision>
  <dcterms:created xsi:type="dcterms:W3CDTF">2024-05-31T15:39:00Z</dcterms:created>
  <dcterms:modified xsi:type="dcterms:W3CDTF">2024-05-31T15:40:00Z</dcterms:modified>
</cp:coreProperties>
</file>