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347C" w14:textId="77777777" w:rsidR="005D3254" w:rsidRPr="00F1746C" w:rsidRDefault="00766DEA" w:rsidP="002841F4">
      <w:pPr>
        <w:jc w:val="both"/>
        <w:rPr>
          <w:b/>
        </w:rPr>
      </w:pPr>
      <w:r w:rsidRPr="00F1746C">
        <w:rPr>
          <w:b/>
        </w:rPr>
        <w:t xml:space="preserve">Úvod </w:t>
      </w:r>
    </w:p>
    <w:p w14:paraId="21857295" w14:textId="77777777" w:rsidR="00766DEA" w:rsidRDefault="00766DEA" w:rsidP="002841F4">
      <w:pPr>
        <w:jc w:val="both"/>
      </w:pPr>
      <w:r>
        <w:t>Součástí projektu NAP SG, ZL 5 je řízení decentralizovaných zařízení v nouzovém stavu. Jedná se o</w:t>
      </w:r>
      <w:r w:rsidR="00F1746C">
        <w:t> </w:t>
      </w:r>
      <w:r>
        <w:t>případ, kdy jsou již vyčerpány veškeré tržní možnosti regulace činného výkonu, a bez dalšího zásahu se může situace dále zhoršovat až k působení frekvenčního odlehčování, v extrémním případě až ke vzniku blackoutu. Řízení decentralizovaných zařízení má pomoci této situaci předcházet a přispět tak k obnovení výkonové rovnováhy.</w:t>
      </w:r>
    </w:p>
    <w:p w14:paraId="17898996" w14:textId="77777777" w:rsidR="00766DEA" w:rsidRDefault="00766DEA" w:rsidP="002841F4">
      <w:pPr>
        <w:jc w:val="both"/>
      </w:pPr>
      <w:r>
        <w:t xml:space="preserve">V rámci dosavadních jednání pracovní skupiny panuje shoda na výběru zařízení zapojených do tohoto systému, dalšími navazujícími kroky jsou potom návrh algoritmu výběru konkrétních zařízení, která budou v daný okamžik aktivována, a návrh algoritmu vypořádání kompenzací. Zpracovávaná studie má být podkladem pro oba tyto dílčí kroky </w:t>
      </w:r>
    </w:p>
    <w:p w14:paraId="126FEF99" w14:textId="77777777" w:rsidR="00766DEA" w:rsidRPr="00F1746C" w:rsidRDefault="00766DEA" w:rsidP="002841F4">
      <w:pPr>
        <w:jc w:val="both"/>
        <w:rPr>
          <w:b/>
        </w:rPr>
      </w:pPr>
      <w:r w:rsidRPr="00F1746C">
        <w:rPr>
          <w:b/>
        </w:rPr>
        <w:t>Zadání studie</w:t>
      </w:r>
    </w:p>
    <w:p w14:paraId="6B478B95" w14:textId="77777777" w:rsidR="00766DEA" w:rsidRDefault="00766DEA" w:rsidP="002841F4">
      <w:pPr>
        <w:jc w:val="both"/>
      </w:pPr>
      <w:r>
        <w:t>Studie bude zpracovávat následující body:</w:t>
      </w:r>
    </w:p>
    <w:p w14:paraId="32C2CC84" w14:textId="77ABA805" w:rsidR="00766DEA" w:rsidRDefault="00766DEA" w:rsidP="002841F4">
      <w:pPr>
        <w:jc w:val="both"/>
      </w:pPr>
      <w:r>
        <w:t xml:space="preserve">1) Stanovení typových nákladů jednotlivých skupin zařízení. Jmenovitě půjde o zařízení: </w:t>
      </w:r>
      <w:r w:rsidR="00D86107">
        <w:t>fotovoltaické elektrárny (od 100 kW instalovaného příkonu), větrné elektrárny (od 100 kW instalovaného příkonu), nabíjecí stanice pro elektromobily (od 22 kW instalovaného příkonu),</w:t>
      </w:r>
      <w:r w:rsidR="00C862D3">
        <w:t xml:space="preserve"> </w:t>
      </w:r>
      <w:r w:rsidR="00C862D3" w:rsidRPr="00877806">
        <w:t>parní a paroplynové elektrárny, bioplyn, kogenerační jednotky,</w:t>
      </w:r>
      <w:r w:rsidR="00D86107">
        <w:t xml:space="preserve"> elektrolyzéry (power to gas, od 100 kW instalovaného příkonu)</w:t>
      </w:r>
      <w:r w:rsidR="00E85465">
        <w:t>, zařízení pro akumulaci elektrické energie (bateriová úložiště, od 100</w:t>
      </w:r>
      <w:r w:rsidR="00AB0EC2">
        <w:t> </w:t>
      </w:r>
      <w:r w:rsidR="00E85465">
        <w:t>kW)</w:t>
      </w:r>
      <w:r w:rsidR="00D86107">
        <w:t>. Typové náklady se budou odvíjet zejména od ustanovení článku 13 Nařízení Evropského parlamentu a Rady (EU) 2019/934.</w:t>
      </w:r>
      <w:r w:rsidR="00E85465">
        <w:t xml:space="preserve"> Stanovení nákladů může být provedeno i metodicky, kdy bude navržen postup jejich určení za specifikace nutných parametrů.</w:t>
      </w:r>
      <w:r w:rsidR="00AC6DE4">
        <w:t xml:space="preserve"> </w:t>
      </w:r>
      <w:r w:rsidR="00E71619">
        <w:t>Typové náklady obsáhnou náklady na snížení a zvýšení dodávaného činného výkonu, najetí (zapnutí) a odstavení (vypnutí) zařízení.</w:t>
      </w:r>
    </w:p>
    <w:p w14:paraId="762CA151" w14:textId="7CB664E2" w:rsidR="00D86107" w:rsidRDefault="00D86107" w:rsidP="002841F4">
      <w:pPr>
        <w:jc w:val="both"/>
      </w:pPr>
      <w:r>
        <w:t xml:space="preserve">2) Diskuse postupu aktivace jednotlivých opatření (prioritizace opatření), která je navržena </w:t>
      </w:r>
      <w:r w:rsidR="00E85465">
        <w:t>podle následující tabulky. Studie přednese zdůvodnění prioritizace jednotlivých opatření</w:t>
      </w:r>
      <w:r w:rsidR="009872DB">
        <w:t xml:space="preserve"> vč. možné </w:t>
      </w:r>
      <w:r w:rsidR="001259CB">
        <w:t>změny priorit tam, kde je to vhodné</w:t>
      </w:r>
      <w:r w:rsidR="00E85465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6107" w14:paraId="26633B42" w14:textId="77777777" w:rsidTr="00D86107">
        <w:tc>
          <w:tcPr>
            <w:tcW w:w="4531" w:type="dxa"/>
          </w:tcPr>
          <w:p w14:paraId="29359790" w14:textId="01C4D55F" w:rsidR="00D86107" w:rsidRDefault="00D86107" w:rsidP="002841F4">
            <w:pPr>
              <w:jc w:val="both"/>
            </w:pPr>
            <w:r>
              <w:t xml:space="preserve">Při </w:t>
            </w:r>
            <w:r w:rsidR="00B1015C">
              <w:t>přebytku výkonu</w:t>
            </w:r>
            <w:r>
              <w:t xml:space="preserve"> (nadvýrobě)</w:t>
            </w:r>
          </w:p>
        </w:tc>
        <w:tc>
          <w:tcPr>
            <w:tcW w:w="4531" w:type="dxa"/>
          </w:tcPr>
          <w:p w14:paraId="080441F6" w14:textId="773A4A9E" w:rsidR="00D86107" w:rsidRDefault="00D86107" w:rsidP="002841F4">
            <w:pPr>
              <w:jc w:val="both"/>
            </w:pPr>
            <w:r>
              <w:t xml:space="preserve">Při </w:t>
            </w:r>
            <w:r w:rsidR="00B1015C">
              <w:t xml:space="preserve">nedostatku výkonu </w:t>
            </w:r>
            <w:r>
              <w:t>(podvýrobě)</w:t>
            </w:r>
          </w:p>
        </w:tc>
      </w:tr>
      <w:tr w:rsidR="00D86107" w14:paraId="75CF3110" w14:textId="77777777" w:rsidTr="00D86107">
        <w:tc>
          <w:tcPr>
            <w:tcW w:w="4531" w:type="dxa"/>
          </w:tcPr>
          <w:p w14:paraId="47E511FE" w14:textId="77777777" w:rsidR="00E31B80" w:rsidRPr="00D86107" w:rsidRDefault="00106F7C" w:rsidP="002841F4">
            <w:pPr>
              <w:pStyle w:val="Odstavecseseznamem"/>
              <w:numPr>
                <w:ilvl w:val="0"/>
                <w:numId w:val="1"/>
              </w:numPr>
              <w:ind w:left="447" w:hanging="447"/>
              <w:jc w:val="both"/>
            </w:pPr>
            <w:r w:rsidRPr="00D86107">
              <w:t>Zákaz dodávky z akumulace</w:t>
            </w:r>
          </w:p>
          <w:p w14:paraId="39F00DE6" w14:textId="77777777" w:rsidR="00E31B80" w:rsidRPr="00D86107" w:rsidRDefault="00106F7C" w:rsidP="002841F4">
            <w:pPr>
              <w:pStyle w:val="Odstavecseseznamem"/>
              <w:numPr>
                <w:ilvl w:val="0"/>
                <w:numId w:val="1"/>
              </w:numPr>
              <w:ind w:left="447" w:hanging="447"/>
              <w:jc w:val="both"/>
            </w:pPr>
            <w:r w:rsidRPr="00D86107">
              <w:t>Aktivace nebo navýšení nabíjení akumulace – vč. možného V2G (resp. G2V) v elektronabíječkách</w:t>
            </w:r>
          </w:p>
          <w:p w14:paraId="4951F51D" w14:textId="77777777" w:rsidR="00E31B80" w:rsidRPr="00D86107" w:rsidRDefault="00106F7C" w:rsidP="002841F4">
            <w:pPr>
              <w:pStyle w:val="Odstavecseseznamem"/>
              <w:numPr>
                <w:ilvl w:val="0"/>
                <w:numId w:val="1"/>
              </w:numPr>
              <w:ind w:left="447" w:hanging="447"/>
              <w:jc w:val="both"/>
            </w:pPr>
            <w:r w:rsidRPr="00D86107">
              <w:t>Zvýšení spotřeby – produktivní (elektrolyzéry)</w:t>
            </w:r>
          </w:p>
          <w:p w14:paraId="68353B17" w14:textId="77777777" w:rsidR="00E31B80" w:rsidRPr="00D86107" w:rsidRDefault="00106F7C" w:rsidP="002841F4">
            <w:pPr>
              <w:pStyle w:val="Odstavecseseznamem"/>
              <w:numPr>
                <w:ilvl w:val="0"/>
                <w:numId w:val="1"/>
              </w:numPr>
              <w:ind w:left="447" w:hanging="447"/>
              <w:jc w:val="both"/>
            </w:pPr>
            <w:r w:rsidRPr="00D86107">
              <w:t>Snížení výroby ne-OZE</w:t>
            </w:r>
          </w:p>
          <w:p w14:paraId="5D28CE3A" w14:textId="77777777" w:rsidR="00E31B80" w:rsidRPr="00D86107" w:rsidRDefault="00106F7C" w:rsidP="002841F4">
            <w:pPr>
              <w:pStyle w:val="Odstavecseseznamem"/>
              <w:numPr>
                <w:ilvl w:val="0"/>
                <w:numId w:val="1"/>
              </w:numPr>
              <w:ind w:left="447" w:hanging="447"/>
              <w:jc w:val="both"/>
            </w:pPr>
            <w:r w:rsidRPr="00D86107">
              <w:t>Snížení výroby OZE</w:t>
            </w:r>
          </w:p>
          <w:p w14:paraId="017C5DFE" w14:textId="77777777" w:rsidR="00D86107" w:rsidRDefault="00106F7C" w:rsidP="002841F4">
            <w:pPr>
              <w:pStyle w:val="Odstavecseseznamem"/>
              <w:numPr>
                <w:ilvl w:val="0"/>
                <w:numId w:val="1"/>
              </w:numPr>
              <w:ind w:left="447" w:hanging="447"/>
              <w:jc w:val="both"/>
            </w:pPr>
            <w:r w:rsidRPr="00D86107">
              <w:t>Zvýšení neproduktivní spotřeby? (může být v zařízeních DSR)</w:t>
            </w:r>
          </w:p>
        </w:tc>
        <w:tc>
          <w:tcPr>
            <w:tcW w:w="4531" w:type="dxa"/>
          </w:tcPr>
          <w:p w14:paraId="1B2E815D" w14:textId="77777777" w:rsidR="00E31B80" w:rsidRPr="00D86107" w:rsidRDefault="00106F7C" w:rsidP="002841F4">
            <w:pPr>
              <w:pStyle w:val="Odstavecseseznamem"/>
              <w:numPr>
                <w:ilvl w:val="0"/>
                <w:numId w:val="3"/>
              </w:numPr>
              <w:ind w:left="454" w:hanging="454"/>
              <w:jc w:val="both"/>
            </w:pPr>
            <w:r w:rsidRPr="00D86107">
              <w:t>Zvýšení „levné“ výroby (s ohledem na zdroj paliva)</w:t>
            </w:r>
          </w:p>
          <w:p w14:paraId="62258714" w14:textId="0815F320" w:rsidR="00E31B80" w:rsidRPr="00D86107" w:rsidRDefault="00106F7C" w:rsidP="002841F4">
            <w:pPr>
              <w:pStyle w:val="Odstavecseseznamem"/>
              <w:numPr>
                <w:ilvl w:val="0"/>
                <w:numId w:val="3"/>
              </w:numPr>
              <w:ind w:left="454" w:hanging="454"/>
              <w:jc w:val="both"/>
            </w:pPr>
            <w:r w:rsidRPr="00D86107">
              <w:t>Zákaz nabíjení</w:t>
            </w:r>
            <w:r w:rsidR="001B516D">
              <w:t xml:space="preserve"> </w:t>
            </w:r>
            <w:r w:rsidR="001B516D" w:rsidRPr="00D86107">
              <w:t>– vč. možného V2G v elektronabíječkách</w:t>
            </w:r>
          </w:p>
          <w:p w14:paraId="54BBFBBE" w14:textId="77777777" w:rsidR="00E31B80" w:rsidRPr="00D86107" w:rsidRDefault="00106F7C" w:rsidP="002841F4">
            <w:pPr>
              <w:pStyle w:val="Odstavecseseznamem"/>
              <w:numPr>
                <w:ilvl w:val="0"/>
                <w:numId w:val="3"/>
              </w:numPr>
              <w:ind w:left="454" w:hanging="454"/>
              <w:jc w:val="both"/>
            </w:pPr>
            <w:r w:rsidRPr="00D86107">
              <w:t xml:space="preserve">Snížení neproduktivní spotřeby </w:t>
            </w:r>
          </w:p>
          <w:p w14:paraId="4AB598B7" w14:textId="77777777" w:rsidR="00E31B80" w:rsidRPr="00D86107" w:rsidRDefault="00106F7C" w:rsidP="002841F4">
            <w:pPr>
              <w:pStyle w:val="Odstavecseseznamem"/>
              <w:numPr>
                <w:ilvl w:val="0"/>
                <w:numId w:val="3"/>
              </w:numPr>
              <w:ind w:left="454" w:hanging="454"/>
              <w:jc w:val="both"/>
            </w:pPr>
            <w:r w:rsidRPr="00D86107">
              <w:t>Zvýšení zbylé výroby</w:t>
            </w:r>
          </w:p>
          <w:p w14:paraId="33B08584" w14:textId="77777777" w:rsidR="00E31B80" w:rsidRPr="00D86107" w:rsidRDefault="00106F7C" w:rsidP="002841F4">
            <w:pPr>
              <w:pStyle w:val="Odstavecseseznamem"/>
              <w:numPr>
                <w:ilvl w:val="0"/>
                <w:numId w:val="3"/>
              </w:numPr>
              <w:ind w:left="454" w:hanging="454"/>
              <w:jc w:val="both"/>
            </w:pPr>
            <w:r w:rsidRPr="00D86107">
              <w:t xml:space="preserve">Aktivace nebo navýšení dodávky akumulace </w:t>
            </w:r>
          </w:p>
          <w:p w14:paraId="15FED50C" w14:textId="77777777" w:rsidR="00E31B80" w:rsidRPr="00D86107" w:rsidRDefault="00106F7C" w:rsidP="002841F4">
            <w:pPr>
              <w:pStyle w:val="Odstavecseseznamem"/>
              <w:numPr>
                <w:ilvl w:val="0"/>
                <w:numId w:val="3"/>
              </w:numPr>
              <w:ind w:left="454" w:hanging="454"/>
              <w:jc w:val="both"/>
            </w:pPr>
            <w:r w:rsidRPr="00D86107">
              <w:t>Snížení produktivní spotřeby</w:t>
            </w:r>
          </w:p>
          <w:p w14:paraId="6C3FFAC2" w14:textId="77777777" w:rsidR="00E31B80" w:rsidRPr="00D86107" w:rsidRDefault="00106F7C" w:rsidP="002841F4">
            <w:pPr>
              <w:pStyle w:val="Odstavecseseznamem"/>
              <w:numPr>
                <w:ilvl w:val="0"/>
                <w:numId w:val="3"/>
              </w:numPr>
              <w:ind w:left="454" w:hanging="454"/>
              <w:jc w:val="both"/>
            </w:pPr>
            <w:r w:rsidRPr="00D86107">
              <w:t>Reg</w:t>
            </w:r>
            <w:r w:rsidR="00D86107">
              <w:t>ulační plán</w:t>
            </w:r>
          </w:p>
          <w:p w14:paraId="6D83D6AA" w14:textId="77777777" w:rsidR="00D86107" w:rsidRDefault="00D86107" w:rsidP="002841F4">
            <w:pPr>
              <w:pStyle w:val="Odstavecseseznamem"/>
              <w:numPr>
                <w:ilvl w:val="0"/>
                <w:numId w:val="3"/>
              </w:numPr>
              <w:ind w:left="454" w:hanging="454"/>
              <w:jc w:val="both"/>
            </w:pPr>
            <w:r>
              <w:t>Vypínací plán</w:t>
            </w:r>
          </w:p>
        </w:tc>
      </w:tr>
    </w:tbl>
    <w:p w14:paraId="289A3604" w14:textId="77777777" w:rsidR="00E85465" w:rsidRDefault="00E85465" w:rsidP="002841F4">
      <w:pPr>
        <w:jc w:val="both"/>
      </w:pPr>
    </w:p>
    <w:p w14:paraId="0E0A4812" w14:textId="67781BAD" w:rsidR="00E71619" w:rsidRDefault="00E71619" w:rsidP="002841F4">
      <w:pPr>
        <w:jc w:val="both"/>
      </w:pPr>
      <w:r>
        <w:t>3) Typové náklady obsáhnou náklady na snížení a zvýšení dodávaného činného výkonu, najetí (zapnutí) a odstavení (vypnutí) zařízení.</w:t>
      </w:r>
    </w:p>
    <w:p w14:paraId="3F16ED07" w14:textId="7DBEDCD3" w:rsidR="00E85465" w:rsidRDefault="00B4666B" w:rsidP="002841F4">
      <w:pPr>
        <w:jc w:val="both"/>
      </w:pPr>
      <w:r>
        <w:t>4</w:t>
      </w:r>
      <w:r w:rsidR="00E85465">
        <w:t xml:space="preserve">) Demonstrace zjištění dle předchozích bodů na modelovém případu regulační oblasti. </w:t>
      </w:r>
      <w:r w:rsidR="00C84D71">
        <w:t>Bude připraven jednoduchý model regulační oblasti, na kterém budou demonstrována uvedená zjištění, resp. formulovaná doporučení.</w:t>
      </w:r>
      <w:r w:rsidR="00AB0EC2">
        <w:t xml:space="preserve"> Model bude uvažován jako bilanční.</w:t>
      </w:r>
    </w:p>
    <w:p w14:paraId="1E2A8430" w14:textId="55C9D8BA" w:rsidR="00021AB3" w:rsidRDefault="00021AB3" w:rsidP="002841F4">
      <w:pPr>
        <w:jc w:val="both"/>
      </w:pPr>
    </w:p>
    <w:sectPr w:rsidR="00021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9B00C" w14:textId="77777777" w:rsidR="004D2CE8" w:rsidRDefault="004D2CE8" w:rsidP="00E71619">
      <w:pPr>
        <w:spacing w:after="0" w:line="240" w:lineRule="auto"/>
      </w:pPr>
      <w:r>
        <w:separator/>
      </w:r>
    </w:p>
  </w:endnote>
  <w:endnote w:type="continuationSeparator" w:id="0">
    <w:p w14:paraId="4E098049" w14:textId="77777777" w:rsidR="004D2CE8" w:rsidRDefault="004D2CE8" w:rsidP="00E7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j-l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673D5" w14:textId="77777777" w:rsidR="004D2CE8" w:rsidRDefault="004D2CE8" w:rsidP="00E71619">
      <w:pPr>
        <w:spacing w:after="0" w:line="240" w:lineRule="auto"/>
      </w:pPr>
      <w:r>
        <w:separator/>
      </w:r>
    </w:p>
  </w:footnote>
  <w:footnote w:type="continuationSeparator" w:id="0">
    <w:p w14:paraId="328CFA0E" w14:textId="77777777" w:rsidR="004D2CE8" w:rsidRDefault="004D2CE8" w:rsidP="00E71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26F75"/>
    <w:multiLevelType w:val="hybridMultilevel"/>
    <w:tmpl w:val="F7BC9280"/>
    <w:lvl w:ilvl="0" w:tplc="5DF2ABA2">
      <w:start w:val="1"/>
      <w:numFmt w:val="bullet"/>
      <w:pStyle w:val="Bullet1"/>
      <w:lvlText w:val=""/>
      <w:lvlJc w:val="left"/>
      <w:pPr>
        <w:tabs>
          <w:tab w:val="num" w:pos="425"/>
        </w:tabs>
        <w:ind w:left="425" w:hanging="397"/>
      </w:pPr>
      <w:rPr>
        <w:rFonts w:ascii="Symbol" w:hAnsi="Symbol" w:hint="default"/>
        <w:sz w:val="22"/>
        <w:szCs w:val="22"/>
      </w:rPr>
    </w:lvl>
    <w:lvl w:ilvl="1" w:tplc="310ACF9E">
      <w:start w:val="1"/>
      <w:numFmt w:val="bullet"/>
      <w:pStyle w:val="Bulet2vtabulce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27AEC102">
      <w:start w:val="1"/>
      <w:numFmt w:val="bullet"/>
      <w:pStyle w:val="Bullet3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43D7755"/>
    <w:multiLevelType w:val="hybridMultilevel"/>
    <w:tmpl w:val="9356BF36"/>
    <w:lvl w:ilvl="0" w:tplc="29A89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+mj-lt" w:hAnsi="+mj-lt" w:hint="default"/>
      </w:rPr>
    </w:lvl>
    <w:lvl w:ilvl="1" w:tplc="423C6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j-lt" w:hAnsi="+mj-lt" w:hint="default"/>
      </w:rPr>
    </w:lvl>
    <w:lvl w:ilvl="2" w:tplc="05EEB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j-lt" w:hAnsi="+mj-lt" w:hint="default"/>
      </w:rPr>
    </w:lvl>
    <w:lvl w:ilvl="3" w:tplc="3F307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j-lt" w:hAnsi="+mj-lt" w:hint="default"/>
      </w:rPr>
    </w:lvl>
    <w:lvl w:ilvl="4" w:tplc="C5A6F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j-lt" w:hAnsi="+mj-lt" w:hint="default"/>
      </w:rPr>
    </w:lvl>
    <w:lvl w:ilvl="5" w:tplc="E4D2F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j-lt" w:hAnsi="+mj-lt" w:hint="default"/>
      </w:rPr>
    </w:lvl>
    <w:lvl w:ilvl="6" w:tplc="888E4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j-lt" w:hAnsi="+mj-lt" w:hint="default"/>
      </w:rPr>
    </w:lvl>
    <w:lvl w:ilvl="7" w:tplc="4B788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j-lt" w:hAnsi="+mj-lt" w:hint="default"/>
      </w:rPr>
    </w:lvl>
    <w:lvl w:ilvl="8" w:tplc="04F47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j-lt" w:hAnsi="+mj-lt" w:hint="default"/>
      </w:rPr>
    </w:lvl>
  </w:abstractNum>
  <w:abstractNum w:abstractNumId="2" w15:restartNumberingAfterBreak="0">
    <w:nsid w:val="67515E87"/>
    <w:multiLevelType w:val="hybridMultilevel"/>
    <w:tmpl w:val="AABA5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8355F"/>
    <w:multiLevelType w:val="hybridMultilevel"/>
    <w:tmpl w:val="887C6102"/>
    <w:lvl w:ilvl="0" w:tplc="296E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+mj-lt" w:hAnsi="+mj-lt" w:hint="default"/>
      </w:rPr>
    </w:lvl>
    <w:lvl w:ilvl="1" w:tplc="33B87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j-lt" w:hAnsi="+mj-lt" w:hint="default"/>
      </w:rPr>
    </w:lvl>
    <w:lvl w:ilvl="2" w:tplc="BE622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j-lt" w:hAnsi="+mj-lt" w:hint="default"/>
      </w:rPr>
    </w:lvl>
    <w:lvl w:ilvl="3" w:tplc="6F848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j-lt" w:hAnsi="+mj-lt" w:hint="default"/>
      </w:rPr>
    </w:lvl>
    <w:lvl w:ilvl="4" w:tplc="EE4ED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j-lt" w:hAnsi="+mj-lt" w:hint="default"/>
      </w:rPr>
    </w:lvl>
    <w:lvl w:ilvl="5" w:tplc="E37A6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j-lt" w:hAnsi="+mj-lt" w:hint="default"/>
      </w:rPr>
    </w:lvl>
    <w:lvl w:ilvl="6" w:tplc="6C6CD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j-lt" w:hAnsi="+mj-lt" w:hint="default"/>
      </w:rPr>
    </w:lvl>
    <w:lvl w:ilvl="7" w:tplc="78140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j-lt" w:hAnsi="+mj-lt" w:hint="default"/>
      </w:rPr>
    </w:lvl>
    <w:lvl w:ilvl="8" w:tplc="013E1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j-lt" w:hAnsi="+mj-lt" w:hint="default"/>
      </w:rPr>
    </w:lvl>
  </w:abstractNum>
  <w:abstractNum w:abstractNumId="4" w15:restartNumberingAfterBreak="0">
    <w:nsid w:val="7F0E7F72"/>
    <w:multiLevelType w:val="hybridMultilevel"/>
    <w:tmpl w:val="AABA5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570262">
    <w:abstractNumId w:val="2"/>
  </w:num>
  <w:num w:numId="2" w16cid:durableId="1472475859">
    <w:abstractNumId w:val="3"/>
  </w:num>
  <w:num w:numId="3" w16cid:durableId="2062942982">
    <w:abstractNumId w:val="4"/>
  </w:num>
  <w:num w:numId="4" w16cid:durableId="392965755">
    <w:abstractNumId w:val="1"/>
  </w:num>
  <w:num w:numId="5" w16cid:durableId="112342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DEA"/>
    <w:rsid w:val="00021AB3"/>
    <w:rsid w:val="00023B7D"/>
    <w:rsid w:val="00106F7C"/>
    <w:rsid w:val="001259CB"/>
    <w:rsid w:val="0018006A"/>
    <w:rsid w:val="00187682"/>
    <w:rsid w:val="001A32EE"/>
    <w:rsid w:val="001B516D"/>
    <w:rsid w:val="001C0A81"/>
    <w:rsid w:val="001C3370"/>
    <w:rsid w:val="001C3D23"/>
    <w:rsid w:val="001C71C7"/>
    <w:rsid w:val="002827CB"/>
    <w:rsid w:val="002841F4"/>
    <w:rsid w:val="003C21B0"/>
    <w:rsid w:val="004116F8"/>
    <w:rsid w:val="00461051"/>
    <w:rsid w:val="004904DC"/>
    <w:rsid w:val="00491CC1"/>
    <w:rsid w:val="004A17AE"/>
    <w:rsid w:val="004D2CE8"/>
    <w:rsid w:val="005D3254"/>
    <w:rsid w:val="00631999"/>
    <w:rsid w:val="00692F48"/>
    <w:rsid w:val="00766DEA"/>
    <w:rsid w:val="00877806"/>
    <w:rsid w:val="00950516"/>
    <w:rsid w:val="009872DB"/>
    <w:rsid w:val="00AA0627"/>
    <w:rsid w:val="00AB0EC2"/>
    <w:rsid w:val="00AC38E9"/>
    <w:rsid w:val="00AC6DE4"/>
    <w:rsid w:val="00AF7338"/>
    <w:rsid w:val="00B1015C"/>
    <w:rsid w:val="00B4666B"/>
    <w:rsid w:val="00B67284"/>
    <w:rsid w:val="00BA3D7B"/>
    <w:rsid w:val="00C233EC"/>
    <w:rsid w:val="00C73182"/>
    <w:rsid w:val="00C84D71"/>
    <w:rsid w:val="00C862D3"/>
    <w:rsid w:val="00CC099F"/>
    <w:rsid w:val="00D26E69"/>
    <w:rsid w:val="00D86107"/>
    <w:rsid w:val="00D938EF"/>
    <w:rsid w:val="00DB3CE2"/>
    <w:rsid w:val="00DC4C00"/>
    <w:rsid w:val="00E31B80"/>
    <w:rsid w:val="00E51528"/>
    <w:rsid w:val="00E71619"/>
    <w:rsid w:val="00E85465"/>
    <w:rsid w:val="00E95306"/>
    <w:rsid w:val="00F1746C"/>
    <w:rsid w:val="00F57021"/>
    <w:rsid w:val="00F97135"/>
    <w:rsid w:val="00FC031A"/>
    <w:rsid w:val="00FC2A37"/>
    <w:rsid w:val="00FD741A"/>
    <w:rsid w:val="00F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29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6DEA"/>
    <w:pPr>
      <w:ind w:left="720"/>
      <w:contextualSpacing/>
    </w:pPr>
  </w:style>
  <w:style w:type="table" w:styleId="Mkatabulky">
    <w:name w:val="Table Grid"/>
    <w:basedOn w:val="Normlntabulka"/>
    <w:uiPriority w:val="39"/>
    <w:rsid w:val="00D8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0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EC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C38E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23B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3B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3B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3B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3B7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71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1619"/>
  </w:style>
  <w:style w:type="paragraph" w:styleId="Zpat">
    <w:name w:val="footer"/>
    <w:basedOn w:val="Normln"/>
    <w:link w:val="ZpatChar"/>
    <w:uiPriority w:val="99"/>
    <w:unhideWhenUsed/>
    <w:rsid w:val="00E71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619"/>
  </w:style>
  <w:style w:type="paragraph" w:customStyle="1" w:styleId="Bullet1">
    <w:name w:val="Bullet 1"/>
    <w:basedOn w:val="Normln"/>
    <w:qFormat/>
    <w:rsid w:val="00021AB3"/>
    <w:pPr>
      <w:numPr>
        <w:numId w:val="5"/>
      </w:numPr>
      <w:spacing w:before="120" w:after="120" w:line="240" w:lineRule="auto"/>
      <w:jc w:val="both"/>
    </w:pPr>
    <w:rPr>
      <w:rFonts w:ascii="Calibri" w:eastAsia="Times New Roman" w:hAnsi="Calibri" w:cs="Calibri"/>
      <w:lang w:eastAsia="cs-CZ"/>
    </w:rPr>
  </w:style>
  <w:style w:type="paragraph" w:customStyle="1" w:styleId="Bulet2vtabulce">
    <w:name w:val="Bulet2 vtabulce"/>
    <w:basedOn w:val="Bullet1"/>
    <w:qFormat/>
    <w:rsid w:val="00021AB3"/>
    <w:pPr>
      <w:numPr>
        <w:ilvl w:val="1"/>
      </w:numPr>
      <w:spacing w:before="0" w:after="0" w:line="276" w:lineRule="auto"/>
    </w:pPr>
    <w:rPr>
      <w:sz w:val="20"/>
      <w:szCs w:val="20"/>
      <w:lang w:eastAsia="en-US"/>
    </w:rPr>
  </w:style>
  <w:style w:type="paragraph" w:customStyle="1" w:styleId="Bullet3">
    <w:name w:val="Bullet3"/>
    <w:basedOn w:val="Bulet2vtabulce"/>
    <w:link w:val="Bullet3Char"/>
    <w:qFormat/>
    <w:rsid w:val="00021AB3"/>
    <w:pPr>
      <w:numPr>
        <w:ilvl w:val="2"/>
      </w:numPr>
    </w:pPr>
  </w:style>
  <w:style w:type="character" w:customStyle="1" w:styleId="Bullet3Char">
    <w:name w:val="Bullet3 Char"/>
    <w:basedOn w:val="Standardnpsmoodstavce"/>
    <w:link w:val="Bullet3"/>
    <w:rsid w:val="00021AB3"/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4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4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2024-05-31T06:38:00Z</dcterms:created>
  <dcterms:modified xsi:type="dcterms:W3CDTF">2024-05-31T06:38:00Z</dcterms:modified>
</cp:coreProperties>
</file>