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8144E" w14:textId="6245176D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B403DE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B403DE">
        <w:rPr>
          <w:rFonts w:eastAsia="Arial Unicode MS" w:cs="Arial Unicode MS"/>
          <w:b/>
          <w:sz w:val="26"/>
          <w:szCs w:val="26"/>
          <w:lang w:val="cs-CZ"/>
        </w:rPr>
        <w:t>240112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12598489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403DE">
        <w:rPr>
          <w:rFonts w:asciiTheme="minorHAnsi" w:eastAsia="Arial Unicode MS" w:hAnsiTheme="minorHAnsi" w:cstheme="minorHAnsi"/>
          <w:sz w:val="20"/>
          <w:szCs w:val="20"/>
          <w:lang w:val="cs-CZ"/>
        </w:rPr>
        <w:t>QueChoa s.r.o.</w:t>
      </w:r>
    </w:p>
    <w:p w14:paraId="1388DD67" w14:textId="651A559B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403DE">
        <w:rPr>
          <w:rFonts w:asciiTheme="minorHAnsi" w:eastAsia="Arial Unicode MS" w:hAnsiTheme="minorHAnsi" w:cstheme="minorHAnsi"/>
          <w:sz w:val="20"/>
          <w:szCs w:val="20"/>
          <w:lang w:val="cs-CZ"/>
        </w:rPr>
        <w:t>Plzeňská 79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B403DE">
        <w:rPr>
          <w:rFonts w:asciiTheme="minorHAnsi" w:eastAsia="Arial Unicode MS" w:hAnsiTheme="minorHAnsi" w:cstheme="minorHAnsi"/>
          <w:sz w:val="20"/>
          <w:szCs w:val="20"/>
          <w:lang w:val="cs-CZ"/>
        </w:rPr>
        <w:t>Líně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B403DE">
        <w:rPr>
          <w:rFonts w:asciiTheme="minorHAnsi" w:eastAsia="Arial Unicode MS" w:hAnsiTheme="minorHAnsi" w:cstheme="minorHAnsi"/>
          <w:sz w:val="20"/>
          <w:szCs w:val="20"/>
          <w:lang w:val="cs-CZ"/>
        </w:rPr>
        <w:t>330 21</w:t>
      </w:r>
    </w:p>
    <w:p w14:paraId="04A26767" w14:textId="40716053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815539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815539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815539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</w:p>
    <w:p w14:paraId="6565899F" w14:textId="5545EA0A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403DE">
        <w:rPr>
          <w:rFonts w:asciiTheme="minorHAnsi" w:eastAsia="Arial Unicode MS" w:hAnsiTheme="minorHAnsi" w:cstheme="minorHAnsi"/>
          <w:sz w:val="20"/>
          <w:szCs w:val="20"/>
          <w:lang w:val="cs-CZ"/>
        </w:rPr>
        <w:t>05789800</w:t>
      </w:r>
    </w:p>
    <w:p w14:paraId="035D833D" w14:textId="69BB6606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403DE">
        <w:rPr>
          <w:rFonts w:asciiTheme="minorHAnsi" w:eastAsia="Arial Unicode MS" w:hAnsiTheme="minorHAnsi" w:cstheme="minorHAnsi"/>
          <w:sz w:val="20"/>
          <w:szCs w:val="20"/>
          <w:lang w:val="cs-CZ"/>
        </w:rPr>
        <w:t>CZ05789800</w:t>
      </w:r>
    </w:p>
    <w:p w14:paraId="71A4559F" w14:textId="115BF927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970E9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48759857" w14:textId="48222394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970E9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6B13DB71" w14:textId="417AC96B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15539">
        <w:rPr>
          <w:rFonts w:asciiTheme="minorHAnsi" w:eastAsia="Arial Unicode MS" w:hAnsiTheme="minorHAnsi" w:cstheme="minorHAnsi"/>
          <w:sz w:val="20"/>
          <w:szCs w:val="20"/>
          <w:lang w:val="cs-CZ"/>
        </w:rPr>
        <w:t>Khac Chien Nguyen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, jednatel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1D79E8B" w14:textId="77777777" w:rsidR="00815539" w:rsidRPr="005C4A09" w:rsidRDefault="00815539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463DABE" w14:textId="77777777" w:rsidR="00815539" w:rsidRDefault="00815539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Rozsah poskytovaných služeb:</w:t>
      </w:r>
    </w:p>
    <w:bookmarkEnd w:id="0"/>
    <w:p w14:paraId="397D62C5" w14:textId="3CB790E5" w:rsidR="00A06B74" w:rsidRPr="005C4A09" w:rsidRDefault="00F970E9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</w:p>
    <w:p w14:paraId="1A42E9D3" w14:textId="77777777" w:rsidR="00D7734D" w:rsidRPr="005C4A09" w:rsidRDefault="00775030" w:rsidP="0081553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81553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81553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815539">
      <w:pPr>
        <w:tabs>
          <w:tab w:val="right" w:pos="-1843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815539">
      <w:pPr>
        <w:pStyle w:val="Odstavecseseznamem"/>
        <w:tabs>
          <w:tab w:val="right" w:pos="10199"/>
        </w:tabs>
        <w:ind w:left="0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7777777" w:rsidR="0049028D" w:rsidRPr="005C4A09" w:rsidRDefault="0049028D" w:rsidP="00815539">
      <w:pPr>
        <w:pStyle w:val="Odstavecseseznamem"/>
        <w:tabs>
          <w:tab w:val="right" w:pos="10199"/>
        </w:tabs>
        <w:ind w:left="0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81553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815539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815539">
      <w:pPr>
        <w:tabs>
          <w:tab w:val="decimal" w:pos="5040"/>
          <w:tab w:val="decimal" w:pos="5184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815539">
      <w:pPr>
        <w:tabs>
          <w:tab w:val="right" w:pos="10161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 w:rsidP="00815539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207F6E47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B403DE" w:rsidRPr="00815539">
        <w:rPr>
          <w:rFonts w:asciiTheme="minorHAnsi" w:eastAsia="Arial Unicode MS" w:hAnsiTheme="minorHAnsi" w:cstheme="minorHAnsi"/>
          <w:b/>
          <w:bCs/>
          <w:color w:val="000000"/>
          <w:spacing w:val="-6"/>
          <w:sz w:val="20"/>
          <w:szCs w:val="20"/>
          <w:lang w:val="cs-CZ"/>
        </w:rPr>
        <w:t>01.06.2024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6568FFA6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F970E9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31.05.2024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0354BB13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>a základě plné moci</w:t>
            </w:r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r w:rsidR="00F970E9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304DAFD" w14:textId="0513ACB1" w:rsidR="002F7F47" w:rsidRDefault="00B403DE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QueChoa s.r.o.</w:t>
            </w:r>
          </w:p>
        </w:tc>
      </w:tr>
    </w:tbl>
    <w:p w14:paraId="03752893" w14:textId="77777777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0787760">
    <w:abstractNumId w:val="4"/>
  </w:num>
  <w:num w:numId="2" w16cid:durableId="1380980257">
    <w:abstractNumId w:val="31"/>
  </w:num>
  <w:num w:numId="3" w16cid:durableId="1036780864">
    <w:abstractNumId w:val="3"/>
  </w:num>
  <w:num w:numId="4" w16cid:durableId="1291207652">
    <w:abstractNumId w:val="11"/>
  </w:num>
  <w:num w:numId="5" w16cid:durableId="1502234932">
    <w:abstractNumId w:val="18"/>
  </w:num>
  <w:num w:numId="6" w16cid:durableId="50344892">
    <w:abstractNumId w:val="25"/>
  </w:num>
  <w:num w:numId="7" w16cid:durableId="1344042636">
    <w:abstractNumId w:val="35"/>
  </w:num>
  <w:num w:numId="8" w16cid:durableId="2000648127">
    <w:abstractNumId w:val="36"/>
  </w:num>
  <w:num w:numId="9" w16cid:durableId="783574804">
    <w:abstractNumId w:val="6"/>
  </w:num>
  <w:num w:numId="10" w16cid:durableId="1863544082">
    <w:abstractNumId w:val="29"/>
  </w:num>
  <w:num w:numId="11" w16cid:durableId="1226841602">
    <w:abstractNumId w:val="12"/>
  </w:num>
  <w:num w:numId="12" w16cid:durableId="640765194">
    <w:abstractNumId w:val="30"/>
  </w:num>
  <w:num w:numId="13" w16cid:durableId="1715764038">
    <w:abstractNumId w:val="23"/>
  </w:num>
  <w:num w:numId="14" w16cid:durableId="2010210123">
    <w:abstractNumId w:val="22"/>
  </w:num>
  <w:num w:numId="15" w16cid:durableId="461731736">
    <w:abstractNumId w:val="32"/>
  </w:num>
  <w:num w:numId="16" w16cid:durableId="1381827693">
    <w:abstractNumId w:val="13"/>
  </w:num>
  <w:num w:numId="17" w16cid:durableId="280303882">
    <w:abstractNumId w:val="37"/>
  </w:num>
  <w:num w:numId="18" w16cid:durableId="1806773559">
    <w:abstractNumId w:val="24"/>
  </w:num>
  <w:num w:numId="19" w16cid:durableId="614484143">
    <w:abstractNumId w:val="0"/>
  </w:num>
  <w:num w:numId="20" w16cid:durableId="1829243538">
    <w:abstractNumId w:val="7"/>
  </w:num>
  <w:num w:numId="21" w16cid:durableId="257297678">
    <w:abstractNumId w:val="10"/>
  </w:num>
  <w:num w:numId="22" w16cid:durableId="1407340932">
    <w:abstractNumId w:val="28"/>
  </w:num>
  <w:num w:numId="23" w16cid:durableId="875198204">
    <w:abstractNumId w:val="8"/>
  </w:num>
  <w:num w:numId="24" w16cid:durableId="737753988">
    <w:abstractNumId w:val="5"/>
  </w:num>
  <w:num w:numId="25" w16cid:durableId="1755585915">
    <w:abstractNumId w:val="20"/>
  </w:num>
  <w:num w:numId="26" w16cid:durableId="1976451576">
    <w:abstractNumId w:val="16"/>
  </w:num>
  <w:num w:numId="27" w16cid:durableId="1873221854">
    <w:abstractNumId w:val="19"/>
  </w:num>
  <w:num w:numId="28" w16cid:durableId="1591811708">
    <w:abstractNumId w:val="9"/>
  </w:num>
  <w:num w:numId="29" w16cid:durableId="1967810623">
    <w:abstractNumId w:val="15"/>
  </w:num>
  <w:num w:numId="30" w16cid:durableId="1215896481">
    <w:abstractNumId w:val="34"/>
  </w:num>
  <w:num w:numId="31" w16cid:durableId="2099670095">
    <w:abstractNumId w:val="33"/>
  </w:num>
  <w:num w:numId="32" w16cid:durableId="1016079519">
    <w:abstractNumId w:val="21"/>
  </w:num>
  <w:num w:numId="33" w16cid:durableId="1290668341">
    <w:abstractNumId w:val="39"/>
  </w:num>
  <w:num w:numId="34" w16cid:durableId="1525173833">
    <w:abstractNumId w:val="14"/>
  </w:num>
  <w:num w:numId="35" w16cid:durableId="306856363">
    <w:abstractNumId w:val="17"/>
  </w:num>
  <w:num w:numId="36" w16cid:durableId="1059012069">
    <w:abstractNumId w:val="38"/>
  </w:num>
  <w:num w:numId="37" w16cid:durableId="1735590111">
    <w:abstractNumId w:val="2"/>
  </w:num>
  <w:num w:numId="38" w16cid:durableId="918104301">
    <w:abstractNumId w:val="1"/>
  </w:num>
  <w:num w:numId="39" w16cid:durableId="1651448114">
    <w:abstractNumId w:val="26"/>
  </w:num>
  <w:num w:numId="40" w16cid:durableId="1139815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67C82"/>
    <w:rsid w:val="00572CF8"/>
    <w:rsid w:val="00577E77"/>
    <w:rsid w:val="0059653E"/>
    <w:rsid w:val="005A4CD9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72928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7D3AD5"/>
    <w:rsid w:val="008137D5"/>
    <w:rsid w:val="00814605"/>
    <w:rsid w:val="00815539"/>
    <w:rsid w:val="0083359E"/>
    <w:rsid w:val="00841E9A"/>
    <w:rsid w:val="008616DC"/>
    <w:rsid w:val="00862063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AF4177"/>
    <w:rsid w:val="00B403DE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970E9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5</cp:revision>
  <cp:lastPrinted>2024-05-15T11:28:00Z</cp:lastPrinted>
  <dcterms:created xsi:type="dcterms:W3CDTF">2024-05-15T11:14:00Z</dcterms:created>
  <dcterms:modified xsi:type="dcterms:W3CDTF">2024-05-31T10:03:00Z</dcterms:modified>
</cp:coreProperties>
</file>