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220"/>
        <w:gridCol w:w="662"/>
        <w:gridCol w:w="155"/>
        <w:gridCol w:w="295"/>
        <w:gridCol w:w="410"/>
        <w:gridCol w:w="153"/>
        <w:gridCol w:w="308"/>
        <w:gridCol w:w="126"/>
        <w:gridCol w:w="1247"/>
        <w:gridCol w:w="630"/>
        <w:gridCol w:w="210"/>
        <w:gridCol w:w="463"/>
        <w:gridCol w:w="401"/>
        <w:gridCol w:w="200"/>
        <w:gridCol w:w="214"/>
        <w:gridCol w:w="481"/>
        <w:gridCol w:w="114"/>
        <w:gridCol w:w="611"/>
        <w:gridCol w:w="202"/>
        <w:gridCol w:w="501"/>
        <w:gridCol w:w="717"/>
        <w:gridCol w:w="275"/>
        <w:gridCol w:w="1267"/>
      </w:tblGrid>
      <w:tr w:rsidR="00415451" w:rsidRPr="00D746EC" w14:paraId="5A396C61" w14:textId="7385CD26" w:rsidTr="00FE075A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05F93">
        <w:trPr>
          <w:trHeight w:val="340"/>
        </w:trPr>
        <w:tc>
          <w:tcPr>
            <w:tcW w:w="101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05AB9DDD" w:rsidR="00895977" w:rsidRPr="00C22FC9" w:rsidRDefault="005C7890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>ZABEZPEČENÍ PODJEZDNÝCH VÝŠEK NA VLTAVSKÉ VODNÍ CESTĚ</w:t>
            </w:r>
            <w:r w:rsidR="00895977" w:rsidRPr="00C22FC9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6ED5241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42BF566C" w14:textId="77777777" w:rsidTr="00805F93">
        <w:trPr>
          <w:trHeight w:val="340"/>
        </w:trPr>
        <w:tc>
          <w:tcPr>
            <w:tcW w:w="1015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056EFF1A" w:rsidR="00895977" w:rsidRPr="00C22FC9" w:rsidRDefault="00C22FC9" w:rsidP="00C22FC9">
            <w:pPr>
              <w:ind w:right="207"/>
              <w:rPr>
                <w:rFonts w:ascii="Arial" w:hAnsi="Arial" w:cs="Arial"/>
                <w:b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 xml:space="preserve">I. ETAPA: </w:t>
            </w:r>
            <w:r w:rsidR="00895977" w:rsidRPr="00C22FC9">
              <w:rPr>
                <w:rFonts w:ascii="Arial" w:hAnsi="Arial" w:cs="Arial"/>
                <w:b/>
                <w:sz w:val="16"/>
                <w:szCs w:val="16"/>
              </w:rPr>
              <w:t>VRAŇANSKO – HOŘÍNSKÝ KANÁL – SPRÁVCE STAVBY</w:t>
            </w: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1AE88950" w14:textId="77777777" w:rsidTr="00805F93">
        <w:trPr>
          <w:trHeight w:val="454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7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6973E73F" w:rsidR="00895977" w:rsidRDefault="00C22FC9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>500 551 0004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152040A8" w:rsidR="00895977" w:rsidRPr="00E16A32" w:rsidRDefault="00C22FC9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26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1C7220">
        <w:trPr>
          <w:trHeight w:val="454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70BDBF2C" w:rsidR="00C17B9F" w:rsidRPr="00895977" w:rsidRDefault="00E426CB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E426CB">
              <w:rPr>
                <w:rFonts w:ascii="Arial" w:hAnsi="Arial"/>
                <w:sz w:val="18"/>
                <w:szCs w:val="18"/>
              </w:rPr>
              <w:t>S/ŘVC/048/R/</w:t>
            </w:r>
            <w:proofErr w:type="spellStart"/>
            <w:r w:rsidRPr="00E426CB">
              <w:rPr>
                <w:rFonts w:ascii="Arial" w:hAnsi="Arial"/>
                <w:sz w:val="18"/>
                <w:szCs w:val="18"/>
              </w:rPr>
              <w:t>PřS</w:t>
            </w:r>
            <w:proofErr w:type="spellEnd"/>
            <w:r w:rsidRPr="00E426CB">
              <w:rPr>
                <w:rFonts w:ascii="Arial" w:hAnsi="Arial"/>
                <w:sz w:val="18"/>
                <w:szCs w:val="18"/>
              </w:rPr>
              <w:t>/2018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při realizaci Projektu uzavřené dne </w:t>
            </w:r>
            <w:r w:rsidR="007B5096">
              <w:rPr>
                <w:rFonts w:ascii="Arial" w:hAnsi="Arial"/>
                <w:sz w:val="18"/>
                <w:szCs w:val="18"/>
              </w:rPr>
              <w:t>26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</w:t>
            </w:r>
            <w:r w:rsidR="007B5096">
              <w:rPr>
                <w:rFonts w:ascii="Arial" w:hAnsi="Arial"/>
                <w:sz w:val="18"/>
                <w:szCs w:val="18"/>
              </w:rPr>
              <w:t>10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.20</w:t>
            </w:r>
            <w:r w:rsidR="007B5096">
              <w:rPr>
                <w:rFonts w:ascii="Arial" w:hAnsi="Arial"/>
                <w:sz w:val="18"/>
                <w:szCs w:val="18"/>
              </w:rPr>
              <w:t>18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636CBB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636CBB">
        <w:trPr>
          <w:trHeight w:val="340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1F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společnost TÝM/INFRAM – Správce stavby – </w:t>
            </w:r>
            <w:proofErr w:type="spellStart"/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Vraňansko</w:t>
            </w:r>
            <w:proofErr w:type="spellEnd"/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Hořínský</w:t>
            </w:r>
            <w:proofErr w:type="spellEnd"/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kanál</w:t>
            </w:r>
          </w:p>
          <w:p w14:paraId="5532E276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  <w:p w14:paraId="1C26BF42" w14:textId="1864CB84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Tým dopravního inženýrství s.r.o. – (správce společnosti)</w:t>
            </w:r>
          </w:p>
          <w:p w14:paraId="1583FA28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se sídlem: Praha 10 – Vršovice, Moskevská 532/60, PSČ 101 00</w:t>
            </w:r>
          </w:p>
          <w:p w14:paraId="03208655" w14:textId="7337F379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zastoupená: </w:t>
            </w:r>
            <w:proofErr w:type="spellStart"/>
            <w:r w:rsidR="00C06F79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proofErr w:type="spellEnd"/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jednatelem</w:t>
            </w:r>
          </w:p>
          <w:p w14:paraId="11CE2E64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IČ: 248 31 832</w:t>
            </w:r>
          </w:p>
          <w:p w14:paraId="2DD67F0F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CZ24831832</w:t>
            </w:r>
          </w:p>
          <w:p w14:paraId="18D52CEE" w14:textId="4B233F04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Bankovní spojení: </w:t>
            </w:r>
            <w:proofErr w:type="spellStart"/>
            <w:r w:rsidR="00C06F79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proofErr w:type="spellEnd"/>
          </w:p>
          <w:p w14:paraId="45296F11" w14:textId="55D41201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Číslo účtu: </w:t>
            </w:r>
            <w:proofErr w:type="spellStart"/>
            <w:r w:rsidR="00C06F79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proofErr w:type="spellEnd"/>
          </w:p>
          <w:p w14:paraId="6196B963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zapsaná v obchodním rejstříku vedeném Městským soudem v Praze, oddíl C, vložka 178437</w:t>
            </w:r>
          </w:p>
          <w:p w14:paraId="011FD679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  <w:p w14:paraId="3D7389D8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a</w:t>
            </w:r>
          </w:p>
          <w:p w14:paraId="147BEB8E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INFRAM a.s. – (společník)</w:t>
            </w:r>
          </w:p>
          <w:p w14:paraId="71085B7C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se sídlem: Pelušková 1407, 198 00 Praha 9 – Kyje</w:t>
            </w:r>
          </w:p>
          <w:p w14:paraId="68AA8706" w14:textId="04C4DDA8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zastoupený: </w:t>
            </w:r>
            <w:proofErr w:type="spellStart"/>
            <w:r w:rsidR="00C06F79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proofErr w:type="spellEnd"/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výkonnou ředitelkou a prokuristou</w:t>
            </w:r>
          </w:p>
          <w:p w14:paraId="710AEF6E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IČ: 250 70 282</w:t>
            </w:r>
          </w:p>
          <w:p w14:paraId="4B9051A3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CZ25070282</w:t>
            </w:r>
          </w:p>
          <w:p w14:paraId="06793BF2" w14:textId="7A98ABA9" w:rsidR="00895977" w:rsidRPr="00E16A32" w:rsidRDefault="00E16A32" w:rsidP="00E16A32">
            <w:pPr>
              <w:contextualSpacing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36CBB">
              <w:rPr>
                <w:rFonts w:ascii="Arial" w:hAnsi="Arial"/>
                <w:sz w:val="18"/>
                <w:szCs w:val="18"/>
              </w:rPr>
              <w:t>Zapsaná v obchodním rejstříku vedeným u Městského soudu v Praze, oddíl B, vložka 4235</w:t>
            </w:r>
          </w:p>
        </w:tc>
      </w:tr>
      <w:tr w:rsidR="00F75B82" w:rsidRPr="00D746EC" w14:paraId="0657DBA4" w14:textId="77777777" w:rsidTr="00636CBB">
        <w:trPr>
          <w:trHeight w:val="283"/>
        </w:trPr>
        <w:tc>
          <w:tcPr>
            <w:tcW w:w="2849" w:type="pct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2CCC4F73" w:rsidR="008C24B5" w:rsidRPr="00D746EC" w:rsidRDefault="00471B23" w:rsidP="00A07FD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</w:t>
            </w:r>
            <w:proofErr w:type="spellEnd"/>
            <w:r w:rsidRPr="00094EBA">
              <w:rPr>
                <w:rFonts w:ascii="Arial" w:hAnsi="Arial"/>
                <w:sz w:val="16"/>
                <w:szCs w:val="16"/>
                <w:u w:val="single"/>
              </w:rPr>
              <w:t xml:space="preserve"> č.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805F93">
        <w:trPr>
          <w:trHeight w:val="454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2D211775" w:rsidR="008969FF" w:rsidRPr="008969FF" w:rsidRDefault="00471B23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Návrh Dodatku č.1 ke Smlouvě o poskytování služeb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7AC505B7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(v elektronické verzi </w:t>
            </w:r>
            <w:proofErr w:type="gramStart"/>
            <w:r w:rsidRPr="00D746EC">
              <w:rPr>
                <w:rFonts w:ascii="Arial" w:hAnsi="Arial"/>
                <w:sz w:val="16"/>
                <w:szCs w:val="16"/>
              </w:rPr>
              <w:t>Intranet</w:t>
            </w:r>
            <w:proofErr w:type="gramEnd"/>
            <w:r w:rsidRPr="00D746EC">
              <w:rPr>
                <w:rFonts w:ascii="Arial" w:hAnsi="Arial"/>
                <w:sz w:val="16"/>
                <w:szCs w:val="16"/>
              </w:rPr>
              <w:t xml:space="preserve">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</w:tr>
      <w:tr w:rsidR="008969FF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0C4D1838" w:rsidR="008969FF" w:rsidRPr="008969FF" w:rsidRDefault="001B250A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5993C3F5" w:rsidR="008969FF" w:rsidRPr="008969FF" w:rsidRDefault="001B250A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Předání pravomocí pro podpis smlouvy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8969FF" w:rsidRPr="00D746EC" w:rsidRDefault="008969FF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8969F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30E39D8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F782B70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85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3B9E3EF6" w:rsidR="008969FF" w:rsidRPr="00D746EC" w:rsidRDefault="008969FF" w:rsidP="008969FF">
            <w:pPr>
              <w:rPr>
                <w:rFonts w:ascii="Arial" w:hAnsi="Arial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 xml:space="preserve">Rozšíření </w:t>
            </w:r>
            <w:r w:rsidR="00545621">
              <w:rPr>
                <w:rFonts w:ascii="Arial" w:hAnsi="Arial"/>
                <w:sz w:val="18"/>
                <w:szCs w:val="18"/>
              </w:rPr>
              <w:t>služeb</w:t>
            </w:r>
            <w:r w:rsidRPr="007152AD">
              <w:rPr>
                <w:rFonts w:ascii="Arial" w:hAnsi="Arial"/>
                <w:sz w:val="18"/>
                <w:szCs w:val="18"/>
              </w:rPr>
              <w:t xml:space="preserve"> </w:t>
            </w:r>
            <w:r w:rsidR="00412D3A">
              <w:rPr>
                <w:rFonts w:ascii="Arial" w:hAnsi="Arial"/>
                <w:sz w:val="18"/>
                <w:szCs w:val="18"/>
              </w:rPr>
              <w:t>Konzultanta (</w:t>
            </w:r>
            <w:r w:rsidRPr="007152AD">
              <w:rPr>
                <w:rFonts w:ascii="Arial" w:hAnsi="Arial"/>
                <w:sz w:val="18"/>
                <w:szCs w:val="18"/>
              </w:rPr>
              <w:t>Správce stavby</w:t>
            </w:r>
            <w:r w:rsidR="00412D3A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8969FF" w:rsidRPr="00D746EC" w14:paraId="525A5FB7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4B4CCAD8" w:rsidR="008969FF" w:rsidRPr="00A5331F" w:rsidRDefault="00471B23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969FF" w:rsidRPr="00D746EC" w14:paraId="1D45C6D1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BD7DAC">
        <w:trPr>
          <w:trHeight w:val="1491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252A2C98" w:rsidR="00BE0E19" w:rsidRPr="00BD7DAC" w:rsidRDefault="00BD7DAC" w:rsidP="00BE0E19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 dokončení stavebních částí vyvstaly komplikace s předáváním hotových částí díla do majetku ostatních dotčených subjektů, kdy z důvodu vytíženosti vlastních zaměstnanců ŘVC ČR nebylo efektivní nadále řešit majetkoprávní vztahy vlastními silami. 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Vzhledem k obtížnosti předání majetku a majetkoprávního vypořádání nadlimitní veřejné zakázky „Zvýšení podjezdných výšek na Vltavské vodní cestě“ </w:t>
            </w:r>
            <w:r>
              <w:rPr>
                <w:rFonts w:ascii="Arial" w:hAnsi="Arial" w:cs="Arial"/>
                <w:sz w:val="16"/>
                <w:szCs w:val="16"/>
              </w:rPr>
              <w:t xml:space="preserve">je tak 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zapotřebí rozšířit služeb 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K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onzultanta 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spojené s předáváním majetku a majetkoprávním vypořádáním. Tyto služby nebyly v původní smlouvě (</w:t>
            </w:r>
            <w:r w:rsidR="00E426CB" w:rsidRPr="00E426CB">
              <w:rPr>
                <w:rFonts w:ascii="Arial" w:hAnsi="Arial" w:cs="Arial"/>
                <w:sz w:val="16"/>
                <w:szCs w:val="16"/>
              </w:rPr>
              <w:t>S/ŘVC/048/R/</w:t>
            </w:r>
            <w:proofErr w:type="spellStart"/>
            <w:r w:rsidR="00E426CB" w:rsidRPr="00E426CB">
              <w:rPr>
                <w:rFonts w:ascii="Arial" w:hAnsi="Arial" w:cs="Arial"/>
                <w:sz w:val="16"/>
                <w:szCs w:val="16"/>
              </w:rPr>
              <w:t>PřS</w:t>
            </w:r>
            <w:proofErr w:type="spellEnd"/>
            <w:r w:rsidR="00E426CB" w:rsidRPr="00E426CB">
              <w:rPr>
                <w:rFonts w:ascii="Arial" w:hAnsi="Arial" w:cs="Arial"/>
                <w:sz w:val="16"/>
                <w:szCs w:val="16"/>
              </w:rPr>
              <w:t>/2018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) uvažovány jako součást plnění Konzultanta</w:t>
            </w:r>
            <w:r w:rsidR="00EE7096" w:rsidRPr="00BD7DAC">
              <w:rPr>
                <w:rFonts w:ascii="Arial" w:hAnsi="Arial" w:cs="Arial"/>
                <w:sz w:val="16"/>
                <w:szCs w:val="16"/>
              </w:rPr>
              <w:t xml:space="preserve">. Konzultant bude pokračovat v dříve zasmluvněných činnostech, předání majetků a majetkoprávní vypořádání bude tedy pouze přidáno k dřívějším závazkům. Podrobný obsah činnosti je </w:t>
            </w:r>
            <w:r w:rsidRPr="00BD7DAC">
              <w:rPr>
                <w:rFonts w:ascii="Arial" w:hAnsi="Arial" w:cs="Arial"/>
                <w:sz w:val="16"/>
                <w:szCs w:val="16"/>
              </w:rPr>
              <w:t>obsažen</w:t>
            </w:r>
            <w:r w:rsidR="00EE7096" w:rsidRPr="00BD7DAC"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BE0E19" w:rsidRPr="00BD7DAC">
              <w:rPr>
                <w:rFonts w:ascii="Arial" w:hAnsi="Arial" w:cs="Arial"/>
                <w:sz w:val="16"/>
                <w:szCs w:val="16"/>
              </w:rPr>
              <w:t> Příloze č. 1 „Návrh Dodatku č. 1 ke smlouvě o poskytování služeb.</w:t>
            </w:r>
            <w:r>
              <w:rPr>
                <w:rFonts w:ascii="Arial" w:hAnsi="Arial" w:cs="Arial"/>
                <w:sz w:val="16"/>
                <w:szCs w:val="16"/>
              </w:rPr>
              <w:t xml:space="preserve"> Toto rozšíření je již běžnou součástí novějších smluvních vztahů s Konzultanty.</w:t>
            </w:r>
          </w:p>
        </w:tc>
      </w:tr>
      <w:tr w:rsidR="008969FF" w:rsidRPr="00D746EC" w14:paraId="11982551" w14:textId="77777777" w:rsidTr="00FC4B57">
        <w:trPr>
          <w:trHeight w:val="517"/>
        </w:trPr>
        <w:tc>
          <w:tcPr>
            <w:tcW w:w="1090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FC4B57">
        <w:trPr>
          <w:trHeight w:val="510"/>
        </w:trPr>
        <w:tc>
          <w:tcPr>
            <w:tcW w:w="1090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9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6BEFE9C0" w:rsidR="008969FF" w:rsidRPr="00D746EC" w:rsidRDefault="00E426CB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26.460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5EC4BB81" w:rsidR="008969FF" w:rsidRPr="00407281" w:rsidRDefault="00E426CB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26.460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FC4B57">
        <w:trPr>
          <w:trHeight w:val="624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00A5DE73" w:rsidR="008969FF" w:rsidRPr="00D746EC" w:rsidRDefault="008969FF" w:rsidP="00B103AC">
            <w:pPr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0 dnů</w:t>
            </w:r>
            <w:r w:rsidR="00B103AC">
              <w:rPr>
                <w:rFonts w:ascii="Arial" w:hAnsi="Arial"/>
                <w:b/>
                <w:bCs/>
                <w:sz w:val="20"/>
                <w:szCs w:val="22"/>
              </w:rPr>
              <w:t xml:space="preserve"> –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 bez vlivu na posun termínu pro dokončení</w:t>
            </w:r>
          </w:p>
        </w:tc>
      </w:tr>
      <w:tr w:rsidR="008969FF" w:rsidRPr="00D746EC" w14:paraId="59B9F31E" w14:textId="42C5A83E" w:rsidTr="00FC4B57">
        <w:trPr>
          <w:trHeight w:val="907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0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8C0EAA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18" w:space="0" w:color="FF0000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8C0EAA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446B6CA2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</w:t>
            </w:r>
            <w:r w:rsidR="00471B23">
              <w:rPr>
                <w:rFonts w:ascii="Arial" w:hAnsi="Arial" w:cs="Arial"/>
                <w:iCs/>
                <w:sz w:val="18"/>
              </w:rPr>
              <w:t>Potřeba vyvstala až na základě zkušeností při dokončování jiných zakázek, kdy díky složitosti majetkoprávních vztahů a převádění nového díla na nové majitele nejsme schopni tuto činnost vykonávat vlastním personálem.</w:t>
            </w:r>
          </w:p>
        </w:tc>
      </w:tr>
      <w:tr w:rsidR="008969F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6E26DE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8969FF" w:rsidRPr="0088439F" w:rsidRDefault="008969FF" w:rsidP="008969FF">
            <w:pPr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Nejde o podstatnou změnu závazku, neboť změna:</w:t>
            </w:r>
          </w:p>
        </w:tc>
      </w:tr>
      <w:tr w:rsidR="008969FF" w:rsidRPr="00D746EC" w14:paraId="34FC5524" w14:textId="77777777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8969FF" w:rsidRPr="00D746EC" w14:paraId="3FB719D8" w14:textId="77777777" w:rsidTr="001C7220">
        <w:trPr>
          <w:trHeight w:val="283"/>
        </w:trPr>
        <w:tc>
          <w:tcPr>
            <w:tcW w:w="268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8969FF" w:rsidRPr="00D746EC" w14:paraId="67A39019" w14:textId="77777777" w:rsidTr="001C7220">
        <w:trPr>
          <w:trHeight w:val="276"/>
        </w:trPr>
        <w:tc>
          <w:tcPr>
            <w:tcW w:w="268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443BDEF5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8969FF" w:rsidRPr="00D746EC" w14:paraId="2413DE0E" w14:textId="38B2EA0E" w:rsidTr="001C7220">
        <w:trPr>
          <w:trHeight w:val="786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BA6941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19529C98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  <w:r w:rsidR="00471B2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204B3" w:rsidRPr="00E204B3">
              <w:rPr>
                <w:rFonts w:ascii="Arial" w:hAnsi="Arial" w:cs="Arial"/>
                <w:sz w:val="18"/>
                <w:szCs w:val="18"/>
              </w:rPr>
              <w:t xml:space="preserve">Ano, nejde o podstatnou změnu závazku. </w:t>
            </w:r>
            <w:r w:rsidR="00E16A32" w:rsidRPr="00E204B3">
              <w:rPr>
                <w:rFonts w:ascii="Arial" w:hAnsi="Arial" w:cs="Arial"/>
                <w:sz w:val="18"/>
                <w:szCs w:val="18"/>
              </w:rPr>
              <w:t>Celkové navýšení tohoto změnového listu je 1,</w:t>
            </w:r>
            <w:r w:rsidR="00FD1BAB">
              <w:rPr>
                <w:rFonts w:ascii="Arial" w:hAnsi="Arial" w:cs="Arial"/>
                <w:sz w:val="18"/>
                <w:szCs w:val="18"/>
              </w:rPr>
              <w:t>55</w:t>
            </w:r>
            <w:r w:rsidR="00E16A32" w:rsidRPr="00E204B3">
              <w:rPr>
                <w:rFonts w:ascii="Arial" w:hAnsi="Arial" w:cs="Arial"/>
                <w:sz w:val="18"/>
                <w:szCs w:val="18"/>
              </w:rPr>
              <w:t xml:space="preserve"> %.</w:t>
            </w:r>
          </w:p>
        </w:tc>
      </w:tr>
      <w:tr w:rsidR="008969FF" w:rsidRPr="00D746EC" w14:paraId="223A5A57" w14:textId="26A39D4E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1C7220">
        <w:trPr>
          <w:trHeight w:val="34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1C7220">
        <w:trPr>
          <w:trHeight w:val="283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1C7220">
        <w:trPr>
          <w:trHeight w:val="51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1C7220">
        <w:trPr>
          <w:trHeight w:val="68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F34D1C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1C7220">
        <w:trPr>
          <w:trHeight w:val="39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55BD1BCF" w:rsidR="008969FF" w:rsidRPr="00E16A32" w:rsidRDefault="008020C8" w:rsidP="008969FF">
            <w:pPr>
              <w:ind w:left="165"/>
              <w:rPr>
                <w:rFonts w:ascii="Arial" w:hAnsi="Arial" w:cs="Arial"/>
                <w:b/>
                <w:sz w:val="20"/>
                <w:szCs w:val="18"/>
              </w:rPr>
            </w:pPr>
            <w:r w:rsidRPr="008020C8">
              <w:rPr>
                <w:rFonts w:ascii="Arial" w:hAnsi="Arial" w:cs="Arial"/>
                <w:b/>
                <w:sz w:val="20"/>
                <w:szCs w:val="18"/>
              </w:rPr>
              <w:t>S/ŘVC/048/R/</w:t>
            </w:r>
            <w:proofErr w:type="spellStart"/>
            <w:r w:rsidRPr="008020C8">
              <w:rPr>
                <w:rFonts w:ascii="Arial" w:hAnsi="Arial" w:cs="Arial"/>
                <w:b/>
                <w:sz w:val="20"/>
                <w:szCs w:val="18"/>
              </w:rPr>
              <w:t>PřS</w:t>
            </w:r>
            <w:proofErr w:type="spellEnd"/>
            <w:r w:rsidRPr="008020C8">
              <w:rPr>
                <w:rFonts w:ascii="Arial" w:hAnsi="Arial" w:cs="Arial"/>
                <w:b/>
                <w:sz w:val="20"/>
                <w:szCs w:val="18"/>
              </w:rPr>
              <w:t>/2018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7F248DEE" w:rsidR="008969FF" w:rsidRPr="00247813" w:rsidRDefault="00E16A32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8969FF" w:rsidRPr="00A17FF4" w14:paraId="1FAC8087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3FECF8E1" w:rsidR="008969FF" w:rsidRPr="00055D0C" w:rsidRDefault="008020C8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1.704.000</w:t>
            </w:r>
            <w:r w:rsidR="008969FF" w:rsidRPr="00055D0C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8969FF" w:rsidRPr="00D746EC" w14:paraId="5B46C318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D4975CB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01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69B6A19C" w:rsidR="008969FF" w:rsidRPr="00055D0C" w:rsidRDefault="008020C8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1.730.460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8969FF" w:rsidRPr="00D746EC" w14:paraId="4B7E51FE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31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326BF4F0" w:rsidR="008969FF" w:rsidRPr="00603B6A" w:rsidRDefault="007E24BB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26.460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3D561FBB" w:rsidR="008969FF" w:rsidRPr="00603B6A" w:rsidRDefault="00E16A32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="00FD1BA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969FF" w:rsidRPr="00D746EC" w14:paraId="63659A46" w14:textId="77777777" w:rsidTr="00805F93">
        <w:trPr>
          <w:trHeight w:val="397"/>
        </w:trPr>
        <w:tc>
          <w:tcPr>
            <w:tcW w:w="6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6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95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6071CF9C" w:rsidR="008969FF" w:rsidRPr="00813C98" w:rsidRDefault="008020C8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26.460</w:t>
            </w:r>
            <w:r w:rsidR="008969FF" w:rsidRPr="00813C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3FDD8037" w:rsidR="008969FF" w:rsidRPr="00813C98" w:rsidRDefault="00E16A32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FD1BA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9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 xml:space="preserve">změny)   </w:t>
            </w:r>
            <w:proofErr w:type="gramEnd"/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Pro C a D zároveň platí max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>30%</w:t>
            </w:r>
            <w:proofErr w:type="gramEnd"/>
            <w:r>
              <w:rPr>
                <w:rFonts w:ascii="Arial" w:hAnsi="Arial" w:cs="Arial"/>
                <w:i/>
                <w:sz w:val="16"/>
                <w:szCs w:val="20"/>
              </w:rPr>
              <w:t>, pokud se jedná o součet kladných i záporných změn.</w:t>
            </w:r>
          </w:p>
        </w:tc>
      </w:tr>
      <w:tr w:rsidR="008969FF" w:rsidRPr="00ED5CEA" w14:paraId="3A500F5C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681C822A" w:rsidR="008969FF" w:rsidRPr="00ED5CEA" w:rsidRDefault="008020C8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26.46</w:t>
            </w:r>
            <w:r w:rsidR="00E16A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969FF" w:rsidRPr="000316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FE075A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117BA9" w:rsidRPr="00CC3A08" w:rsidRDefault="00117BA9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70683AC8" w:rsidR="00117BA9" w:rsidRPr="0043399F" w:rsidRDefault="00C06F79" w:rsidP="00AA71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="00AA7147">
              <w:rPr>
                <w:rFonts w:ascii="Arial" w:hAnsi="Arial" w:cs="Arial"/>
                <w:b/>
                <w:bCs/>
                <w:sz w:val="16"/>
                <w:szCs w:val="16"/>
              </w:rPr>
              <w:t>, MBA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2BD88F76" w:rsidR="00117BA9" w:rsidRPr="0043399F" w:rsidRDefault="00117BA9" w:rsidP="00CB7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05F93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3CA502AC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č.1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poskytování služeb</w:t>
            </w:r>
            <w:r w:rsidR="00A533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5F93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19515488" w:rsidR="008969FF" w:rsidRPr="00636CBB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C06F79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54367E5B" w:rsidR="008969FF" w:rsidRPr="0043399F" w:rsidRDefault="008969FF" w:rsidP="00CB7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6BAD7AA4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</w:t>
            </w:r>
            <w:r w:rsidR="00920B2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/R/</w:t>
            </w:r>
            <w:proofErr w:type="spellStart"/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PřS</w:t>
            </w:r>
            <w:proofErr w:type="spellEnd"/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01DC39BB" w:rsidR="006578EB" w:rsidRPr="00A5331F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Dodat</w:t>
            </w:r>
            <w:r w:rsidR="00636CBB">
              <w:rPr>
                <w:rFonts w:ascii="Arial" w:hAnsi="Arial"/>
                <w:sz w:val="16"/>
                <w:szCs w:val="16"/>
              </w:rPr>
              <w:t>e</w:t>
            </w:r>
            <w:r w:rsidRPr="00A5331F">
              <w:rPr>
                <w:rFonts w:ascii="Arial" w:hAnsi="Arial"/>
                <w:sz w:val="16"/>
                <w:szCs w:val="16"/>
              </w:rPr>
              <w:t>k č.1</w:t>
            </w:r>
          </w:p>
        </w:tc>
      </w:tr>
      <w:tr w:rsidR="006578EB" w:rsidRPr="00D746EC" w14:paraId="67CB09DE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34686FB8" w:rsidR="006578EB" w:rsidRPr="00A5331F" w:rsidRDefault="00D313EE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26.460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38FCB52F" w:rsidR="006578EB" w:rsidRPr="00A5331F" w:rsidRDefault="00636CB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Dodat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A5331F">
              <w:rPr>
                <w:rFonts w:ascii="Arial" w:hAnsi="Arial"/>
                <w:sz w:val="16"/>
                <w:szCs w:val="16"/>
              </w:rPr>
              <w:t>k č.1</w:t>
            </w:r>
          </w:p>
        </w:tc>
      </w:tr>
      <w:tr w:rsidR="00FC4B57" w:rsidRPr="00D746EC" w14:paraId="2BD74941" w14:textId="77777777" w:rsidTr="001C7220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4A01A807" w:rsidR="00805F93" w:rsidRPr="0043399F" w:rsidRDefault="00C06F79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1DBC77FB" w:rsidR="00805F93" w:rsidRPr="0043399F" w:rsidRDefault="00805F93" w:rsidP="00CB7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76707D3B" w:rsidR="00805F93" w:rsidRPr="0043399F" w:rsidRDefault="00C06F79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2D28AD91" w:rsidR="00805F93" w:rsidRPr="0043399F" w:rsidRDefault="00805F93" w:rsidP="00CB7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462EBCD8" w:rsidR="00805F93" w:rsidRPr="0043399F" w:rsidRDefault="00805F93" w:rsidP="00CB77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1F799C">
        <w:trPr>
          <w:trHeight w:val="397"/>
        </w:trPr>
        <w:tc>
          <w:tcPr>
            <w:tcW w:w="3246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26C4DCE7" w:rsidR="00805F93" w:rsidRPr="00CC3A08" w:rsidRDefault="00805F93" w:rsidP="00CB7717">
            <w:pPr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EB65BC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0DDB" w14:textId="77777777" w:rsidR="00A12663" w:rsidRDefault="00A12663" w:rsidP="00B6379A">
      <w:r>
        <w:separator/>
      </w:r>
    </w:p>
  </w:endnote>
  <w:endnote w:type="continuationSeparator" w:id="0">
    <w:p w14:paraId="62019407" w14:textId="77777777" w:rsidR="00A12663" w:rsidRDefault="00A12663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17F24" w14:textId="77777777" w:rsidR="00A12663" w:rsidRDefault="00A12663" w:rsidP="00B6379A">
      <w:r>
        <w:separator/>
      </w:r>
    </w:p>
  </w:footnote>
  <w:footnote w:type="continuationSeparator" w:id="0">
    <w:p w14:paraId="7FAF685A" w14:textId="77777777" w:rsidR="00A12663" w:rsidRDefault="00A12663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7495"/>
    <w:multiLevelType w:val="hybridMultilevel"/>
    <w:tmpl w:val="8E54B1DA"/>
    <w:lvl w:ilvl="0" w:tplc="7260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7939"/>
    <w:multiLevelType w:val="hybridMultilevel"/>
    <w:tmpl w:val="00FACD7A"/>
    <w:lvl w:ilvl="0" w:tplc="276CAB0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7"/>
  </w:num>
  <w:num w:numId="2" w16cid:durableId="1014964577">
    <w:abstractNumId w:val="34"/>
  </w:num>
  <w:num w:numId="3" w16cid:durableId="167444859">
    <w:abstractNumId w:val="32"/>
  </w:num>
  <w:num w:numId="4" w16cid:durableId="1159536306">
    <w:abstractNumId w:val="36"/>
  </w:num>
  <w:num w:numId="5" w16cid:durableId="729307162">
    <w:abstractNumId w:val="26"/>
  </w:num>
  <w:num w:numId="6" w16cid:durableId="469716195">
    <w:abstractNumId w:val="14"/>
  </w:num>
  <w:num w:numId="7" w16cid:durableId="1835797202">
    <w:abstractNumId w:val="35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9"/>
  </w:num>
  <w:num w:numId="11" w16cid:durableId="450632592">
    <w:abstractNumId w:val="19"/>
  </w:num>
  <w:num w:numId="12" w16cid:durableId="1587108027">
    <w:abstractNumId w:val="22"/>
  </w:num>
  <w:num w:numId="13" w16cid:durableId="1984383736">
    <w:abstractNumId w:val="33"/>
  </w:num>
  <w:num w:numId="14" w16cid:durableId="1998268605">
    <w:abstractNumId w:val="38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3"/>
  </w:num>
  <w:num w:numId="18" w16cid:durableId="1076827667">
    <w:abstractNumId w:val="27"/>
  </w:num>
  <w:num w:numId="19" w16cid:durableId="1647470676">
    <w:abstractNumId w:val="25"/>
  </w:num>
  <w:num w:numId="20" w16cid:durableId="430275751">
    <w:abstractNumId w:val="18"/>
  </w:num>
  <w:num w:numId="21" w16cid:durableId="596257214">
    <w:abstractNumId w:val="30"/>
  </w:num>
  <w:num w:numId="22" w16cid:durableId="723143613">
    <w:abstractNumId w:val="24"/>
  </w:num>
  <w:num w:numId="23" w16cid:durableId="1078793717">
    <w:abstractNumId w:val="28"/>
  </w:num>
  <w:num w:numId="24" w16cid:durableId="120660064">
    <w:abstractNumId w:val="9"/>
  </w:num>
  <w:num w:numId="25" w16cid:durableId="279148430">
    <w:abstractNumId w:val="17"/>
  </w:num>
  <w:num w:numId="26" w16cid:durableId="972173507">
    <w:abstractNumId w:val="15"/>
  </w:num>
  <w:num w:numId="27" w16cid:durableId="798916357">
    <w:abstractNumId w:val="31"/>
  </w:num>
  <w:num w:numId="28" w16cid:durableId="368800553">
    <w:abstractNumId w:val="11"/>
  </w:num>
  <w:num w:numId="29" w16cid:durableId="955212734">
    <w:abstractNumId w:val="21"/>
  </w:num>
  <w:num w:numId="30" w16cid:durableId="783118444">
    <w:abstractNumId w:val="20"/>
  </w:num>
  <w:num w:numId="31" w16cid:durableId="287250479">
    <w:abstractNumId w:val="8"/>
  </w:num>
  <w:num w:numId="32" w16cid:durableId="147409014">
    <w:abstractNumId w:val="29"/>
  </w:num>
  <w:num w:numId="33" w16cid:durableId="1678538660">
    <w:abstractNumId w:val="16"/>
  </w:num>
  <w:num w:numId="34" w16cid:durableId="415324400">
    <w:abstractNumId w:val="13"/>
  </w:num>
  <w:num w:numId="35" w16cid:durableId="209053959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2A57"/>
    <w:rsid w:val="00064DC5"/>
    <w:rsid w:val="00070484"/>
    <w:rsid w:val="00072008"/>
    <w:rsid w:val="0007260F"/>
    <w:rsid w:val="000728EF"/>
    <w:rsid w:val="00072A08"/>
    <w:rsid w:val="000754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5202"/>
    <w:rsid w:val="000C751B"/>
    <w:rsid w:val="000D3673"/>
    <w:rsid w:val="000D4945"/>
    <w:rsid w:val="000D514B"/>
    <w:rsid w:val="000E5DAC"/>
    <w:rsid w:val="000E6394"/>
    <w:rsid w:val="000E64F9"/>
    <w:rsid w:val="000F3F47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6045"/>
    <w:rsid w:val="001B1178"/>
    <w:rsid w:val="001B250A"/>
    <w:rsid w:val="001B33CE"/>
    <w:rsid w:val="001C1F18"/>
    <w:rsid w:val="001C3239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725A"/>
    <w:rsid w:val="001F799C"/>
    <w:rsid w:val="00200AD6"/>
    <w:rsid w:val="00205D2B"/>
    <w:rsid w:val="002074E7"/>
    <w:rsid w:val="00207FE2"/>
    <w:rsid w:val="00210113"/>
    <w:rsid w:val="00210317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3DC"/>
    <w:rsid w:val="002F45C6"/>
    <w:rsid w:val="002F4A46"/>
    <w:rsid w:val="002F5CE4"/>
    <w:rsid w:val="002F7CEF"/>
    <w:rsid w:val="0030054E"/>
    <w:rsid w:val="00303C7F"/>
    <w:rsid w:val="00305DCD"/>
    <w:rsid w:val="00307E02"/>
    <w:rsid w:val="00310EA9"/>
    <w:rsid w:val="003110DB"/>
    <w:rsid w:val="00311BD9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57731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299E"/>
    <w:rsid w:val="004634B7"/>
    <w:rsid w:val="0046562C"/>
    <w:rsid w:val="00471AD6"/>
    <w:rsid w:val="00471B23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194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34D7A"/>
    <w:rsid w:val="00540741"/>
    <w:rsid w:val="005418DF"/>
    <w:rsid w:val="00542194"/>
    <w:rsid w:val="005424C1"/>
    <w:rsid w:val="00545621"/>
    <w:rsid w:val="00545B03"/>
    <w:rsid w:val="00547CB5"/>
    <w:rsid w:val="005622A2"/>
    <w:rsid w:val="005633D6"/>
    <w:rsid w:val="00566110"/>
    <w:rsid w:val="005719C1"/>
    <w:rsid w:val="0057292B"/>
    <w:rsid w:val="00576774"/>
    <w:rsid w:val="00583883"/>
    <w:rsid w:val="00583A5F"/>
    <w:rsid w:val="00584854"/>
    <w:rsid w:val="005A0F85"/>
    <w:rsid w:val="005A6928"/>
    <w:rsid w:val="005B7C3A"/>
    <w:rsid w:val="005C07D3"/>
    <w:rsid w:val="005C1E47"/>
    <w:rsid w:val="005C683E"/>
    <w:rsid w:val="005C7890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36CBB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CFB"/>
    <w:rsid w:val="0076131A"/>
    <w:rsid w:val="007623E3"/>
    <w:rsid w:val="00765E31"/>
    <w:rsid w:val="0077056E"/>
    <w:rsid w:val="00776859"/>
    <w:rsid w:val="00777BA4"/>
    <w:rsid w:val="00780521"/>
    <w:rsid w:val="0078633E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5096"/>
    <w:rsid w:val="007B6C5F"/>
    <w:rsid w:val="007C288E"/>
    <w:rsid w:val="007C3EF4"/>
    <w:rsid w:val="007C4C4E"/>
    <w:rsid w:val="007D02A6"/>
    <w:rsid w:val="007D23E3"/>
    <w:rsid w:val="007D4250"/>
    <w:rsid w:val="007D5539"/>
    <w:rsid w:val="007D56C5"/>
    <w:rsid w:val="007D75E7"/>
    <w:rsid w:val="007D762B"/>
    <w:rsid w:val="007E06B6"/>
    <w:rsid w:val="007E24BB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20C8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3880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A67D7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E5908"/>
    <w:rsid w:val="008F3F39"/>
    <w:rsid w:val="008F610B"/>
    <w:rsid w:val="00900A09"/>
    <w:rsid w:val="009023F6"/>
    <w:rsid w:val="0091166D"/>
    <w:rsid w:val="00913B78"/>
    <w:rsid w:val="00920B2B"/>
    <w:rsid w:val="00920FA6"/>
    <w:rsid w:val="0092153A"/>
    <w:rsid w:val="00924BD0"/>
    <w:rsid w:val="00927A2E"/>
    <w:rsid w:val="009308D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7FD7"/>
    <w:rsid w:val="00A12663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5592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147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B02EED"/>
    <w:rsid w:val="00B07CBE"/>
    <w:rsid w:val="00B07EED"/>
    <w:rsid w:val="00B103AC"/>
    <w:rsid w:val="00B106A9"/>
    <w:rsid w:val="00B1442C"/>
    <w:rsid w:val="00B17158"/>
    <w:rsid w:val="00B2105C"/>
    <w:rsid w:val="00B23DCC"/>
    <w:rsid w:val="00B24BA5"/>
    <w:rsid w:val="00B27DAE"/>
    <w:rsid w:val="00B30CC2"/>
    <w:rsid w:val="00B33011"/>
    <w:rsid w:val="00B42F9D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27BC"/>
    <w:rsid w:val="00B933A6"/>
    <w:rsid w:val="00B9528E"/>
    <w:rsid w:val="00B96A54"/>
    <w:rsid w:val="00B975CB"/>
    <w:rsid w:val="00BA16F1"/>
    <w:rsid w:val="00BA3CE8"/>
    <w:rsid w:val="00BA4627"/>
    <w:rsid w:val="00BA50B1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7CD0"/>
    <w:rsid w:val="00BD7DAC"/>
    <w:rsid w:val="00BE0E19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6F79"/>
    <w:rsid w:val="00C07444"/>
    <w:rsid w:val="00C1633C"/>
    <w:rsid w:val="00C16584"/>
    <w:rsid w:val="00C17B9F"/>
    <w:rsid w:val="00C22C24"/>
    <w:rsid w:val="00C22FC9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52F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717"/>
    <w:rsid w:val="00CB7D72"/>
    <w:rsid w:val="00CC24DD"/>
    <w:rsid w:val="00CC3A08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13EE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9340F"/>
    <w:rsid w:val="00D93646"/>
    <w:rsid w:val="00D9690B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16A32"/>
    <w:rsid w:val="00E204B3"/>
    <w:rsid w:val="00E2065C"/>
    <w:rsid w:val="00E22604"/>
    <w:rsid w:val="00E24FF9"/>
    <w:rsid w:val="00E30068"/>
    <w:rsid w:val="00E36BEA"/>
    <w:rsid w:val="00E426CB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65BC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EA1"/>
    <w:rsid w:val="00EE7096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346E"/>
    <w:rsid w:val="00F53DC1"/>
    <w:rsid w:val="00F57161"/>
    <w:rsid w:val="00F645C7"/>
    <w:rsid w:val="00F712C1"/>
    <w:rsid w:val="00F73368"/>
    <w:rsid w:val="00F75B82"/>
    <w:rsid w:val="00F7607D"/>
    <w:rsid w:val="00F7718C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1BAB"/>
    <w:rsid w:val="00FD22F9"/>
    <w:rsid w:val="00FD4FA5"/>
    <w:rsid w:val="00FD753E"/>
    <w:rsid w:val="00FE075A"/>
    <w:rsid w:val="00FE2562"/>
    <w:rsid w:val="00FE35F4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E16A32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1161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3</cp:revision>
  <cp:lastPrinted>2024-04-29T09:06:00Z</cp:lastPrinted>
  <dcterms:created xsi:type="dcterms:W3CDTF">2024-05-23T14:05:00Z</dcterms:created>
  <dcterms:modified xsi:type="dcterms:W3CDTF">2024-05-27T10:08:00Z</dcterms:modified>
</cp:coreProperties>
</file>