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00CB56E6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13242D2A" w14:textId="27B4D2C4" w:rsidR="00730F72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541FCB" w:rsidRPr="00541FCB">
        <w:rPr>
          <w:rFonts w:ascii="Arial" w:hAnsi="Arial" w:cs="Arial"/>
          <w:b/>
          <w:bCs/>
        </w:rPr>
        <w:t>22/003/234</w:t>
      </w:r>
    </w:p>
    <w:p w14:paraId="11AD112F" w14:textId="77777777" w:rsidR="00CC7E9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777777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bookmarkStart w:id="0" w:name="_GoBack"/>
      <w:r w:rsidRPr="00B43697">
        <w:rPr>
          <w:rFonts w:ascii="Arial" w:hAnsi="Arial" w:cs="Arial"/>
        </w:rPr>
        <w:t>19-5524200217/0100</w:t>
      </w:r>
      <w:r w:rsidR="00E76C75">
        <w:rPr>
          <w:rFonts w:ascii="Arial" w:hAnsi="Arial" w:cs="Arial"/>
        </w:rPr>
        <w:t xml:space="preserve"> </w:t>
      </w:r>
      <w:bookmarkEnd w:id="0"/>
      <w:r w:rsidR="00E76C75">
        <w:rPr>
          <w:rFonts w:ascii="Arial" w:hAnsi="Arial" w:cs="Arial"/>
        </w:rPr>
        <w:t>účet vedený u Komerční banky a.s.</w:t>
      </w:r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13D174F2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2FD2F251" w14:textId="739A7E9D" w:rsidR="00CC29E1" w:rsidRPr="00DA7F4D" w:rsidRDefault="00541FCB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Ředitelství silnic a dálnic </w:t>
      </w:r>
      <w:proofErr w:type="spellStart"/>
      <w:r>
        <w:rPr>
          <w:rFonts w:ascii="Arial" w:hAnsi="Arial" w:cs="Arial"/>
          <w:b/>
        </w:rPr>
        <w:t>s.p</w:t>
      </w:r>
      <w:proofErr w:type="spellEnd"/>
      <w:r>
        <w:rPr>
          <w:rFonts w:ascii="Arial" w:hAnsi="Arial" w:cs="Arial"/>
          <w:b/>
        </w:rPr>
        <w:t>. ČR</w:t>
      </w:r>
    </w:p>
    <w:p w14:paraId="4AA6CE9D" w14:textId="0C259228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541FCB">
        <w:rPr>
          <w:rFonts w:ascii="Arial" w:hAnsi="Arial" w:cs="Arial"/>
        </w:rPr>
        <w:t>Na Pankráci 546/56, Praha 4, 140 00</w:t>
      </w:r>
    </w:p>
    <w:p w14:paraId="7C5137EB" w14:textId="0811946E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541FCB">
        <w:rPr>
          <w:rFonts w:ascii="Arial" w:hAnsi="Arial" w:cs="Arial"/>
        </w:rPr>
        <w:t>65993390</w:t>
      </w:r>
    </w:p>
    <w:p w14:paraId="52DB3F3C" w14:textId="52712173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541FCB">
        <w:rPr>
          <w:rFonts w:ascii="Arial" w:hAnsi="Arial" w:cs="Arial"/>
        </w:rPr>
        <w:t>65993390</w:t>
      </w:r>
      <w:r w:rsidRPr="00DA7F4D">
        <w:rPr>
          <w:rFonts w:ascii="Arial" w:hAnsi="Arial" w:cs="Arial"/>
        </w:rPr>
        <w:t xml:space="preserve"> </w:t>
      </w:r>
    </w:p>
    <w:p w14:paraId="4015CD38" w14:textId="69316F6F" w:rsidR="00CC29E1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91649D">
        <w:rPr>
          <w:rFonts w:ascii="Arial" w:hAnsi="Arial" w:cs="Arial"/>
        </w:rPr>
        <w:t>10006-15937031/0710 účet vedený u ČNB</w:t>
      </w:r>
    </w:p>
    <w:p w14:paraId="11DEA789" w14:textId="7185BB55" w:rsidR="0091649D" w:rsidRDefault="0091649D" w:rsidP="006D7640">
      <w:pPr>
        <w:tabs>
          <w:tab w:val="left" w:pos="2268"/>
        </w:tabs>
        <w:spacing w:after="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zastoupený:   </w:t>
      </w:r>
      <w:proofErr w:type="gramEnd"/>
      <w:r>
        <w:rPr>
          <w:rFonts w:ascii="Arial" w:hAnsi="Arial" w:cs="Arial"/>
        </w:rPr>
        <w:t xml:space="preserve">                   Ing. Radkem Mátlem, generálním ředitelem</w:t>
      </w:r>
    </w:p>
    <w:p w14:paraId="3270A26B" w14:textId="2983BBCE" w:rsidR="0091649D" w:rsidRDefault="0091649D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 xml:space="preserve">adresa:   </w:t>
      </w:r>
      <w:proofErr w:type="gramEnd"/>
      <w:r>
        <w:rPr>
          <w:rFonts w:ascii="Arial" w:hAnsi="Arial" w:cs="Arial"/>
        </w:rPr>
        <w:t xml:space="preserve">           </w:t>
      </w:r>
      <w:r w:rsidRPr="0091649D">
        <w:rPr>
          <w:rFonts w:ascii="Arial" w:hAnsi="Arial" w:cs="Arial"/>
          <w:b/>
          <w:bCs/>
        </w:rPr>
        <w:t xml:space="preserve">Ředitelství silnic a dálnic </w:t>
      </w:r>
      <w:proofErr w:type="spellStart"/>
      <w:r w:rsidRPr="0091649D">
        <w:rPr>
          <w:rFonts w:ascii="Arial" w:hAnsi="Arial" w:cs="Arial"/>
          <w:b/>
          <w:bCs/>
        </w:rPr>
        <w:t>s.p</w:t>
      </w:r>
      <w:proofErr w:type="spellEnd"/>
      <w:r w:rsidRPr="0091649D">
        <w:rPr>
          <w:rFonts w:ascii="Arial" w:hAnsi="Arial" w:cs="Arial"/>
          <w:b/>
          <w:bCs/>
        </w:rPr>
        <w:t>., Správa Pardubice</w:t>
      </w:r>
    </w:p>
    <w:p w14:paraId="3DC8A713" w14:textId="288CD42F" w:rsidR="0091649D" w:rsidRDefault="0091649D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proofErr w:type="gramStart"/>
      <w:r>
        <w:rPr>
          <w:rFonts w:ascii="Arial" w:hAnsi="Arial" w:cs="Arial"/>
        </w:rPr>
        <w:t xml:space="preserve">sídlem:   </w:t>
      </w:r>
      <w:proofErr w:type="gramEnd"/>
      <w:r>
        <w:rPr>
          <w:rFonts w:ascii="Arial" w:hAnsi="Arial" w:cs="Arial"/>
        </w:rPr>
        <w:t xml:space="preserve">                      Hlaváčova 902, 530 02 Pardubice</w:t>
      </w:r>
    </w:p>
    <w:p w14:paraId="3DB4E744" w14:textId="006296A4" w:rsidR="0091649D" w:rsidRDefault="0091649D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oprávněn </w:t>
      </w:r>
      <w:proofErr w:type="gramStart"/>
      <w:r>
        <w:rPr>
          <w:rFonts w:ascii="Arial" w:hAnsi="Arial" w:cs="Arial"/>
        </w:rPr>
        <w:t xml:space="preserve">jednat:   </w:t>
      </w:r>
      <w:proofErr w:type="gramEnd"/>
      <w:r>
        <w:rPr>
          <w:rFonts w:ascii="Arial" w:hAnsi="Arial" w:cs="Arial"/>
        </w:rPr>
        <w:t xml:space="preserve">           </w:t>
      </w:r>
      <w:proofErr w:type="spellStart"/>
      <w:r w:rsidR="00142CDD">
        <w:rPr>
          <w:rFonts w:ascii="Arial" w:hAnsi="Arial" w:cs="Arial"/>
        </w:rPr>
        <w:t>xxx</w:t>
      </w:r>
      <w:proofErr w:type="spellEnd"/>
    </w:p>
    <w:p w14:paraId="298B1D68" w14:textId="2C060627" w:rsidR="0091649D" w:rsidRPr="00DA7F4D" w:rsidRDefault="0091649D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datová </w:t>
      </w:r>
      <w:proofErr w:type="gramStart"/>
      <w:r>
        <w:rPr>
          <w:rFonts w:ascii="Arial" w:hAnsi="Arial" w:cs="Arial"/>
        </w:rPr>
        <w:t xml:space="preserve">schránka:   </w:t>
      </w:r>
      <w:proofErr w:type="gramEnd"/>
      <w:r>
        <w:rPr>
          <w:rFonts w:ascii="Arial" w:hAnsi="Arial" w:cs="Arial"/>
        </w:rPr>
        <w:t xml:space="preserve">          z</w:t>
      </w:r>
      <w:r w:rsidR="004F58A9">
        <w:rPr>
          <w:rFonts w:ascii="Arial" w:hAnsi="Arial" w:cs="Arial"/>
        </w:rPr>
        <w:t>j</w:t>
      </w:r>
      <w:r w:rsidR="00151E57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4rhz </w:t>
      </w:r>
    </w:p>
    <w:p w14:paraId="1F6EB0D1" w14:textId="30C9558B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F97236">
        <w:rPr>
          <w:rFonts w:ascii="Arial" w:hAnsi="Arial" w:cs="Arial"/>
        </w:rPr>
        <w:t>Městským soudem v Praze,</w:t>
      </w:r>
      <w:r w:rsidR="00716967">
        <w:rPr>
          <w:rFonts w:ascii="Arial" w:hAnsi="Arial" w:cs="Arial"/>
        </w:rPr>
        <w:t xml:space="preserve"> pod </w:t>
      </w:r>
      <w:proofErr w:type="spellStart"/>
      <w:r w:rsidR="00716967">
        <w:rPr>
          <w:rFonts w:ascii="Arial" w:hAnsi="Arial" w:cs="Arial"/>
        </w:rPr>
        <w:t>sp</w:t>
      </w:r>
      <w:proofErr w:type="spellEnd"/>
      <w:r w:rsidR="00716967">
        <w:rPr>
          <w:rFonts w:ascii="Arial" w:hAnsi="Arial" w:cs="Arial"/>
        </w:rPr>
        <w:t xml:space="preserve">. zn. </w:t>
      </w:r>
      <w:r w:rsidR="00F97236">
        <w:rPr>
          <w:rFonts w:ascii="Arial" w:hAnsi="Arial" w:cs="Arial"/>
        </w:rPr>
        <w:t>A 80478</w:t>
      </w:r>
    </w:p>
    <w:p w14:paraId="748202BC" w14:textId="60F695BF" w:rsidR="00CC29E1" w:rsidRPr="00DA7F4D" w:rsidRDefault="00CC29E1" w:rsidP="006D7640">
      <w:pPr>
        <w:spacing w:after="40"/>
        <w:rPr>
          <w:rFonts w:ascii="Arial" w:hAnsi="Arial" w:cs="Arial"/>
        </w:rPr>
      </w:pP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6228FA36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7C44A0" w:rsidRPr="007C44A0">
        <w:rPr>
          <w:rFonts w:ascii="Arial" w:hAnsi="Arial" w:cs="Arial"/>
          <w:b/>
          <w:bCs/>
        </w:rPr>
        <w:t>„D 35 3507 Litomyšl – Janov“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20716215" w14:textId="535EB628" w:rsidR="008D265D" w:rsidRPr="00E4159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E4159D" w:rsidRPr="00E4159D">
        <w:rPr>
          <w:rFonts w:ascii="Arial" w:hAnsi="Arial" w:cs="Arial"/>
          <w:b/>
          <w:bCs/>
        </w:rPr>
        <w:t>„D 35 3507 Litomyšl – Janov, SO 07-457 Přeložka optické trasy v km 59,419“</w:t>
      </w:r>
      <w:r w:rsidRPr="00E4159D">
        <w:rPr>
          <w:rFonts w:ascii="Arial" w:hAnsi="Arial" w:cs="Arial"/>
          <w:b/>
          <w:bCs/>
        </w:rPr>
        <w:t xml:space="preserve">.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A739B3A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9852EE">
        <w:rPr>
          <w:rFonts w:ascii="Arial" w:hAnsi="Arial" w:cs="Arial"/>
          <w:sz w:val="20"/>
          <w:szCs w:val="20"/>
        </w:rPr>
        <w:t xml:space="preserve">společností PONTEX spol. s r.o., Bezová 1658, 147 00 Praha 4 – </w:t>
      </w:r>
      <w:proofErr w:type="spellStart"/>
      <w:r w:rsidR="009852EE">
        <w:rPr>
          <w:rFonts w:ascii="Arial" w:hAnsi="Arial" w:cs="Arial"/>
          <w:sz w:val="20"/>
          <w:szCs w:val="20"/>
        </w:rPr>
        <w:t>Branik</w:t>
      </w:r>
      <w:proofErr w:type="spellEnd"/>
      <w:r w:rsidR="009852EE">
        <w:rPr>
          <w:rFonts w:ascii="Arial" w:hAnsi="Arial" w:cs="Arial"/>
          <w:sz w:val="20"/>
          <w:szCs w:val="20"/>
        </w:rPr>
        <w:t>, z 03/2022, ve stupni DÚSP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027EBC4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2F471D93" w14:textId="40764965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2E072970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mlouvy převádí na ČDT některá práva a povinnosti </w:t>
      </w:r>
      <w:r w:rsidR="00142CDD">
        <w:rPr>
          <w:rFonts w:ascii="Arial" w:eastAsia="Times New Roman" w:hAnsi="Arial" w:cs="Arial"/>
          <w:sz w:val="20"/>
          <w:szCs w:val="20"/>
          <w:lang w:eastAsia="cs-CZ"/>
        </w:rPr>
        <w:t>ze Společného</w:t>
      </w:r>
      <w:r>
        <w:rPr>
          <w:rFonts w:ascii="Arial" w:hAnsi="Arial" w:cs="Arial"/>
          <w:sz w:val="20"/>
          <w:szCs w:val="20"/>
        </w:rPr>
        <w:t xml:space="preserve"> </w:t>
      </w:r>
      <w:r w:rsidR="00142CDD">
        <w:rPr>
          <w:rFonts w:ascii="Arial" w:hAnsi="Arial" w:cs="Arial"/>
          <w:sz w:val="20"/>
          <w:szCs w:val="20"/>
        </w:rPr>
        <w:t xml:space="preserve">povolení </w:t>
      </w:r>
      <w:r>
        <w:rPr>
          <w:rFonts w:ascii="Arial" w:hAnsi="Arial" w:cs="Arial"/>
          <w:sz w:val="20"/>
          <w:szCs w:val="20"/>
        </w:rPr>
        <w:t>č.</w:t>
      </w:r>
      <w:r w:rsidR="00142CDD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</w:t>
      </w:r>
      <w:r w:rsidR="00142CDD" w:rsidRPr="00142CDD">
        <w:rPr>
          <w:rFonts w:ascii="Arial" w:hAnsi="Arial" w:cs="Arial"/>
          <w:sz w:val="20"/>
          <w:szCs w:val="20"/>
        </w:rPr>
        <w:t>MD-6938/2023-930/20</w:t>
      </w:r>
      <w:r w:rsidR="001A26BA" w:rsidRPr="00142CDD">
        <w:rPr>
          <w:rFonts w:ascii="Arial" w:hAnsi="Arial" w:cs="Arial"/>
          <w:sz w:val="20"/>
          <w:szCs w:val="20"/>
        </w:rPr>
        <w:t xml:space="preserve"> </w:t>
      </w:r>
      <w:r w:rsidR="00142CDD" w:rsidRPr="00142CDD">
        <w:rPr>
          <w:rFonts w:ascii="Arial" w:hAnsi="Arial" w:cs="Arial"/>
          <w:sz w:val="20"/>
          <w:szCs w:val="20"/>
        </w:rPr>
        <w:t>stavby  D35 3507 Litomyšl - Janov ze dne 4.8.2023</w:t>
      </w:r>
      <w:r w:rsidR="00142CDD">
        <w:rPr>
          <w:rFonts w:ascii="ArialMT" w:hAnsi="ArialMT" w:cs="ArialMT"/>
        </w:rPr>
        <w:t xml:space="preserve">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ke dni </w:t>
      </w:r>
      <w:r w:rsidR="00A31AD4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1E9EDAB4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="00716967">
        <w:rPr>
          <w:rFonts w:ascii="Arial" w:hAnsi="Arial" w:cs="Arial"/>
          <w:sz w:val="20"/>
          <w:szCs w:val="20"/>
        </w:rPr>
        <w:t xml:space="preserve">.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257557C3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104., odst. 17.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19D66360" w14:textId="4ABDBC6B" w:rsidR="00E7542F" w:rsidRDefault="00142CDD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0AF11D9" w14:textId="4401A670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upřesněných nákladů Překládky bude stanovena po vyhotovení Projektu, na jeho</w:t>
      </w:r>
      <w:r w:rsidR="00DE1F7B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základě (dále j</w:t>
      </w:r>
      <w:r w:rsidR="001D1523">
        <w:rPr>
          <w:rFonts w:ascii="Arial" w:hAnsi="Arial" w:cs="Arial"/>
        </w:rPr>
        <w:t>en „Náklady Pře</w:t>
      </w:r>
      <w:r w:rsidR="001F3502">
        <w:rPr>
          <w:rFonts w:ascii="Arial" w:hAnsi="Arial" w:cs="Arial"/>
        </w:rPr>
        <w:t>kládky</w:t>
      </w:r>
      <w:r w:rsidR="001D1523">
        <w:rPr>
          <w:rFonts w:ascii="Arial" w:hAnsi="Arial" w:cs="Arial"/>
        </w:rPr>
        <w:t xml:space="preserve"> stanovené n</w:t>
      </w:r>
      <w:r>
        <w:rPr>
          <w:rFonts w:ascii="Arial" w:hAnsi="Arial" w:cs="Arial"/>
        </w:rPr>
        <w:t>a základě Projektu“) ČDT písemně oznámí do dv</w:t>
      </w:r>
      <w:r w:rsidR="00221FF7">
        <w:rPr>
          <w:rFonts w:ascii="Arial" w:hAnsi="Arial" w:cs="Arial"/>
        </w:rPr>
        <w:t>ou (2) měsíců od uzavření této S</w:t>
      </w:r>
      <w:r>
        <w:rPr>
          <w:rFonts w:ascii="Arial" w:hAnsi="Arial" w:cs="Arial"/>
        </w:rPr>
        <w:t>mlouvy Stavebníkov</w:t>
      </w:r>
      <w:r w:rsidR="00DE1F7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výši nákladů Překládky stanovených na základě Projektu</w:t>
      </w:r>
      <w:r w:rsidRPr="00DE1F7B">
        <w:rPr>
          <w:rFonts w:ascii="Arial" w:hAnsi="Arial" w:cs="Arial"/>
        </w:rPr>
        <w:t>, pokud se tak již nesta</w:t>
      </w:r>
      <w:r w:rsidR="00221FF7" w:rsidRPr="00DE1F7B">
        <w:rPr>
          <w:rFonts w:ascii="Arial" w:hAnsi="Arial" w:cs="Arial"/>
        </w:rPr>
        <w:t>lo</w:t>
      </w:r>
      <w:r w:rsidR="00DE1F7B">
        <w:rPr>
          <w:rFonts w:ascii="Arial" w:hAnsi="Arial" w:cs="Arial"/>
        </w:rPr>
        <w:t>,</w:t>
      </w:r>
      <w:r w:rsidR="00221FF7" w:rsidRPr="00DE1F7B">
        <w:rPr>
          <w:rFonts w:ascii="Arial" w:hAnsi="Arial" w:cs="Arial"/>
        </w:rPr>
        <w:t xml:space="preserve"> viz předchozí odstavec této S</w:t>
      </w:r>
      <w:r w:rsidRPr="00DE1F7B">
        <w:rPr>
          <w:rFonts w:ascii="Arial" w:hAnsi="Arial" w:cs="Arial"/>
        </w:rPr>
        <w:t>mlouvy.</w:t>
      </w:r>
    </w:p>
    <w:p w14:paraId="674C969C" w14:textId="3B7245F4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003AC447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98896F5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3814139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753F6C60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zrušením a následným výmazem služebnosti (váznoucí na nemovitostech dotčených původní, překládanou, trasou SEK) z katastru nemovitostí;</w:t>
      </w:r>
    </w:p>
    <w:p w14:paraId="1D2DA2C0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96D9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1C7E7C3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koordinační výkresy, povodňové plány a zaměření, vyžadované dotčenými subjekty;</w:t>
      </w:r>
    </w:p>
    <w:p w14:paraId="3B705114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EE332D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4D228CB7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 v platném znění;</w:t>
      </w:r>
    </w:p>
    <w:p w14:paraId="417D392C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náklady, související se zvláštním užíváním komunikace ve smyslu § 25 zákona č. 13/1997 Sb., o pozemních komunikacích, v platném znění;</w:t>
      </w:r>
    </w:p>
    <w:p w14:paraId="7C072E03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peněžité plnění plynoucí z nájemních smluv, jejichž uzavření je nutné pro realizaci Překládky;</w:t>
      </w:r>
    </w:p>
    <w:p w14:paraId="3A7D31E9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6FF0853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7932A8ED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2B91B9A6" w14:textId="0398CFD5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zde nespecifikované náklady nezbytné pro realizaci Překládky, na nichž se ČDT a Stavebník dohodnou.</w:t>
      </w:r>
    </w:p>
    <w:p w14:paraId="21FE4E96" w14:textId="15CFA59F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3419A40A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400C4BCC" w14:textId="19BEDD32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2FC8F504" w:rsidR="00A46B8E" w:rsidRDefault="00142CDD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</w:p>
    <w:p w14:paraId="36FD5026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je splatná do 10 dnů poté, co bude písemná výzva jedné strany v tomto směru druhé straně doručena.</w:t>
      </w:r>
    </w:p>
    <w:p w14:paraId="2EF89CD8" w14:textId="77777777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Povinností zaplatit smlu</w:t>
      </w:r>
      <w:r w:rsidR="00A46B8E">
        <w:rPr>
          <w:rFonts w:ascii="Arial" w:hAnsi="Arial" w:cs="Arial"/>
          <w:sz w:val="20"/>
          <w:szCs w:val="20"/>
        </w:rPr>
        <w:t>vní pokutu,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389D">
        <w:rPr>
          <w:rFonts w:ascii="Arial" w:hAnsi="Arial" w:cs="Arial"/>
          <w:sz w:val="20"/>
          <w:szCs w:val="20"/>
        </w:rPr>
        <w:t>VII,</w:t>
      </w:r>
      <w:r w:rsidR="00A46B8E">
        <w:rPr>
          <w:rFonts w:ascii="Arial" w:hAnsi="Arial" w:cs="Arial"/>
          <w:sz w:val="20"/>
          <w:szCs w:val="20"/>
        </w:rPr>
        <w:t>,</w:t>
      </w:r>
      <w:proofErr w:type="gramEnd"/>
      <w:r w:rsidR="00A46B8E">
        <w:rPr>
          <w:rFonts w:ascii="Arial" w:hAnsi="Arial" w:cs="Arial"/>
          <w:sz w:val="20"/>
          <w:szCs w:val="20"/>
        </w:rPr>
        <w:t xml:space="preserve"> není dotčeno právo na náhradu škody, a to ani co do výše, v níž případně náhrada škody smluvní pokutu přesáhne. Povinnost zaplatit smluvní pokutu může vzniknout i opakovaně, její celková výše není omezena.</w:t>
      </w:r>
    </w:p>
    <w:p w14:paraId="12A5D88C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zaplatit smluvní pokutu,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lastRenderedPageBreak/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3A0EF0E4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337306FD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7240C92" w14:textId="2D520444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CF5C48">
        <w:rPr>
          <w:rFonts w:ascii="Arial" w:hAnsi="Arial" w:cs="Arial"/>
          <w:sz w:val="20"/>
          <w:szCs w:val="20"/>
        </w:rPr>
        <w:t xml:space="preserve">mlouva zanikne prvním dnem následujícím po uplynutí (2) dvou let od jejího uzavření, aniž by realizace Překládky byla zahájena.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smluvní pokuty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>mlouvy, a tomu odpovídající povinnost Stavebníka tuto pokutu zaplatit. Právo na náhradu škody zůstává zachováno.</w:t>
      </w: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3EDC06C5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25252581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638C84E6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5A9FFECE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418248B0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00471158" w:rsidR="00612ED7" w:rsidRPr="00797EDC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</w:t>
      </w:r>
      <w:r w:rsidR="006E27EB">
        <w:rPr>
          <w:rFonts w:ascii="Arial" w:hAnsi="Arial" w:cs="Arial"/>
          <w:snapToGrid w:val="0"/>
        </w:rPr>
        <w:t>bude</w:t>
      </w:r>
      <w:r w:rsidR="00612ED7" w:rsidRPr="00797EDC">
        <w:rPr>
          <w:rFonts w:ascii="Arial" w:hAnsi="Arial" w:cs="Arial"/>
          <w:snapToGrid w:val="0"/>
        </w:rPr>
        <w:t xml:space="preserve"> vyhotovena </w:t>
      </w:r>
      <w:r w:rsidR="006E27EB">
        <w:rPr>
          <w:rFonts w:ascii="Arial" w:hAnsi="Arial" w:cs="Arial"/>
          <w:snapToGrid w:val="0"/>
        </w:rPr>
        <w:t>v elektronické podobě a bude podepsána uznávanými elektronickými podpisy</w:t>
      </w:r>
      <w:r w:rsidR="00612ED7" w:rsidRPr="00797EDC">
        <w:rPr>
          <w:rFonts w:ascii="Arial" w:hAnsi="Arial" w:cs="Arial"/>
          <w:snapToGrid w:val="0"/>
        </w:rPr>
        <w:t>.</w:t>
      </w:r>
    </w:p>
    <w:p w14:paraId="18ADA062" w14:textId="250810CA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</w:t>
      </w:r>
      <w:r w:rsidR="006C3D7B">
        <w:rPr>
          <w:rFonts w:ascii="Arial" w:hAnsi="Arial" w:cs="Arial"/>
          <w:snapToGrid w:val="0"/>
        </w:rPr>
        <w:t>Specifické p</w:t>
      </w:r>
      <w:r w:rsidR="00E92DBB" w:rsidRPr="00E92DBB">
        <w:rPr>
          <w:rFonts w:ascii="Arial" w:hAnsi="Arial" w:cs="Arial"/>
          <w:snapToGrid w:val="0"/>
        </w:rPr>
        <w:t xml:space="preserve">odmínky </w:t>
      </w:r>
      <w:r w:rsidR="006C3D7B">
        <w:rPr>
          <w:rFonts w:ascii="Arial" w:hAnsi="Arial" w:cs="Arial"/>
          <w:snapToGrid w:val="0"/>
        </w:rPr>
        <w:t xml:space="preserve">ČD – Telematika a.s. </w:t>
      </w:r>
      <w:r w:rsidR="00E92DBB" w:rsidRPr="00E92DBB">
        <w:rPr>
          <w:rFonts w:ascii="Arial" w:hAnsi="Arial" w:cs="Arial"/>
          <w:snapToGrid w:val="0"/>
        </w:rPr>
        <w:t xml:space="preserve">pro stavební činnosti v blízkosti komunikačních vedení ve vlastnictví ČD – Telematika </w:t>
      </w:r>
      <w:proofErr w:type="gramStart"/>
      <w:r w:rsidR="00E92DBB" w:rsidRPr="00E92DBB">
        <w:rPr>
          <w:rFonts w:ascii="Arial" w:hAnsi="Arial" w:cs="Arial"/>
          <w:snapToGrid w:val="0"/>
        </w:rPr>
        <w:t>a.s.</w:t>
      </w:r>
      <w:r w:rsidR="00835122">
        <w:rPr>
          <w:rFonts w:ascii="Arial" w:hAnsi="Arial" w:cs="Arial"/>
          <w:snapToGrid w:val="0"/>
        </w:rPr>
        <w:t>.</w:t>
      </w:r>
      <w:proofErr w:type="gramEnd"/>
    </w:p>
    <w:p w14:paraId="76B9A6A1" w14:textId="3C55371D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1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4B3A5E48" w14:textId="0B06C951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193FCA4C" w14:textId="6C029E6A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3F408CCB" w14:textId="3B843EE5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2A6610A7" w14:textId="5B6DB0BB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2899A665" w14:textId="7D9C6905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12D8A723" w14:textId="3DE7BF1E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1"/>
    </w:p>
    <w:p w14:paraId="7E9BB3F1" w14:textId="365320C8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E1D78CA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4120A0D0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6E27EB">
              <w:rPr>
                <w:rFonts w:ascii="Arial" w:hAnsi="Arial" w:cs="Arial"/>
              </w:rPr>
              <w:t>Pardubicích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55BA3662" w:rsidR="00383BE8" w:rsidRPr="00043DCF" w:rsidRDefault="006E27EB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Ředitelství silnic a dálnic </w:t>
            </w:r>
            <w:proofErr w:type="spellStart"/>
            <w:r>
              <w:rPr>
                <w:rFonts w:ascii="Arial" w:hAnsi="Arial" w:cs="Arial"/>
                <w:b/>
              </w:rPr>
              <w:t>s.p</w:t>
            </w:r>
            <w:proofErr w:type="spellEnd"/>
            <w:r>
              <w:rPr>
                <w:rFonts w:ascii="Arial" w:hAnsi="Arial" w:cs="Arial"/>
                <w:b/>
              </w:rPr>
              <w:t>. ČR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1BB3E1C1" w14:textId="77777777" w:rsidR="00383BE8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2330F29E" w14:textId="3462D933" w:rsidR="006E27EB" w:rsidRPr="00AC5BAE" w:rsidRDefault="006E27EB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00B828B" w14:textId="636A590B" w:rsidR="00965679" w:rsidRPr="00D2616B" w:rsidRDefault="00142CDD" w:rsidP="00B023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4A893D09" w14:textId="77777777" w:rsidR="006B5573" w:rsidRDefault="006E27EB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Správy Pardubice</w:t>
            </w:r>
          </w:p>
          <w:p w14:paraId="749BCE55" w14:textId="24A8DC78" w:rsidR="006E27EB" w:rsidRPr="00AC5BAE" w:rsidRDefault="006E27EB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  <w:tr w:rsidR="00660439" w:rsidRPr="00AC5BAE" w14:paraId="4CE8E963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5527FCCB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2573F2BD" w14:textId="77777777" w:rsidTr="00840BA4">
        <w:trPr>
          <w:gridAfter w:val="3"/>
          <w:wAfter w:w="5435" w:type="dxa"/>
          <w:trHeight w:val="1202"/>
          <w:jc w:val="center"/>
        </w:trPr>
        <w:tc>
          <w:tcPr>
            <w:tcW w:w="3654" w:type="dxa"/>
          </w:tcPr>
          <w:p w14:paraId="1E4E5050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7E3798A5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67DD0775" w14:textId="3EBC822E" w:rsidR="006E27EB" w:rsidRPr="00AC5BAE" w:rsidRDefault="006E27EB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0B7DEE6A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20D37" w16cex:dateUtc="2024-04-23T08:34:00Z"/>
  <w16cex:commentExtensible w16cex:durableId="29D20D4B" w16cex:dateUtc="2024-04-23T08:34:00Z"/>
  <w16cex:commentExtensible w16cex:durableId="29D20D91" w16cex:dateUtc="2024-04-23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EED9" w14:textId="77777777" w:rsidR="006E5FF7" w:rsidRDefault="006E5FF7">
      <w:r>
        <w:separator/>
      </w:r>
    </w:p>
  </w:endnote>
  <w:endnote w:type="continuationSeparator" w:id="0">
    <w:p w14:paraId="2050B951" w14:textId="77777777" w:rsidR="006E5FF7" w:rsidRDefault="006E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27D62" w14:textId="77777777" w:rsidR="006E5FF7" w:rsidRDefault="006E5FF7">
      <w:r>
        <w:separator/>
      </w:r>
    </w:p>
  </w:footnote>
  <w:footnote w:type="continuationSeparator" w:id="0">
    <w:p w14:paraId="6FF03595" w14:textId="77777777" w:rsidR="006E5FF7" w:rsidRDefault="006E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5DE3"/>
    <w:rsid w:val="000C65D9"/>
    <w:rsid w:val="000C7DD2"/>
    <w:rsid w:val="000D0C50"/>
    <w:rsid w:val="000E19FF"/>
    <w:rsid w:val="000F0AE9"/>
    <w:rsid w:val="001024D7"/>
    <w:rsid w:val="00103340"/>
    <w:rsid w:val="00110ACF"/>
    <w:rsid w:val="00111DDD"/>
    <w:rsid w:val="00113A3B"/>
    <w:rsid w:val="00117D50"/>
    <w:rsid w:val="00130CAC"/>
    <w:rsid w:val="00142B53"/>
    <w:rsid w:val="00142CDD"/>
    <w:rsid w:val="00151E57"/>
    <w:rsid w:val="001672CE"/>
    <w:rsid w:val="001740F9"/>
    <w:rsid w:val="00185377"/>
    <w:rsid w:val="001869E3"/>
    <w:rsid w:val="00186C03"/>
    <w:rsid w:val="00192691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07B1E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0D32"/>
    <w:rsid w:val="002716EB"/>
    <w:rsid w:val="002722F2"/>
    <w:rsid w:val="0028037B"/>
    <w:rsid w:val="00282288"/>
    <w:rsid w:val="0028798F"/>
    <w:rsid w:val="00295FC9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27B55"/>
    <w:rsid w:val="003344E5"/>
    <w:rsid w:val="0033479A"/>
    <w:rsid w:val="00334F8E"/>
    <w:rsid w:val="00343953"/>
    <w:rsid w:val="003544F5"/>
    <w:rsid w:val="0036416A"/>
    <w:rsid w:val="003650B7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931FD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19E7"/>
    <w:rsid w:val="004E1E8F"/>
    <w:rsid w:val="004E358B"/>
    <w:rsid w:val="004E4C3B"/>
    <w:rsid w:val="004E729F"/>
    <w:rsid w:val="004F58A9"/>
    <w:rsid w:val="00510C7D"/>
    <w:rsid w:val="00513E3B"/>
    <w:rsid w:val="0051420E"/>
    <w:rsid w:val="00514834"/>
    <w:rsid w:val="00520676"/>
    <w:rsid w:val="005219D4"/>
    <w:rsid w:val="005221E0"/>
    <w:rsid w:val="00523DE3"/>
    <w:rsid w:val="00534975"/>
    <w:rsid w:val="00536C6C"/>
    <w:rsid w:val="00541FCB"/>
    <w:rsid w:val="00552FD0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2ED7"/>
    <w:rsid w:val="00616357"/>
    <w:rsid w:val="006202A0"/>
    <w:rsid w:val="0062675D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4BF2"/>
    <w:rsid w:val="00695B14"/>
    <w:rsid w:val="006A379B"/>
    <w:rsid w:val="006B5573"/>
    <w:rsid w:val="006C3D7B"/>
    <w:rsid w:val="006D08FB"/>
    <w:rsid w:val="006D7640"/>
    <w:rsid w:val="006E27EB"/>
    <w:rsid w:val="006E5FF7"/>
    <w:rsid w:val="006E78E8"/>
    <w:rsid w:val="006F3720"/>
    <w:rsid w:val="006F4B1C"/>
    <w:rsid w:val="00703895"/>
    <w:rsid w:val="007063F4"/>
    <w:rsid w:val="00706BF3"/>
    <w:rsid w:val="00707D07"/>
    <w:rsid w:val="007143DB"/>
    <w:rsid w:val="00716967"/>
    <w:rsid w:val="00725B4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44A0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17F64"/>
    <w:rsid w:val="008236D8"/>
    <w:rsid w:val="008272B5"/>
    <w:rsid w:val="00831E72"/>
    <w:rsid w:val="00835122"/>
    <w:rsid w:val="00840BA4"/>
    <w:rsid w:val="00841556"/>
    <w:rsid w:val="00846040"/>
    <w:rsid w:val="008465F8"/>
    <w:rsid w:val="0085014B"/>
    <w:rsid w:val="00851769"/>
    <w:rsid w:val="00855C82"/>
    <w:rsid w:val="00864C42"/>
    <w:rsid w:val="008663B5"/>
    <w:rsid w:val="00872895"/>
    <w:rsid w:val="00885CF0"/>
    <w:rsid w:val="00890D6B"/>
    <w:rsid w:val="008A149B"/>
    <w:rsid w:val="008A1A86"/>
    <w:rsid w:val="008A3DB2"/>
    <w:rsid w:val="008B727C"/>
    <w:rsid w:val="008B745E"/>
    <w:rsid w:val="008C0185"/>
    <w:rsid w:val="008D265D"/>
    <w:rsid w:val="008D703F"/>
    <w:rsid w:val="008E6A49"/>
    <w:rsid w:val="008E6CC9"/>
    <w:rsid w:val="008F5891"/>
    <w:rsid w:val="009060A4"/>
    <w:rsid w:val="0090628C"/>
    <w:rsid w:val="0090679C"/>
    <w:rsid w:val="0091649D"/>
    <w:rsid w:val="0093102D"/>
    <w:rsid w:val="00931A96"/>
    <w:rsid w:val="00935B36"/>
    <w:rsid w:val="00937CF3"/>
    <w:rsid w:val="0094625A"/>
    <w:rsid w:val="009470AF"/>
    <w:rsid w:val="00964E15"/>
    <w:rsid w:val="00965679"/>
    <w:rsid w:val="009737F9"/>
    <w:rsid w:val="0097442F"/>
    <w:rsid w:val="009852EE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2169"/>
    <w:rsid w:val="00A2378E"/>
    <w:rsid w:val="00A3087D"/>
    <w:rsid w:val="00A3153D"/>
    <w:rsid w:val="00A31AD4"/>
    <w:rsid w:val="00A33112"/>
    <w:rsid w:val="00A35F42"/>
    <w:rsid w:val="00A420E3"/>
    <w:rsid w:val="00A4688D"/>
    <w:rsid w:val="00A46B8E"/>
    <w:rsid w:val="00A50544"/>
    <w:rsid w:val="00A55717"/>
    <w:rsid w:val="00A60CF6"/>
    <w:rsid w:val="00A73757"/>
    <w:rsid w:val="00A76E31"/>
    <w:rsid w:val="00A8265E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07AFA"/>
    <w:rsid w:val="00B1121A"/>
    <w:rsid w:val="00B22E37"/>
    <w:rsid w:val="00B26372"/>
    <w:rsid w:val="00B33305"/>
    <w:rsid w:val="00B40379"/>
    <w:rsid w:val="00B4304D"/>
    <w:rsid w:val="00B43697"/>
    <w:rsid w:val="00B43B10"/>
    <w:rsid w:val="00B56942"/>
    <w:rsid w:val="00B62CB9"/>
    <w:rsid w:val="00B64DDC"/>
    <w:rsid w:val="00B73203"/>
    <w:rsid w:val="00B749A0"/>
    <w:rsid w:val="00B77DC7"/>
    <w:rsid w:val="00B86C39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17FC"/>
    <w:rsid w:val="00C53A93"/>
    <w:rsid w:val="00C575F2"/>
    <w:rsid w:val="00C65430"/>
    <w:rsid w:val="00C6750B"/>
    <w:rsid w:val="00C73906"/>
    <w:rsid w:val="00C825AA"/>
    <w:rsid w:val="00C8408D"/>
    <w:rsid w:val="00C969A2"/>
    <w:rsid w:val="00CA3344"/>
    <w:rsid w:val="00CA69F0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2616B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068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59D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2DBB"/>
    <w:rsid w:val="00E969A7"/>
    <w:rsid w:val="00EB3F3A"/>
    <w:rsid w:val="00EC51F1"/>
    <w:rsid w:val="00EC531C"/>
    <w:rsid w:val="00EC70B6"/>
    <w:rsid w:val="00EC75C6"/>
    <w:rsid w:val="00ED1E3A"/>
    <w:rsid w:val="00EF1438"/>
    <w:rsid w:val="00EF36DB"/>
    <w:rsid w:val="00EF77D5"/>
    <w:rsid w:val="00F07A8B"/>
    <w:rsid w:val="00F115EF"/>
    <w:rsid w:val="00F1300C"/>
    <w:rsid w:val="00F20FAC"/>
    <w:rsid w:val="00F31BD7"/>
    <w:rsid w:val="00F320E6"/>
    <w:rsid w:val="00F36615"/>
    <w:rsid w:val="00F42582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93A6E"/>
    <w:rsid w:val="00F94545"/>
    <w:rsid w:val="00F9575A"/>
    <w:rsid w:val="00F97236"/>
    <w:rsid w:val="00FA3039"/>
    <w:rsid w:val="00FA3652"/>
    <w:rsid w:val="00FA7A99"/>
    <w:rsid w:val="00FC6193"/>
    <w:rsid w:val="00FD1776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ZZYZ6ETXZ7ZF-1833563063-4474527</_dlc_DocId>
    <_dlc_DocIdUrl xmlns="cc240bed-3c1d-40e6-b61a-03885149955e">
      <Url>https://crmshare.cdt.cz/_layouts/15/DocIdRedir.aspx?ID=ZZYZ6ETXZ7ZF-1833563063-4474527</Url>
      <Description>ZZYZ6ETXZ7ZF-1833563063-4474527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316844-BCF0-4C36-A187-4A049B7D25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3D2257-E95F-454C-ADE4-B8160A736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7EB0E-4FED-4DC8-A8ED-2965F4DE246C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c240bed-3c1d-40e6-b61a-03885149955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3C82DA-0227-425A-A017-5B79ECFD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713B1E-6365-4F67-A4AF-8467B67F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1</TotalTime>
  <Pages>7</Pages>
  <Words>3152</Words>
  <Characters>18188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Lamichová Lenka</cp:lastModifiedBy>
  <cp:revision>2</cp:revision>
  <cp:lastPrinted>2018-08-20T12:12:00Z</cp:lastPrinted>
  <dcterms:created xsi:type="dcterms:W3CDTF">2024-05-29T08:06:00Z</dcterms:created>
  <dcterms:modified xsi:type="dcterms:W3CDTF">2024-05-29T08:06:00Z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f157f50e-4dcc-4c14-bd85-72a931cf17a4</vt:lpwstr>
  </property>
</Properties>
</file>