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471FC" w14:textId="77777777" w:rsidR="007E144D" w:rsidRDefault="007E144D" w:rsidP="00F31EB4">
      <w:pPr>
        <w:jc w:val="right"/>
      </w:pPr>
    </w:p>
    <w:p w14:paraId="18C57AA9" w14:textId="77777777" w:rsidR="00FB2B5D" w:rsidRPr="006368D9" w:rsidRDefault="001C6E44" w:rsidP="00F31EB4">
      <w:pPr>
        <w:jc w:val="right"/>
      </w:pPr>
      <w:r>
        <w:rPr>
          <w:noProof/>
        </w:rPr>
        <w:pict w14:anchorId="7662E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5_Kooperativa_RGB" style="position:absolute;left:0;text-align:left;margin-left:-14.45pt;margin-top:.3pt;width:149.25pt;height:96.75pt;z-index:251657728;visibility:visible">
            <v:imagedata r:id="rId11" o:title=""/>
            <w10:wrap type="square"/>
          </v:shape>
        </w:pict>
      </w:r>
    </w:p>
    <w:p w14:paraId="6AFF5C04" w14:textId="77777777" w:rsidR="00FB2B5D" w:rsidRPr="006368D9" w:rsidRDefault="00FB2B5D" w:rsidP="00D7357B">
      <w:pPr>
        <w:pStyle w:val="Zkladntext32"/>
        <w:tabs>
          <w:tab w:val="left" w:pos="7740"/>
        </w:tabs>
        <w:spacing w:line="240" w:lineRule="auto"/>
        <w:rPr>
          <w:rFonts w:ascii="Koop Office" w:hAnsi="Koop Office" w:cs="Arial"/>
          <w:b/>
          <w:bCs/>
          <w:i/>
        </w:rPr>
      </w:pPr>
    </w:p>
    <w:p w14:paraId="6179EF40" w14:textId="77777777" w:rsidR="00FB2B5D" w:rsidRPr="006368D9" w:rsidRDefault="00FB2B5D" w:rsidP="00D7357B">
      <w:pPr>
        <w:pStyle w:val="Zkladntext32"/>
        <w:tabs>
          <w:tab w:val="left" w:pos="7740"/>
        </w:tabs>
        <w:spacing w:line="240" w:lineRule="auto"/>
        <w:rPr>
          <w:rFonts w:ascii="Koop Office" w:hAnsi="Koop Office" w:cs="Arial"/>
          <w:b/>
          <w:bCs/>
          <w:i/>
        </w:rPr>
      </w:pPr>
    </w:p>
    <w:p w14:paraId="1DDC5660" w14:textId="77777777" w:rsidR="00FB2B5D" w:rsidRPr="006368D9" w:rsidRDefault="00FB2B5D" w:rsidP="00D7357B">
      <w:pPr>
        <w:pStyle w:val="Zkladntext32"/>
        <w:tabs>
          <w:tab w:val="left" w:pos="7740"/>
        </w:tabs>
        <w:spacing w:line="240" w:lineRule="auto"/>
        <w:rPr>
          <w:rFonts w:ascii="Koop Office" w:hAnsi="Koop Office" w:cs="Arial"/>
          <w:b/>
          <w:bCs/>
          <w:i/>
        </w:rPr>
      </w:pPr>
    </w:p>
    <w:p w14:paraId="28EA5879" w14:textId="77777777" w:rsidR="00FB2B5D" w:rsidRPr="006368D9" w:rsidRDefault="00FB2B5D" w:rsidP="00D7357B">
      <w:pPr>
        <w:pStyle w:val="Zkladntext32"/>
        <w:tabs>
          <w:tab w:val="left" w:pos="7740"/>
        </w:tabs>
        <w:spacing w:line="240" w:lineRule="auto"/>
        <w:rPr>
          <w:rFonts w:ascii="Koop Office" w:hAnsi="Koop Office" w:cs="Arial"/>
          <w:b/>
          <w:bCs/>
          <w:i/>
        </w:rPr>
      </w:pPr>
    </w:p>
    <w:p w14:paraId="4150EB41" w14:textId="77777777" w:rsidR="00FB2B5D" w:rsidRPr="006368D9" w:rsidRDefault="00FB2B5D" w:rsidP="00D7357B">
      <w:pPr>
        <w:pStyle w:val="Zkladntext32"/>
        <w:tabs>
          <w:tab w:val="left" w:pos="7740"/>
        </w:tabs>
        <w:spacing w:line="240" w:lineRule="auto"/>
        <w:rPr>
          <w:rFonts w:ascii="Koop Office" w:hAnsi="Koop Office" w:cs="Arial"/>
          <w:b/>
          <w:bCs/>
          <w:i/>
        </w:rPr>
      </w:pPr>
    </w:p>
    <w:p w14:paraId="585DF986" w14:textId="77777777" w:rsidR="00FB2B5D" w:rsidRPr="006368D9" w:rsidRDefault="00FB2B5D" w:rsidP="00D7357B">
      <w:pPr>
        <w:pStyle w:val="Zkladntext32"/>
        <w:tabs>
          <w:tab w:val="left" w:pos="7740"/>
        </w:tabs>
        <w:spacing w:line="240" w:lineRule="auto"/>
        <w:rPr>
          <w:rFonts w:ascii="Koop Office" w:hAnsi="Koop Office" w:cs="Arial"/>
          <w:b/>
          <w:bCs/>
          <w:i/>
        </w:rPr>
      </w:pPr>
    </w:p>
    <w:p w14:paraId="283A6C83" w14:textId="77777777" w:rsidR="00FB2B5D" w:rsidRPr="006368D9" w:rsidRDefault="00FB2B5D" w:rsidP="00D7357B">
      <w:pPr>
        <w:ind w:left="600"/>
        <w:rPr>
          <w:rFonts w:cs="Arial"/>
          <w:color w:val="FF0000"/>
          <w:sz w:val="24"/>
        </w:rPr>
      </w:pPr>
    </w:p>
    <w:p w14:paraId="6461A778" w14:textId="2E73072C" w:rsidR="00623AFC" w:rsidRPr="008E4270" w:rsidRDefault="007D70A8" w:rsidP="00623AFC">
      <w:pPr>
        <w:spacing w:before="120"/>
        <w:rPr>
          <w:rFonts w:cs="Arial"/>
          <w:b/>
          <w:spacing w:val="20"/>
          <w:sz w:val="32"/>
        </w:rPr>
      </w:pPr>
      <w:bookmarkStart w:id="0" w:name="Priloha_1"/>
      <w:bookmarkEnd w:id="0"/>
      <w:r>
        <w:rPr>
          <w:rFonts w:cs="Arial"/>
          <w:b/>
          <w:spacing w:val="20"/>
          <w:sz w:val="32"/>
        </w:rPr>
        <w:t>Pojistná smlouva č. 7721177253</w:t>
      </w:r>
    </w:p>
    <w:p w14:paraId="3C8F058F" w14:textId="1B534CE3" w:rsidR="00623AFC" w:rsidRPr="008E4270" w:rsidRDefault="00623AFC" w:rsidP="00876433">
      <w:pPr>
        <w:rPr>
          <w:rFonts w:cs="Arial"/>
          <w:b/>
          <w:spacing w:val="20"/>
          <w:sz w:val="32"/>
        </w:rPr>
      </w:pPr>
    </w:p>
    <w:p w14:paraId="65B971AF" w14:textId="77777777" w:rsidR="006356C9" w:rsidRPr="008E4270" w:rsidRDefault="006356C9" w:rsidP="00876433">
      <w:pPr>
        <w:rPr>
          <w:rFonts w:cs="Arial"/>
          <w:b/>
          <w:spacing w:val="20"/>
          <w:sz w:val="32"/>
        </w:rPr>
      </w:pPr>
    </w:p>
    <w:p w14:paraId="55D51FE8" w14:textId="77777777" w:rsidR="00876433" w:rsidRPr="008E4270" w:rsidRDefault="00876433" w:rsidP="00876433">
      <w:pPr>
        <w:rPr>
          <w:rFonts w:cs="Arial"/>
          <w:b/>
          <w:spacing w:val="20"/>
          <w:sz w:val="32"/>
        </w:rPr>
      </w:pPr>
      <w:r w:rsidRPr="008E4270">
        <w:rPr>
          <w:rFonts w:cs="Arial"/>
          <w:b/>
          <w:spacing w:val="20"/>
          <w:sz w:val="32"/>
        </w:rPr>
        <w:t>Kooperativa pojišťovna, a.s., Vienna Insurance Group</w:t>
      </w:r>
    </w:p>
    <w:p w14:paraId="6C35E2C4" w14:textId="77777777" w:rsidR="00876433" w:rsidRPr="008E4270" w:rsidRDefault="00876433" w:rsidP="00876433">
      <w:pPr>
        <w:spacing w:before="60"/>
        <w:rPr>
          <w:rFonts w:cs="Arial"/>
          <w:b/>
          <w:sz w:val="20"/>
          <w:szCs w:val="20"/>
        </w:rPr>
      </w:pPr>
      <w:r w:rsidRPr="008E4270">
        <w:rPr>
          <w:rFonts w:cs="Arial"/>
          <w:b/>
          <w:sz w:val="20"/>
          <w:szCs w:val="20"/>
        </w:rPr>
        <w:t xml:space="preserve">se sídlem: Praha 8, Pobřežní 665/21, PSČ 186 00, Česká republika </w:t>
      </w:r>
    </w:p>
    <w:p w14:paraId="6A497116" w14:textId="77777777" w:rsidR="00876433" w:rsidRPr="008E4270" w:rsidRDefault="00876433" w:rsidP="00876433">
      <w:pPr>
        <w:spacing w:before="60"/>
        <w:rPr>
          <w:rFonts w:cs="Arial"/>
          <w:b/>
          <w:sz w:val="20"/>
          <w:szCs w:val="20"/>
        </w:rPr>
      </w:pPr>
      <w:r w:rsidRPr="008E4270">
        <w:rPr>
          <w:rFonts w:cs="Arial"/>
          <w:b/>
          <w:sz w:val="20"/>
          <w:szCs w:val="20"/>
        </w:rPr>
        <w:t>IČO: 47116617</w:t>
      </w:r>
    </w:p>
    <w:p w14:paraId="1E844AD0" w14:textId="77777777" w:rsidR="00876433" w:rsidRPr="008E4270" w:rsidRDefault="00876433" w:rsidP="00876433">
      <w:pPr>
        <w:spacing w:before="60"/>
        <w:rPr>
          <w:rFonts w:cs="Arial"/>
          <w:sz w:val="20"/>
          <w:szCs w:val="20"/>
        </w:rPr>
      </w:pPr>
      <w:r w:rsidRPr="008E4270">
        <w:rPr>
          <w:rFonts w:cs="Arial"/>
          <w:sz w:val="20"/>
          <w:szCs w:val="20"/>
        </w:rPr>
        <w:t xml:space="preserve">zapsaná v obchodním rejstříku u Městského soudu v Praze, </w:t>
      </w:r>
      <w:proofErr w:type="spellStart"/>
      <w:r w:rsidRPr="008E4270">
        <w:rPr>
          <w:rFonts w:cs="Arial"/>
          <w:sz w:val="20"/>
          <w:szCs w:val="20"/>
        </w:rPr>
        <w:t>sp</w:t>
      </w:r>
      <w:proofErr w:type="spellEnd"/>
      <w:r w:rsidRPr="008E4270">
        <w:rPr>
          <w:rFonts w:cs="Arial"/>
          <w:sz w:val="20"/>
          <w:szCs w:val="20"/>
        </w:rPr>
        <w:t>. zn. B 1897</w:t>
      </w:r>
    </w:p>
    <w:p w14:paraId="5436BDAA" w14:textId="77777777" w:rsidR="00876433" w:rsidRPr="008E4270" w:rsidRDefault="00876433" w:rsidP="00876433">
      <w:pPr>
        <w:rPr>
          <w:rFonts w:cs="Arial"/>
          <w:sz w:val="20"/>
          <w:szCs w:val="20"/>
        </w:rPr>
      </w:pPr>
      <w:r w:rsidRPr="008E4270">
        <w:rPr>
          <w:rFonts w:cs="Arial"/>
          <w:sz w:val="20"/>
          <w:szCs w:val="20"/>
        </w:rPr>
        <w:t>(dále jen „</w:t>
      </w:r>
      <w:r w:rsidRPr="008E4270">
        <w:rPr>
          <w:rFonts w:cs="Arial"/>
          <w:b/>
          <w:sz w:val="20"/>
          <w:szCs w:val="20"/>
        </w:rPr>
        <w:t>pojistitel</w:t>
      </w:r>
      <w:r w:rsidRPr="008E4270">
        <w:rPr>
          <w:rFonts w:cs="Arial"/>
          <w:sz w:val="20"/>
          <w:szCs w:val="20"/>
        </w:rPr>
        <w:t>“),</w:t>
      </w:r>
    </w:p>
    <w:p w14:paraId="53171420" w14:textId="77777777" w:rsidR="00876433" w:rsidRPr="008E4270" w:rsidRDefault="00876433" w:rsidP="00876433">
      <w:pPr>
        <w:pStyle w:val="Zkladntextodsazen3"/>
        <w:spacing w:before="60" w:after="0"/>
        <w:ind w:left="0"/>
        <w:rPr>
          <w:rFonts w:ascii="Koop Office" w:hAnsi="Koop Office" w:cs="Arial"/>
          <w:sz w:val="20"/>
          <w:szCs w:val="20"/>
        </w:rPr>
      </w:pPr>
      <w:r w:rsidRPr="008E4270">
        <w:rPr>
          <w:rFonts w:ascii="Koop Office" w:hAnsi="Koop Office" w:cs="Arial"/>
          <w:sz w:val="20"/>
          <w:szCs w:val="20"/>
        </w:rPr>
        <w:t>zastoupený na základě zmocnění níže podepsanými osobami.</w:t>
      </w:r>
    </w:p>
    <w:p w14:paraId="376BE2A5" w14:textId="77777777" w:rsidR="00876433" w:rsidRPr="008E4270" w:rsidRDefault="00876433" w:rsidP="00876433">
      <w:pPr>
        <w:spacing w:before="60"/>
        <w:ind w:left="993" w:hanging="993"/>
        <w:rPr>
          <w:rFonts w:cs="Arial"/>
          <w:sz w:val="20"/>
        </w:rPr>
      </w:pPr>
      <w:r w:rsidRPr="008E4270">
        <w:rPr>
          <w:rFonts w:cs="Arial"/>
          <w:sz w:val="20"/>
          <w:szCs w:val="20"/>
        </w:rPr>
        <w:t>Pracoviště:</w:t>
      </w:r>
      <w:r w:rsidRPr="008E4270">
        <w:rPr>
          <w:rFonts w:cs="Arial"/>
          <w:sz w:val="20"/>
          <w:szCs w:val="20"/>
        </w:rPr>
        <w:tab/>
        <w:t>Kooperativa pojišťovna</w:t>
      </w:r>
      <w:r w:rsidRPr="008E4270">
        <w:rPr>
          <w:rFonts w:cs="Arial"/>
          <w:sz w:val="20"/>
        </w:rPr>
        <w:t xml:space="preserve">, a.s., Vienna Insurance Group, </w:t>
      </w:r>
      <w:r w:rsidR="00623AFC" w:rsidRPr="008E4270">
        <w:rPr>
          <w:rFonts w:cs="Arial"/>
          <w:sz w:val="20"/>
        </w:rPr>
        <w:t>Pobřežní 665/21</w:t>
      </w:r>
      <w:r w:rsidRPr="008E4270">
        <w:rPr>
          <w:rFonts w:cs="Arial"/>
          <w:sz w:val="20"/>
        </w:rPr>
        <w:t xml:space="preserve">, Praha </w:t>
      </w:r>
      <w:r w:rsidR="00623AFC" w:rsidRPr="008E4270">
        <w:rPr>
          <w:rFonts w:cs="Arial"/>
          <w:sz w:val="20"/>
        </w:rPr>
        <w:t>8</w:t>
      </w:r>
      <w:r w:rsidRPr="008E4270">
        <w:rPr>
          <w:rFonts w:cs="Arial"/>
          <w:sz w:val="20"/>
        </w:rPr>
        <w:t>, PSČ 1</w:t>
      </w:r>
      <w:r w:rsidR="00623AFC" w:rsidRPr="008E4270">
        <w:rPr>
          <w:rFonts w:cs="Arial"/>
          <w:sz w:val="20"/>
        </w:rPr>
        <w:t>86</w:t>
      </w:r>
      <w:r w:rsidRPr="008E4270">
        <w:rPr>
          <w:rFonts w:cs="Arial"/>
          <w:sz w:val="20"/>
        </w:rPr>
        <w:t xml:space="preserve"> 00, </w:t>
      </w:r>
      <w:r w:rsidRPr="008E4270">
        <w:rPr>
          <w:sz w:val="20"/>
        </w:rPr>
        <w:t>Česká republika</w:t>
      </w:r>
      <w:r w:rsidRPr="008E4270">
        <w:rPr>
          <w:rFonts w:cs="Arial"/>
          <w:sz w:val="20"/>
        </w:rPr>
        <w:t>.</w:t>
      </w:r>
    </w:p>
    <w:p w14:paraId="40E2B7AC" w14:textId="77777777" w:rsidR="00876433" w:rsidRPr="008E4270" w:rsidRDefault="00876433" w:rsidP="00876433">
      <w:pPr>
        <w:pStyle w:val="Zkladntext32"/>
        <w:tabs>
          <w:tab w:val="clear" w:pos="-720"/>
        </w:tabs>
        <w:spacing w:line="240" w:lineRule="auto"/>
        <w:rPr>
          <w:rFonts w:ascii="Koop Office" w:hAnsi="Koop Office" w:cs="Arial"/>
        </w:rPr>
      </w:pPr>
    </w:p>
    <w:p w14:paraId="3683081A" w14:textId="6694077A" w:rsidR="006356C9" w:rsidRPr="008E4270" w:rsidRDefault="006356C9" w:rsidP="00300523">
      <w:pPr>
        <w:pStyle w:val="Zkladntext32"/>
        <w:tabs>
          <w:tab w:val="clear" w:pos="-720"/>
        </w:tabs>
        <w:spacing w:line="240" w:lineRule="auto"/>
        <w:rPr>
          <w:rFonts w:ascii="Koop Office" w:hAnsi="Koop Office" w:cs="Arial"/>
        </w:rPr>
      </w:pPr>
      <w:r w:rsidRPr="008E4270">
        <w:rPr>
          <w:rFonts w:ascii="Koop Office" w:hAnsi="Koop Office" w:cs="Arial"/>
        </w:rPr>
        <w:t>a</w:t>
      </w:r>
    </w:p>
    <w:p w14:paraId="0EA2407A" w14:textId="77777777" w:rsidR="00876433" w:rsidRPr="008E4270" w:rsidRDefault="00876433" w:rsidP="00876433">
      <w:pPr>
        <w:rPr>
          <w:spacing w:val="20"/>
          <w:sz w:val="20"/>
          <w:szCs w:val="20"/>
        </w:rPr>
      </w:pPr>
    </w:p>
    <w:p w14:paraId="01903B47" w14:textId="7E9F7333" w:rsidR="00876433" w:rsidRPr="008E4270" w:rsidRDefault="00623AFC" w:rsidP="00876433">
      <w:pPr>
        <w:rPr>
          <w:rFonts w:cs="Arial"/>
          <w:b/>
          <w:spacing w:val="20"/>
          <w:sz w:val="32"/>
        </w:rPr>
      </w:pPr>
      <w:r w:rsidRPr="008E4270">
        <w:rPr>
          <w:rFonts w:cs="Arial"/>
          <w:b/>
          <w:spacing w:val="20"/>
          <w:sz w:val="32"/>
        </w:rPr>
        <w:t xml:space="preserve">Město </w:t>
      </w:r>
      <w:r w:rsidR="0011071F" w:rsidRPr="008E4270">
        <w:rPr>
          <w:rFonts w:cs="Arial"/>
          <w:b/>
          <w:spacing w:val="20"/>
          <w:sz w:val="32"/>
        </w:rPr>
        <w:t>Rakovník</w:t>
      </w:r>
    </w:p>
    <w:p w14:paraId="153EB3B0" w14:textId="195595F5" w:rsidR="00876433" w:rsidRPr="008E4270" w:rsidRDefault="00876433" w:rsidP="00876433">
      <w:pPr>
        <w:spacing w:before="60"/>
        <w:jc w:val="both"/>
        <w:rPr>
          <w:rFonts w:cs="Arial"/>
          <w:b/>
          <w:sz w:val="20"/>
          <w:szCs w:val="20"/>
        </w:rPr>
      </w:pPr>
      <w:r w:rsidRPr="008E4270">
        <w:rPr>
          <w:rFonts w:cs="Arial"/>
          <w:b/>
          <w:sz w:val="20"/>
          <w:szCs w:val="20"/>
        </w:rPr>
        <w:t xml:space="preserve">se sídlem: </w:t>
      </w:r>
      <w:r w:rsidR="0011071F" w:rsidRPr="008E4270">
        <w:rPr>
          <w:rFonts w:cs="Arial"/>
          <w:b/>
          <w:sz w:val="20"/>
          <w:szCs w:val="20"/>
        </w:rPr>
        <w:t>Rakovník</w:t>
      </w:r>
      <w:r w:rsidR="00505BD8" w:rsidRPr="008E4270">
        <w:rPr>
          <w:rFonts w:cs="Arial"/>
          <w:b/>
          <w:sz w:val="20"/>
          <w:szCs w:val="20"/>
        </w:rPr>
        <w:t>,</w:t>
      </w:r>
      <w:r w:rsidR="00D45119" w:rsidRPr="008E4270">
        <w:rPr>
          <w:rFonts w:cs="Arial"/>
          <w:b/>
          <w:sz w:val="20"/>
          <w:szCs w:val="20"/>
        </w:rPr>
        <w:t xml:space="preserve"> Rakovník I</w:t>
      </w:r>
      <w:r w:rsidR="0011071F" w:rsidRPr="008E4270">
        <w:rPr>
          <w:rFonts w:cs="Arial"/>
          <w:b/>
          <w:sz w:val="20"/>
          <w:szCs w:val="20"/>
        </w:rPr>
        <w:t>, Husovo náměstí</w:t>
      </w:r>
      <w:r w:rsidR="006356C9" w:rsidRPr="008E4270">
        <w:rPr>
          <w:rFonts w:cs="Arial"/>
          <w:b/>
          <w:sz w:val="20"/>
          <w:szCs w:val="20"/>
        </w:rPr>
        <w:t xml:space="preserve"> 2</w:t>
      </w:r>
      <w:r w:rsidR="0011071F" w:rsidRPr="008E4270">
        <w:rPr>
          <w:rFonts w:cs="Arial"/>
          <w:b/>
          <w:sz w:val="20"/>
          <w:szCs w:val="20"/>
        </w:rPr>
        <w:t>7</w:t>
      </w:r>
      <w:r w:rsidRPr="008E4270">
        <w:rPr>
          <w:rFonts w:cs="Arial"/>
          <w:b/>
          <w:sz w:val="20"/>
          <w:szCs w:val="20"/>
        </w:rPr>
        <w:t xml:space="preserve">, PSČ </w:t>
      </w:r>
      <w:r w:rsidR="0011071F" w:rsidRPr="008E4270">
        <w:rPr>
          <w:rFonts w:cs="Arial"/>
          <w:b/>
          <w:sz w:val="20"/>
          <w:szCs w:val="20"/>
        </w:rPr>
        <w:t>269 01</w:t>
      </w:r>
      <w:r w:rsidRPr="008E4270">
        <w:rPr>
          <w:rFonts w:cs="Arial"/>
          <w:b/>
          <w:sz w:val="20"/>
          <w:szCs w:val="20"/>
        </w:rPr>
        <w:t>, Česká republika</w:t>
      </w:r>
    </w:p>
    <w:p w14:paraId="218036D0" w14:textId="4919BDD7" w:rsidR="00876433" w:rsidRPr="008E4270" w:rsidRDefault="00876433" w:rsidP="00876433">
      <w:pPr>
        <w:pStyle w:val="Zkladntext3"/>
        <w:spacing w:before="60" w:after="0"/>
        <w:rPr>
          <w:rFonts w:ascii="Koop Office" w:hAnsi="Koop Office" w:cs="Arial"/>
          <w:b/>
          <w:sz w:val="20"/>
          <w:szCs w:val="20"/>
        </w:rPr>
      </w:pPr>
      <w:r w:rsidRPr="008E4270">
        <w:rPr>
          <w:rFonts w:ascii="Koop Office" w:hAnsi="Koop Office" w:cs="Arial"/>
          <w:b/>
          <w:sz w:val="20"/>
          <w:szCs w:val="20"/>
        </w:rPr>
        <w:t xml:space="preserve">IČO: </w:t>
      </w:r>
      <w:r w:rsidR="00874F98" w:rsidRPr="008E4270">
        <w:rPr>
          <w:rFonts w:ascii="Koop Office" w:hAnsi="Koop Office" w:cs="Arial"/>
          <w:b/>
          <w:sz w:val="20"/>
          <w:szCs w:val="20"/>
        </w:rPr>
        <w:t>00</w:t>
      </w:r>
      <w:r w:rsidR="0011071F" w:rsidRPr="008E4270">
        <w:rPr>
          <w:rFonts w:ascii="Koop Office" w:hAnsi="Koop Office" w:cs="Arial"/>
          <w:b/>
          <w:sz w:val="20"/>
          <w:szCs w:val="20"/>
        </w:rPr>
        <w:t>244309</w:t>
      </w:r>
    </w:p>
    <w:p w14:paraId="4EC3A0AB" w14:textId="77777777" w:rsidR="00876433" w:rsidRPr="008E4270" w:rsidRDefault="00876433" w:rsidP="00876433">
      <w:pPr>
        <w:spacing w:before="60"/>
        <w:rPr>
          <w:sz w:val="20"/>
          <w:szCs w:val="20"/>
        </w:rPr>
      </w:pPr>
      <w:r w:rsidRPr="008E4270">
        <w:rPr>
          <w:rFonts w:cs="Arial"/>
          <w:bCs/>
          <w:sz w:val="20"/>
          <w:szCs w:val="20"/>
        </w:rPr>
        <w:t xml:space="preserve">(dále jen </w:t>
      </w:r>
      <w:r w:rsidRPr="008E4270">
        <w:rPr>
          <w:rFonts w:cs="Arial"/>
          <w:sz w:val="20"/>
          <w:szCs w:val="20"/>
        </w:rPr>
        <w:t>„</w:t>
      </w:r>
      <w:r w:rsidRPr="008E4270">
        <w:rPr>
          <w:rFonts w:cs="Arial"/>
          <w:b/>
          <w:sz w:val="20"/>
          <w:szCs w:val="20"/>
        </w:rPr>
        <w:t>pojistník</w:t>
      </w:r>
      <w:r w:rsidRPr="008E4270">
        <w:rPr>
          <w:rFonts w:cs="Arial"/>
          <w:sz w:val="20"/>
          <w:szCs w:val="20"/>
        </w:rPr>
        <w:t>”</w:t>
      </w:r>
      <w:r w:rsidRPr="008E4270">
        <w:rPr>
          <w:rFonts w:cs="Arial"/>
          <w:bCs/>
          <w:sz w:val="20"/>
          <w:szCs w:val="20"/>
        </w:rPr>
        <w:t>),</w:t>
      </w:r>
    </w:p>
    <w:p w14:paraId="41F78CCF" w14:textId="04433A66" w:rsidR="00876433" w:rsidRPr="008E4270" w:rsidRDefault="00876433" w:rsidP="00876433">
      <w:pPr>
        <w:tabs>
          <w:tab w:val="left" w:pos="1134"/>
        </w:tabs>
        <w:spacing w:before="60"/>
        <w:jc w:val="both"/>
        <w:rPr>
          <w:rFonts w:cs="Arial"/>
          <w:bCs/>
          <w:sz w:val="20"/>
        </w:rPr>
      </w:pPr>
      <w:r w:rsidRPr="008E4270">
        <w:rPr>
          <w:rFonts w:cs="Arial"/>
          <w:sz w:val="20"/>
          <w:szCs w:val="20"/>
        </w:rPr>
        <w:t xml:space="preserve">zastoupený </w:t>
      </w:r>
      <w:r w:rsidR="0011071F" w:rsidRPr="008E4270">
        <w:rPr>
          <w:rFonts w:cs="Arial"/>
          <w:sz w:val="20"/>
          <w:szCs w:val="20"/>
        </w:rPr>
        <w:t>PaedDr. Luďkem Štíbrem</w:t>
      </w:r>
      <w:r w:rsidRPr="008E4270">
        <w:rPr>
          <w:rFonts w:cs="Arial"/>
          <w:sz w:val="20"/>
          <w:szCs w:val="20"/>
        </w:rPr>
        <w:t xml:space="preserve">, </w:t>
      </w:r>
      <w:r w:rsidR="00623AFC" w:rsidRPr="008E4270">
        <w:rPr>
          <w:rFonts w:cs="Arial"/>
          <w:sz w:val="20"/>
          <w:szCs w:val="20"/>
        </w:rPr>
        <w:t>starostou</w:t>
      </w:r>
      <w:r w:rsidR="003560F7" w:rsidRPr="008E4270">
        <w:rPr>
          <w:rFonts w:cs="Arial"/>
          <w:sz w:val="20"/>
          <w:szCs w:val="20"/>
        </w:rPr>
        <w:t xml:space="preserve"> města</w:t>
      </w:r>
      <w:r w:rsidRPr="008E4270">
        <w:rPr>
          <w:rFonts w:cs="Arial"/>
          <w:bCs/>
          <w:sz w:val="20"/>
        </w:rPr>
        <w:t>.</w:t>
      </w:r>
    </w:p>
    <w:p w14:paraId="50E1CAB3" w14:textId="77777777" w:rsidR="00876433" w:rsidRPr="008E4270" w:rsidRDefault="00876433" w:rsidP="00876433">
      <w:pPr>
        <w:spacing w:before="60"/>
        <w:jc w:val="both"/>
        <w:rPr>
          <w:rFonts w:cs="Arial"/>
          <w:bCs/>
          <w:sz w:val="20"/>
        </w:rPr>
      </w:pPr>
      <w:r w:rsidRPr="008E4270">
        <w:rPr>
          <w:rFonts w:cs="Arial"/>
          <w:bCs/>
          <w:sz w:val="20"/>
        </w:rPr>
        <w:t>Korespondenční adresa pojistníka je totožná s</w:t>
      </w:r>
      <w:r w:rsidR="00623AFC" w:rsidRPr="008E4270">
        <w:rPr>
          <w:rFonts w:cs="Arial"/>
          <w:bCs/>
          <w:sz w:val="20"/>
        </w:rPr>
        <w:t> výše uvedenou adresou</w:t>
      </w:r>
      <w:r w:rsidRPr="008E4270">
        <w:rPr>
          <w:rFonts w:cs="Arial"/>
          <w:bCs/>
          <w:sz w:val="20"/>
        </w:rPr>
        <w:t xml:space="preserve"> pojistníka.</w:t>
      </w:r>
    </w:p>
    <w:p w14:paraId="012A0548" w14:textId="50BF5843" w:rsidR="00876433" w:rsidRPr="008E4270" w:rsidRDefault="00DC4514" w:rsidP="00876433">
      <w:pPr>
        <w:ind w:left="284" w:hanging="284"/>
        <w:rPr>
          <w:rFonts w:cs="Arial"/>
          <w:sz w:val="20"/>
        </w:rPr>
      </w:pPr>
      <w:r w:rsidRPr="008E4270">
        <w:rPr>
          <w:rFonts w:cs="Arial"/>
          <w:sz w:val="20"/>
        </w:rPr>
        <w:t xml:space="preserve">E-mailová adresa: </w:t>
      </w:r>
      <w:proofErr w:type="spellStart"/>
      <w:r w:rsidR="001C6E44">
        <w:rPr>
          <w:rFonts w:cs="Arial"/>
          <w:sz w:val="20"/>
        </w:rPr>
        <w:t>xxxxxxxxxxxxxxx</w:t>
      </w:r>
      <w:proofErr w:type="spellEnd"/>
    </w:p>
    <w:p w14:paraId="44193CE0" w14:textId="77777777" w:rsidR="00876433" w:rsidRPr="008E4270" w:rsidRDefault="00876433" w:rsidP="00876433">
      <w:pPr>
        <w:ind w:left="284" w:hanging="284"/>
        <w:rPr>
          <w:rFonts w:cs="Arial"/>
          <w:sz w:val="20"/>
        </w:rPr>
      </w:pPr>
    </w:p>
    <w:p w14:paraId="2BD34882" w14:textId="63916277" w:rsidR="006356C9" w:rsidRPr="008E4270" w:rsidRDefault="006356C9" w:rsidP="0011071F">
      <w:pPr>
        <w:rPr>
          <w:rFonts w:cs="Arial"/>
          <w:sz w:val="20"/>
        </w:rPr>
      </w:pPr>
    </w:p>
    <w:p w14:paraId="5B7B54C2" w14:textId="77777777" w:rsidR="006356C9" w:rsidRPr="008E4270" w:rsidRDefault="006356C9" w:rsidP="00876433">
      <w:pPr>
        <w:ind w:left="284" w:hanging="284"/>
        <w:rPr>
          <w:rFonts w:cs="Arial"/>
          <w:sz w:val="20"/>
        </w:rPr>
      </w:pPr>
    </w:p>
    <w:p w14:paraId="3A6EE772" w14:textId="77777777" w:rsidR="00876433" w:rsidRPr="008E4270" w:rsidRDefault="00876433" w:rsidP="007D70A8">
      <w:pPr>
        <w:spacing w:before="120"/>
        <w:ind w:left="284" w:hanging="284"/>
        <w:rPr>
          <w:rFonts w:cs="Arial"/>
          <w:sz w:val="20"/>
        </w:rPr>
      </w:pPr>
      <w:r w:rsidRPr="008E4270">
        <w:rPr>
          <w:rFonts w:cs="Arial"/>
          <w:sz w:val="20"/>
        </w:rPr>
        <w:t xml:space="preserve">uzavírají </w:t>
      </w:r>
    </w:p>
    <w:p w14:paraId="020E95C7" w14:textId="77777777" w:rsidR="00300523" w:rsidRPr="008E4270" w:rsidRDefault="00300523" w:rsidP="00876433">
      <w:pPr>
        <w:pStyle w:val="Zkladntext32"/>
        <w:spacing w:line="240" w:lineRule="auto"/>
        <w:jc w:val="both"/>
        <w:rPr>
          <w:rFonts w:ascii="Koop Office" w:hAnsi="Koop Office" w:cs="Arial"/>
        </w:rPr>
      </w:pPr>
    </w:p>
    <w:p w14:paraId="0494B72F" w14:textId="77777777" w:rsidR="00876433" w:rsidRPr="008E4270" w:rsidRDefault="00876433" w:rsidP="00876433">
      <w:pPr>
        <w:pStyle w:val="Zkladntext32"/>
        <w:spacing w:line="240" w:lineRule="auto"/>
        <w:jc w:val="both"/>
        <w:rPr>
          <w:rFonts w:ascii="Koop Office" w:hAnsi="Koop Office" w:cs="Arial"/>
          <w:b/>
        </w:rPr>
      </w:pPr>
      <w:r w:rsidRPr="008E4270">
        <w:rPr>
          <w:rFonts w:ascii="Koop Office" w:hAnsi="Koop Office" w:cs="Arial"/>
        </w:rPr>
        <w:t>ve smyslu zákona č. 89/2012 Sb., občanského zákoníku, tuto pojistnou smlouvu, která spolu s pojistnými podmínkami pojistitele a přílohami, na které se tato pojistná smlouva odvolává, tvoří nedílný celek.</w:t>
      </w:r>
    </w:p>
    <w:p w14:paraId="584428EB" w14:textId="77777777" w:rsidR="00876433" w:rsidRPr="008E4270" w:rsidRDefault="00876433" w:rsidP="00876433">
      <w:pPr>
        <w:rPr>
          <w:rFonts w:cs="Arial"/>
          <w:sz w:val="20"/>
        </w:rPr>
      </w:pPr>
    </w:p>
    <w:p w14:paraId="49E29B99" w14:textId="77777777" w:rsidR="00300523" w:rsidRPr="008E4270" w:rsidRDefault="00300523" w:rsidP="00876433">
      <w:pPr>
        <w:rPr>
          <w:rFonts w:cs="Arial"/>
          <w:sz w:val="20"/>
        </w:rPr>
      </w:pPr>
    </w:p>
    <w:p w14:paraId="0658BE87" w14:textId="77777777" w:rsidR="0011071F" w:rsidRPr="008E4270" w:rsidRDefault="0011071F" w:rsidP="00876433">
      <w:pPr>
        <w:rPr>
          <w:rFonts w:cs="Arial"/>
          <w:sz w:val="20"/>
        </w:rPr>
      </w:pPr>
    </w:p>
    <w:p w14:paraId="557D8E46" w14:textId="24670C59" w:rsidR="0011071F" w:rsidRPr="008E4270" w:rsidRDefault="0011071F" w:rsidP="0011071F">
      <w:pPr>
        <w:rPr>
          <w:rFonts w:cs="Arial"/>
          <w:sz w:val="20"/>
        </w:rPr>
      </w:pPr>
      <w:r w:rsidRPr="008E4270">
        <w:rPr>
          <w:rFonts w:cs="Arial"/>
          <w:sz w:val="20"/>
        </w:rPr>
        <w:t>Tato pojistná smlouva byla sjednána prostřednictvím samostatného zprostředkovatele:</w:t>
      </w:r>
    </w:p>
    <w:p w14:paraId="4CC7ED45" w14:textId="77777777" w:rsidR="0011071F" w:rsidRPr="008E4270" w:rsidRDefault="0011071F" w:rsidP="0011071F">
      <w:pPr>
        <w:jc w:val="both"/>
        <w:rPr>
          <w:rFonts w:cs="Arial"/>
          <w:b/>
          <w:sz w:val="32"/>
        </w:rPr>
      </w:pPr>
      <w:r w:rsidRPr="008E4270">
        <w:rPr>
          <w:rFonts w:cs="Arial"/>
          <w:b/>
          <w:sz w:val="32"/>
        </w:rPr>
        <w:t>HV Group, s.r.o.</w:t>
      </w:r>
    </w:p>
    <w:p w14:paraId="2CE641BD" w14:textId="3BC05650" w:rsidR="0011071F" w:rsidRPr="008E4270" w:rsidRDefault="0011071F" w:rsidP="0011071F">
      <w:pPr>
        <w:spacing w:line="280" w:lineRule="exact"/>
        <w:jc w:val="both"/>
        <w:rPr>
          <w:rFonts w:cs="Arial"/>
          <w:b/>
        </w:rPr>
      </w:pPr>
      <w:r w:rsidRPr="008E4270">
        <w:rPr>
          <w:rFonts w:cs="Arial"/>
          <w:b/>
        </w:rPr>
        <w:t xml:space="preserve">se sídlem Praha </w:t>
      </w:r>
      <w:r w:rsidR="004F0EC2" w:rsidRPr="008E4270">
        <w:rPr>
          <w:rFonts w:cs="Arial"/>
          <w:b/>
        </w:rPr>
        <w:t>5</w:t>
      </w:r>
      <w:r w:rsidRPr="008E4270">
        <w:rPr>
          <w:rFonts w:cs="Arial"/>
          <w:b/>
        </w:rPr>
        <w:t xml:space="preserve">, </w:t>
      </w:r>
      <w:r w:rsidR="004F0EC2" w:rsidRPr="008E4270">
        <w:rPr>
          <w:rFonts w:cs="Arial"/>
          <w:b/>
        </w:rPr>
        <w:t>Smíchov, Jindřicha Plachty 3163/28</w:t>
      </w:r>
      <w:r w:rsidRPr="008E4270">
        <w:rPr>
          <w:rFonts w:cs="Arial"/>
          <w:b/>
        </w:rPr>
        <w:t>, PSČ 1</w:t>
      </w:r>
      <w:r w:rsidR="004F0EC2" w:rsidRPr="008E4270">
        <w:rPr>
          <w:rFonts w:cs="Arial"/>
          <w:b/>
        </w:rPr>
        <w:t>5</w:t>
      </w:r>
      <w:r w:rsidRPr="008E4270">
        <w:rPr>
          <w:rFonts w:cs="Arial"/>
          <w:b/>
        </w:rPr>
        <w:t>0 00</w:t>
      </w:r>
    </w:p>
    <w:p w14:paraId="1874C90D" w14:textId="77777777" w:rsidR="0011071F" w:rsidRPr="008E4270" w:rsidRDefault="0011071F" w:rsidP="0011071F">
      <w:pPr>
        <w:spacing w:line="280" w:lineRule="exact"/>
        <w:jc w:val="both"/>
        <w:rPr>
          <w:rFonts w:cs="Arial"/>
          <w:b/>
        </w:rPr>
      </w:pPr>
      <w:r w:rsidRPr="008E4270">
        <w:rPr>
          <w:rFonts w:cs="Arial"/>
          <w:b/>
        </w:rPr>
        <w:t>IČO: 27255999</w:t>
      </w:r>
    </w:p>
    <w:p w14:paraId="5351C5F2" w14:textId="77777777" w:rsidR="0011071F" w:rsidRPr="008E4270" w:rsidRDefault="0011071F" w:rsidP="0011071F">
      <w:pPr>
        <w:spacing w:line="280" w:lineRule="exact"/>
        <w:jc w:val="both"/>
        <w:rPr>
          <w:b/>
          <w:sz w:val="20"/>
        </w:rPr>
      </w:pPr>
      <w:r w:rsidRPr="008E4270">
        <w:rPr>
          <w:bCs/>
          <w:sz w:val="20"/>
        </w:rPr>
        <w:t xml:space="preserve">(dále jen </w:t>
      </w:r>
      <w:r w:rsidRPr="008E4270">
        <w:rPr>
          <w:b/>
          <w:sz w:val="20"/>
        </w:rPr>
        <w:t>„samostatný zprostředkovatel”</w:t>
      </w:r>
      <w:r w:rsidRPr="008E4270">
        <w:rPr>
          <w:bCs/>
          <w:sz w:val="20"/>
        </w:rPr>
        <w:t>)</w:t>
      </w:r>
    </w:p>
    <w:p w14:paraId="0323C709" w14:textId="51B13111" w:rsidR="0011071F" w:rsidRPr="008E4270" w:rsidRDefault="0011071F" w:rsidP="0011071F">
      <w:pPr>
        <w:jc w:val="both"/>
        <w:rPr>
          <w:rFonts w:cs="Arial"/>
          <w:bCs/>
          <w:sz w:val="20"/>
        </w:rPr>
      </w:pPr>
      <w:r w:rsidRPr="008E4270">
        <w:rPr>
          <w:rFonts w:cs="Arial"/>
          <w:bCs/>
          <w:sz w:val="20"/>
        </w:rPr>
        <w:t>Korespondenční adresa samostatného zprostředkovatele je totožná s výše uvedenou adresou samostatného zprostředkovatele</w:t>
      </w:r>
      <w:r w:rsidR="00F87AF9" w:rsidRPr="008E4270">
        <w:rPr>
          <w:rFonts w:cs="Arial"/>
          <w:bCs/>
          <w:sz w:val="20"/>
        </w:rPr>
        <w:t>.</w:t>
      </w:r>
      <w:r w:rsidR="00B26FE9" w:rsidRPr="008E4270">
        <w:rPr>
          <w:rFonts w:cs="Arial"/>
          <w:bCs/>
          <w:sz w:val="20"/>
        </w:rPr>
        <w:t xml:space="preserve"> </w:t>
      </w:r>
    </w:p>
    <w:p w14:paraId="15B43DE2" w14:textId="10821862" w:rsidR="007E67FE" w:rsidRPr="008E4270" w:rsidRDefault="007E67FE" w:rsidP="0011071F">
      <w:pPr>
        <w:jc w:val="both"/>
        <w:rPr>
          <w:rFonts w:cs="Arial"/>
          <w:sz w:val="20"/>
          <w:u w:val="single"/>
        </w:rPr>
      </w:pPr>
      <w:r w:rsidRPr="008E4270">
        <w:rPr>
          <w:rFonts w:cs="Arial"/>
          <w:bCs/>
          <w:sz w:val="20"/>
        </w:rPr>
        <w:t xml:space="preserve">E-mailová adresa samostatného zprostředkovatele: </w:t>
      </w:r>
      <w:proofErr w:type="spellStart"/>
      <w:r w:rsidR="001C6E44">
        <w:rPr>
          <w:rFonts w:cs="Arial"/>
          <w:bCs/>
          <w:sz w:val="20"/>
        </w:rPr>
        <w:t>xxxxxxxxxxxxxxx</w:t>
      </w:r>
      <w:proofErr w:type="spellEnd"/>
    </w:p>
    <w:p w14:paraId="434DD0E2" w14:textId="12935FE8" w:rsidR="006356C9" w:rsidRPr="008E4270" w:rsidRDefault="0011071F" w:rsidP="007E67FE">
      <w:pPr>
        <w:spacing w:before="60"/>
        <w:jc w:val="both"/>
        <w:rPr>
          <w:rFonts w:cs="Arial"/>
          <w:sz w:val="20"/>
          <w:u w:val="single"/>
        </w:rPr>
      </w:pPr>
      <w:r w:rsidRPr="008E4270">
        <w:rPr>
          <w:sz w:val="20"/>
          <w:szCs w:val="20"/>
        </w:rPr>
        <w:t>Sjednání této pojistné smlouvy zprostředkoval pro pojistníka samostatný zprostředkovatel v</w:t>
      </w:r>
      <w:r w:rsidR="001C6E44">
        <w:rPr>
          <w:sz w:val="20"/>
          <w:szCs w:val="20"/>
        </w:rPr>
        <w:t> </w:t>
      </w:r>
      <w:r w:rsidRPr="008E4270">
        <w:rPr>
          <w:sz w:val="20"/>
          <w:szCs w:val="20"/>
        </w:rPr>
        <w:t>postavení</w:t>
      </w:r>
      <w:r w:rsidR="001C6E44">
        <w:rPr>
          <w:sz w:val="20"/>
          <w:szCs w:val="20"/>
        </w:rPr>
        <w:t xml:space="preserve"> </w:t>
      </w:r>
      <w:r w:rsidRPr="008E4270">
        <w:rPr>
          <w:sz w:val="20"/>
          <w:szCs w:val="20"/>
        </w:rPr>
        <w:t>pojišťovacího makléře.</w:t>
      </w:r>
    </w:p>
    <w:p w14:paraId="45665B1E" w14:textId="0EEF4B4A" w:rsidR="000F692E" w:rsidRPr="008E4270" w:rsidRDefault="000F692E" w:rsidP="000F692E">
      <w:pPr>
        <w:pStyle w:val="Nadpislnk"/>
      </w:pPr>
      <w:r w:rsidRPr="008E4270">
        <w:lastRenderedPageBreak/>
        <w:t>Článek I.</w:t>
      </w:r>
      <w:r w:rsidRPr="008E4270">
        <w:br/>
        <w:t>Úvodní ustanovení</w:t>
      </w:r>
    </w:p>
    <w:p w14:paraId="12A792F7" w14:textId="77777777" w:rsidR="00B00E8B" w:rsidRPr="008E4270" w:rsidRDefault="000F692E" w:rsidP="00AF298F">
      <w:pPr>
        <w:keepNext/>
        <w:numPr>
          <w:ilvl w:val="0"/>
          <w:numId w:val="12"/>
        </w:numPr>
        <w:tabs>
          <w:tab w:val="left" w:pos="-1418"/>
        </w:tabs>
        <w:spacing w:before="120"/>
        <w:jc w:val="both"/>
        <w:rPr>
          <w:rFonts w:cs="Arial"/>
          <w:sz w:val="20"/>
          <w:szCs w:val="20"/>
        </w:rPr>
      </w:pPr>
      <w:r w:rsidRPr="008E4270">
        <w:rPr>
          <w:rFonts w:cs="Arial"/>
          <w:sz w:val="20"/>
          <w:szCs w:val="20"/>
        </w:rPr>
        <w:t>Pojištěným</w:t>
      </w:r>
      <w:r w:rsidR="00663065" w:rsidRPr="008E4270">
        <w:rPr>
          <w:rFonts w:cs="Arial"/>
          <w:sz w:val="20"/>
          <w:szCs w:val="20"/>
        </w:rPr>
        <w:t xml:space="preserve"> je</w:t>
      </w:r>
      <w:r w:rsidR="00B00E8B" w:rsidRPr="008E4270">
        <w:rPr>
          <w:rFonts w:cs="Arial"/>
          <w:sz w:val="20"/>
          <w:szCs w:val="20"/>
        </w:rPr>
        <w:t>:</w:t>
      </w:r>
    </w:p>
    <w:p w14:paraId="02C256A8" w14:textId="6549AE2A" w:rsidR="000F692E" w:rsidRPr="008E4270" w:rsidRDefault="00B00E8B" w:rsidP="003533FF">
      <w:pPr>
        <w:keepNext/>
        <w:numPr>
          <w:ilvl w:val="0"/>
          <w:numId w:val="27"/>
        </w:numPr>
        <w:tabs>
          <w:tab w:val="left" w:pos="-1418"/>
        </w:tabs>
        <w:spacing w:before="60"/>
        <w:ind w:left="782" w:hanging="357"/>
        <w:jc w:val="both"/>
        <w:rPr>
          <w:rFonts w:cs="Arial"/>
          <w:sz w:val="20"/>
          <w:szCs w:val="20"/>
        </w:rPr>
      </w:pPr>
      <w:r w:rsidRPr="008E4270">
        <w:rPr>
          <w:rFonts w:cs="Arial"/>
          <w:sz w:val="20"/>
          <w:szCs w:val="20"/>
        </w:rPr>
        <w:t>P</w:t>
      </w:r>
      <w:r w:rsidR="00663065" w:rsidRPr="008E4270">
        <w:rPr>
          <w:rFonts w:cs="Arial"/>
          <w:sz w:val="20"/>
          <w:szCs w:val="20"/>
        </w:rPr>
        <w:t>ojistník</w:t>
      </w:r>
      <w:r w:rsidR="00130420" w:rsidRPr="008E4270">
        <w:rPr>
          <w:rFonts w:cs="Arial"/>
          <w:sz w:val="20"/>
          <w:szCs w:val="20"/>
        </w:rPr>
        <w:t xml:space="preserve"> (včetně organizační složky Jesle Rakovník)</w:t>
      </w:r>
      <w:r w:rsidR="002A423F" w:rsidRPr="008E4270">
        <w:rPr>
          <w:rFonts w:cs="Arial"/>
          <w:sz w:val="20"/>
          <w:szCs w:val="20"/>
        </w:rPr>
        <w:t>.</w:t>
      </w:r>
    </w:p>
    <w:p w14:paraId="1E1DF48B" w14:textId="13CF426E" w:rsidR="00BE1FCC" w:rsidRPr="008E4270" w:rsidRDefault="00B00E8B" w:rsidP="003533FF">
      <w:pPr>
        <w:keepNext/>
        <w:numPr>
          <w:ilvl w:val="0"/>
          <w:numId w:val="27"/>
        </w:numPr>
        <w:tabs>
          <w:tab w:val="left" w:pos="-1418"/>
        </w:tabs>
        <w:spacing w:before="60"/>
        <w:ind w:left="709" w:hanging="284"/>
        <w:jc w:val="both"/>
        <w:rPr>
          <w:rFonts w:cs="Arial"/>
          <w:sz w:val="20"/>
          <w:szCs w:val="20"/>
        </w:rPr>
      </w:pPr>
      <w:r w:rsidRPr="008E4270">
        <w:rPr>
          <w:rFonts w:cs="Arial"/>
          <w:sz w:val="20"/>
          <w:szCs w:val="20"/>
        </w:rPr>
        <w:t>Pro pojištění odpovědnosti za újmu jsou dalšími pojištěnými</w:t>
      </w:r>
      <w:r w:rsidR="00BE1FCC" w:rsidRPr="008E4270">
        <w:rPr>
          <w:rFonts w:cs="Arial"/>
          <w:sz w:val="20"/>
          <w:szCs w:val="20"/>
        </w:rPr>
        <w:t xml:space="preserve"> (dle činností ve Zřizovacích listinách jednotlivých organizací a dle výpisů</w:t>
      </w:r>
      <w:r w:rsidR="00770F02" w:rsidRPr="008E4270">
        <w:rPr>
          <w:rFonts w:cs="Arial"/>
          <w:sz w:val="20"/>
          <w:szCs w:val="20"/>
        </w:rPr>
        <w:t xml:space="preserve">, které budou v případě </w:t>
      </w:r>
      <w:r w:rsidR="00A73E57" w:rsidRPr="008E4270">
        <w:rPr>
          <w:rFonts w:cs="Arial"/>
          <w:sz w:val="20"/>
          <w:szCs w:val="20"/>
        </w:rPr>
        <w:t>pojistné události doloženy</w:t>
      </w:r>
      <w:r w:rsidR="00BE1FCC" w:rsidRPr="008E4270">
        <w:rPr>
          <w:rFonts w:cs="Arial"/>
          <w:sz w:val="20"/>
          <w:szCs w:val="20"/>
        </w:rPr>
        <w:t>)</w:t>
      </w:r>
      <w:r w:rsidRPr="008E4270">
        <w:rPr>
          <w:rFonts w:cs="Arial"/>
          <w:sz w:val="20"/>
          <w:szCs w:val="20"/>
        </w:rPr>
        <w:t>:</w:t>
      </w:r>
    </w:p>
    <w:p w14:paraId="44760849" w14:textId="59180E18"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Mateřská škola Vinohrady Rakovník, Z</w:t>
      </w:r>
      <w:r w:rsidR="000C5D0C" w:rsidRPr="008E4270">
        <w:rPr>
          <w:rFonts w:cs="Arial"/>
          <w:sz w:val="20"/>
          <w:szCs w:val="20"/>
        </w:rPr>
        <w:t>d</w:t>
      </w:r>
      <w:r w:rsidRPr="008E4270">
        <w:rPr>
          <w:rFonts w:cs="Arial"/>
          <w:sz w:val="20"/>
          <w:szCs w:val="20"/>
        </w:rPr>
        <w:t>. Štěpánka 2232, IČO: 47013982</w:t>
      </w:r>
    </w:p>
    <w:p w14:paraId="6FF68AD5" w14:textId="29B5153C"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1. mateřská škola Rakovník, V Hradbách 188, IČO: 47019581</w:t>
      </w:r>
    </w:p>
    <w:p w14:paraId="22FC5B1E" w14:textId="0EFC456B"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Mateřská škola Šamotka Rakovník, Šamotka 259, IČO: 47020334</w:t>
      </w:r>
    </w:p>
    <w:p w14:paraId="7EFFCA0C" w14:textId="50ECAD92"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Mateřská škola V Parku Rakovník, Frant</w:t>
      </w:r>
      <w:r w:rsidR="00B16515" w:rsidRPr="008E4270">
        <w:rPr>
          <w:rFonts w:cs="Arial"/>
          <w:sz w:val="20"/>
          <w:szCs w:val="20"/>
        </w:rPr>
        <w:t>.</w:t>
      </w:r>
      <w:r w:rsidRPr="008E4270">
        <w:rPr>
          <w:rFonts w:cs="Arial"/>
          <w:sz w:val="20"/>
          <w:szCs w:val="20"/>
        </w:rPr>
        <w:t xml:space="preserve"> Diepolta 2249, IČO: 47020342</w:t>
      </w:r>
    </w:p>
    <w:p w14:paraId="2403BC58" w14:textId="55BAC4E2"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 xml:space="preserve">Mateřská škola </w:t>
      </w:r>
      <w:r w:rsidR="000611C7" w:rsidRPr="008E4270">
        <w:rPr>
          <w:rFonts w:cs="Arial"/>
          <w:sz w:val="20"/>
          <w:szCs w:val="20"/>
        </w:rPr>
        <w:t xml:space="preserve">Klicperova </w:t>
      </w:r>
      <w:r w:rsidRPr="008E4270">
        <w:rPr>
          <w:rFonts w:cs="Arial"/>
          <w:sz w:val="20"/>
          <w:szCs w:val="20"/>
        </w:rPr>
        <w:t>Rakovník, Klicperova 1904, IČO: 47014008</w:t>
      </w:r>
    </w:p>
    <w:p w14:paraId="35935751" w14:textId="5E940284"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Mateřská škola Průběžná Rakovník, Průběžná 2312, IČO: 00875457</w:t>
      </w:r>
    </w:p>
    <w:p w14:paraId="6F315F9C" w14:textId="2481E39B"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Mateřská škola V Lukách Rakovník, V Lukách 2174, IČO: 67673759</w:t>
      </w:r>
    </w:p>
    <w:p w14:paraId="26056E9A" w14:textId="0EBAAE54"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1. základní škola, Rakovník, Martinovského 153, IČO: 47016973</w:t>
      </w:r>
    </w:p>
    <w:p w14:paraId="2ABE74C1" w14:textId="0127C6A1"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2. základní škola, Rakovník, Husovo náměstí 3, IČO: 47016981</w:t>
      </w:r>
    </w:p>
    <w:p w14:paraId="6DFBBDC4" w14:textId="73725823"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3. základní škola, Rakovník, Okružní 2331, IČO: 47013991</w:t>
      </w:r>
    </w:p>
    <w:p w14:paraId="04AC3695" w14:textId="77F76335" w:rsidR="00B00E8B" w:rsidRPr="008E4270" w:rsidRDefault="00B00E8B"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 xml:space="preserve">Kulturní centrum Rakovník, </w:t>
      </w:r>
      <w:r w:rsidR="0016615D" w:rsidRPr="008E4270">
        <w:rPr>
          <w:rFonts w:cs="Arial"/>
          <w:sz w:val="20"/>
          <w:szCs w:val="20"/>
        </w:rPr>
        <w:t>IČO: 71192557</w:t>
      </w:r>
    </w:p>
    <w:p w14:paraId="7550425E" w14:textId="40FC22D5" w:rsidR="0016615D" w:rsidRPr="008E4270" w:rsidRDefault="0016615D"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Školní jídelna</w:t>
      </w:r>
      <w:r w:rsidR="00DE437F" w:rsidRPr="008E4270">
        <w:rPr>
          <w:rFonts w:cs="Arial"/>
          <w:sz w:val="20"/>
          <w:szCs w:val="20"/>
        </w:rPr>
        <w:t>,</w:t>
      </w:r>
      <w:r w:rsidRPr="008E4270">
        <w:rPr>
          <w:rFonts w:cs="Arial"/>
          <w:sz w:val="20"/>
          <w:szCs w:val="20"/>
        </w:rPr>
        <w:t xml:space="preserve"> Rakovník, Martinovského 270,</w:t>
      </w:r>
      <w:r w:rsidR="006A3680" w:rsidRPr="008E4270">
        <w:rPr>
          <w:rFonts w:cs="Arial"/>
          <w:sz w:val="20"/>
          <w:szCs w:val="20"/>
        </w:rPr>
        <w:t xml:space="preserve"> příspěvková organizace,</w:t>
      </w:r>
      <w:r w:rsidRPr="008E4270">
        <w:rPr>
          <w:rFonts w:cs="Arial"/>
          <w:sz w:val="20"/>
          <w:szCs w:val="20"/>
        </w:rPr>
        <w:t xml:space="preserve"> IČO: 04188101</w:t>
      </w:r>
    </w:p>
    <w:p w14:paraId="14C34CC1" w14:textId="5BFE694B" w:rsidR="00D377FA" w:rsidRPr="008E4270" w:rsidRDefault="00D377FA"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Údržba městských komunikací Rakovník</w:t>
      </w:r>
      <w:r w:rsidR="006A3680" w:rsidRPr="008E4270">
        <w:rPr>
          <w:rFonts w:cs="Arial"/>
          <w:sz w:val="20"/>
          <w:szCs w:val="20"/>
        </w:rPr>
        <w:t xml:space="preserve"> </w:t>
      </w:r>
      <w:r w:rsidRPr="008E4270">
        <w:rPr>
          <w:rFonts w:cs="Arial"/>
          <w:sz w:val="20"/>
          <w:szCs w:val="20"/>
        </w:rPr>
        <w:t>,spol. s r.o., IČO: 25073249</w:t>
      </w:r>
    </w:p>
    <w:p w14:paraId="0A541F9A" w14:textId="48DEAD64" w:rsidR="0016615D" w:rsidRPr="008E4270" w:rsidRDefault="0016615D"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Městská knihovna Rakovník, příspěvková organizace, IČO: 71192565</w:t>
      </w:r>
    </w:p>
    <w:p w14:paraId="6B4A9661" w14:textId="4BFFF2BA" w:rsidR="00D377FA" w:rsidRPr="008E4270" w:rsidRDefault="00D377FA" w:rsidP="003533FF">
      <w:pPr>
        <w:keepNext/>
        <w:numPr>
          <w:ilvl w:val="0"/>
          <w:numId w:val="28"/>
        </w:numPr>
        <w:tabs>
          <w:tab w:val="left" w:pos="-1418"/>
        </w:tabs>
        <w:spacing w:before="40"/>
        <w:ind w:left="709" w:hanging="284"/>
        <w:jc w:val="both"/>
        <w:rPr>
          <w:rFonts w:cs="Arial"/>
          <w:sz w:val="20"/>
          <w:szCs w:val="20"/>
        </w:rPr>
      </w:pPr>
      <w:r w:rsidRPr="008E4270">
        <w:rPr>
          <w:rFonts w:cs="Arial"/>
          <w:sz w:val="20"/>
          <w:szCs w:val="20"/>
        </w:rPr>
        <w:t xml:space="preserve">Pečovatelská služba Rakovník, </w:t>
      </w:r>
      <w:r w:rsidR="001568CE" w:rsidRPr="008E4270">
        <w:rPr>
          <w:rFonts w:cs="Arial"/>
          <w:sz w:val="20"/>
          <w:szCs w:val="20"/>
        </w:rPr>
        <w:t>IČO</w:t>
      </w:r>
      <w:r w:rsidRPr="008E4270">
        <w:rPr>
          <w:rFonts w:cs="Arial"/>
          <w:sz w:val="20"/>
          <w:szCs w:val="20"/>
        </w:rPr>
        <w:t>: 47012790</w:t>
      </w:r>
    </w:p>
    <w:p w14:paraId="14706EF5" w14:textId="28E13319" w:rsidR="00B00E8B" w:rsidRPr="008E4270" w:rsidRDefault="0016615D" w:rsidP="003533FF">
      <w:pPr>
        <w:keepNext/>
        <w:numPr>
          <w:ilvl w:val="0"/>
          <w:numId w:val="28"/>
        </w:numPr>
        <w:tabs>
          <w:tab w:val="left" w:pos="-1418"/>
        </w:tabs>
        <w:spacing w:before="40"/>
        <w:ind w:left="782" w:hanging="357"/>
        <w:jc w:val="both"/>
        <w:rPr>
          <w:rFonts w:cs="Arial"/>
          <w:sz w:val="20"/>
          <w:szCs w:val="20"/>
        </w:rPr>
      </w:pPr>
      <w:r w:rsidRPr="008E4270">
        <w:rPr>
          <w:rFonts w:cs="Arial"/>
          <w:sz w:val="20"/>
          <w:szCs w:val="20"/>
        </w:rPr>
        <w:t>Městské lesy Rakovník, spol. s r.o., IČO: 25056875</w:t>
      </w:r>
    </w:p>
    <w:p w14:paraId="74832CD1" w14:textId="77777777" w:rsidR="000F692E" w:rsidRPr="008E4270" w:rsidRDefault="000F692E" w:rsidP="003533FF">
      <w:pPr>
        <w:keepNext/>
        <w:numPr>
          <w:ilvl w:val="0"/>
          <w:numId w:val="12"/>
        </w:numPr>
        <w:tabs>
          <w:tab w:val="left" w:pos="-1418"/>
        </w:tabs>
        <w:spacing w:before="60"/>
        <w:jc w:val="both"/>
        <w:rPr>
          <w:rFonts w:cs="Arial"/>
          <w:sz w:val="20"/>
          <w:szCs w:val="20"/>
        </w:rPr>
      </w:pPr>
      <w:r w:rsidRPr="008E4270">
        <w:rPr>
          <w:rFonts w:cs="Arial"/>
          <w:sz w:val="20"/>
          <w:szCs w:val="20"/>
        </w:rPr>
        <w:t>K tomuto pojištění se vztahují: Všeobecné pojistné podmínky (dále jen „VPP“), Zvláštní pojistné podmínky (dále jen „ZPP“) a Dodatkové pojistné podmínky (dále jen „DPP“).</w:t>
      </w:r>
    </w:p>
    <w:p w14:paraId="675B3A33" w14:textId="0A20C81B" w:rsidR="000F692E" w:rsidRPr="008E4270" w:rsidRDefault="00951DD5" w:rsidP="00727444">
      <w:pPr>
        <w:pStyle w:val="Styl10bTunZarovnatdobloku"/>
        <w:rPr>
          <w:color w:val="auto"/>
        </w:rPr>
      </w:pPr>
      <w:r w:rsidRPr="008E4270">
        <w:rPr>
          <w:color w:val="auto"/>
        </w:rPr>
        <w:t xml:space="preserve">        </w:t>
      </w:r>
      <w:r w:rsidR="0031028B" w:rsidRPr="008E4270">
        <w:rPr>
          <w:color w:val="auto"/>
        </w:rPr>
        <w:t xml:space="preserve"> </w:t>
      </w:r>
      <w:r w:rsidR="000F692E" w:rsidRPr="008E4270">
        <w:rPr>
          <w:color w:val="auto"/>
        </w:rPr>
        <w:t xml:space="preserve">Všeobecné pojistné podmínky </w:t>
      </w:r>
    </w:p>
    <w:p w14:paraId="31D49311" w14:textId="77777777" w:rsidR="000F692E" w:rsidRPr="008E4270" w:rsidRDefault="000F692E" w:rsidP="00CF4354">
      <w:pPr>
        <w:pStyle w:val="Styl10bZarovnatdobloku"/>
      </w:pPr>
      <w:r w:rsidRPr="008E4270">
        <w:tab/>
        <w:t>VPP P-100/14 - pro pojištění majetku a odpovědnosti</w:t>
      </w:r>
    </w:p>
    <w:p w14:paraId="431AB32A" w14:textId="77777777" w:rsidR="000F692E" w:rsidRPr="008E4270" w:rsidRDefault="000F692E" w:rsidP="00177492">
      <w:pPr>
        <w:keepNext/>
        <w:tabs>
          <w:tab w:val="left" w:pos="-720"/>
          <w:tab w:val="left" w:pos="426"/>
        </w:tabs>
        <w:spacing w:before="20"/>
        <w:rPr>
          <w:rFonts w:cs="Arial"/>
          <w:b/>
          <w:bCs/>
          <w:sz w:val="20"/>
          <w:szCs w:val="20"/>
        </w:rPr>
      </w:pPr>
      <w:r w:rsidRPr="008E4270">
        <w:rPr>
          <w:rFonts w:cs="Arial"/>
          <w:b/>
          <w:bCs/>
          <w:sz w:val="20"/>
          <w:szCs w:val="20"/>
        </w:rPr>
        <w:tab/>
        <w:t>Zvláštní pojistné podmínky</w:t>
      </w:r>
    </w:p>
    <w:p w14:paraId="725830BD" w14:textId="77777777" w:rsidR="000F692E" w:rsidRPr="008E4270" w:rsidRDefault="000F692E" w:rsidP="000F692E">
      <w:pPr>
        <w:keepNext/>
        <w:tabs>
          <w:tab w:val="left" w:pos="-720"/>
          <w:tab w:val="left" w:pos="426"/>
        </w:tabs>
        <w:ind w:left="426"/>
        <w:rPr>
          <w:rFonts w:cs="Arial"/>
          <w:sz w:val="20"/>
          <w:szCs w:val="20"/>
        </w:rPr>
      </w:pPr>
      <w:r w:rsidRPr="008E4270">
        <w:rPr>
          <w:rFonts w:cs="Arial"/>
          <w:bCs/>
          <w:sz w:val="20"/>
          <w:szCs w:val="20"/>
        </w:rPr>
        <w:t>ZPP</w:t>
      </w:r>
      <w:r w:rsidRPr="008E4270">
        <w:rPr>
          <w:rFonts w:cs="Arial"/>
          <w:sz w:val="20"/>
          <w:szCs w:val="20"/>
        </w:rPr>
        <w:t xml:space="preserve"> P-150/14 - pro živelní pojištění</w:t>
      </w:r>
    </w:p>
    <w:p w14:paraId="3C52C4BC" w14:textId="77777777" w:rsidR="000F692E" w:rsidRPr="008E4270" w:rsidRDefault="000F692E" w:rsidP="000F692E">
      <w:pPr>
        <w:keepNext/>
        <w:tabs>
          <w:tab w:val="left" w:pos="-720"/>
          <w:tab w:val="left" w:pos="426"/>
        </w:tabs>
        <w:ind w:left="426"/>
        <w:rPr>
          <w:rFonts w:cs="Arial"/>
          <w:sz w:val="20"/>
          <w:szCs w:val="20"/>
        </w:rPr>
      </w:pPr>
      <w:r w:rsidRPr="008E4270">
        <w:rPr>
          <w:rFonts w:cs="Arial"/>
          <w:bCs/>
          <w:sz w:val="20"/>
          <w:szCs w:val="20"/>
        </w:rPr>
        <w:t>ZPP</w:t>
      </w:r>
      <w:r w:rsidRPr="008E4270">
        <w:rPr>
          <w:rFonts w:cs="Arial"/>
          <w:sz w:val="20"/>
          <w:szCs w:val="20"/>
        </w:rPr>
        <w:t xml:space="preserve"> P-200/14 - pro pojištění pro případ odcizení</w:t>
      </w:r>
    </w:p>
    <w:p w14:paraId="7B54A555" w14:textId="73780084" w:rsidR="001306BE" w:rsidRPr="008E4270" w:rsidRDefault="002A7DC9" w:rsidP="002A7DC9">
      <w:pPr>
        <w:suppressAutoHyphens/>
        <w:ind w:left="426"/>
        <w:rPr>
          <w:rFonts w:cs="Arial"/>
          <w:sz w:val="20"/>
          <w:szCs w:val="20"/>
        </w:rPr>
      </w:pPr>
      <w:r w:rsidRPr="008E4270">
        <w:rPr>
          <w:rFonts w:cs="Arial"/>
          <w:bCs/>
          <w:sz w:val="20"/>
        </w:rPr>
        <w:t>ZPP</w:t>
      </w:r>
      <w:r w:rsidRPr="008E4270">
        <w:rPr>
          <w:rFonts w:cs="Arial"/>
          <w:sz w:val="20"/>
        </w:rPr>
        <w:t xml:space="preserve"> P-250/14 - pro pojištění skla</w:t>
      </w:r>
      <w:r w:rsidRPr="008E4270">
        <w:rPr>
          <w:rFonts w:cs="Arial"/>
          <w:sz w:val="20"/>
        </w:rPr>
        <w:cr/>
      </w:r>
      <w:r w:rsidR="001306BE" w:rsidRPr="008E4270">
        <w:rPr>
          <w:rFonts w:cs="Arial"/>
          <w:sz w:val="20"/>
          <w:szCs w:val="20"/>
        </w:rPr>
        <w:t>ZPP P-</w:t>
      </w:r>
      <w:r w:rsidR="00AD4DFC" w:rsidRPr="008E4270">
        <w:rPr>
          <w:rFonts w:cs="Arial"/>
          <w:sz w:val="20"/>
          <w:szCs w:val="20"/>
        </w:rPr>
        <w:t>30</w:t>
      </w:r>
      <w:r w:rsidR="001306BE" w:rsidRPr="008E4270">
        <w:rPr>
          <w:rFonts w:cs="Arial"/>
          <w:sz w:val="20"/>
          <w:szCs w:val="20"/>
        </w:rPr>
        <w:t xml:space="preserve">0/14 - pro pojištění </w:t>
      </w:r>
      <w:r w:rsidR="00AD4DFC" w:rsidRPr="008E4270">
        <w:rPr>
          <w:rFonts w:cs="Arial"/>
          <w:sz w:val="20"/>
          <w:szCs w:val="20"/>
        </w:rPr>
        <w:t>strojů</w:t>
      </w:r>
    </w:p>
    <w:p w14:paraId="76A286FC" w14:textId="77777777" w:rsidR="000F692E" w:rsidRPr="008E4270" w:rsidRDefault="000F692E" w:rsidP="000F692E">
      <w:pPr>
        <w:keepNext/>
        <w:tabs>
          <w:tab w:val="left" w:pos="-720"/>
          <w:tab w:val="left" w:pos="426"/>
        </w:tabs>
        <w:ind w:left="426"/>
        <w:rPr>
          <w:rFonts w:cs="Arial"/>
          <w:sz w:val="20"/>
          <w:szCs w:val="20"/>
        </w:rPr>
      </w:pPr>
      <w:r w:rsidRPr="008E4270">
        <w:rPr>
          <w:rFonts w:cs="Arial"/>
          <w:bCs/>
          <w:sz w:val="20"/>
          <w:szCs w:val="20"/>
        </w:rPr>
        <w:t>ZPP</w:t>
      </w:r>
      <w:r w:rsidRPr="008E4270">
        <w:rPr>
          <w:rFonts w:cs="Arial"/>
          <w:sz w:val="20"/>
          <w:szCs w:val="20"/>
        </w:rPr>
        <w:t xml:space="preserve"> P-320/14 - pro pojištění elektronických zařízení</w:t>
      </w:r>
    </w:p>
    <w:p w14:paraId="54215859" w14:textId="0FBA6AA3" w:rsidR="000F692E" w:rsidRPr="008E4270" w:rsidRDefault="000F692E" w:rsidP="000F692E">
      <w:pPr>
        <w:keepNext/>
        <w:tabs>
          <w:tab w:val="left" w:pos="-720"/>
          <w:tab w:val="left" w:pos="426"/>
        </w:tabs>
        <w:ind w:left="426"/>
        <w:rPr>
          <w:rFonts w:cs="Arial"/>
          <w:sz w:val="20"/>
          <w:szCs w:val="20"/>
        </w:rPr>
      </w:pPr>
      <w:r w:rsidRPr="008E4270">
        <w:rPr>
          <w:rFonts w:cs="Arial"/>
          <w:bCs/>
          <w:sz w:val="20"/>
          <w:szCs w:val="20"/>
        </w:rPr>
        <w:t>ZPP</w:t>
      </w:r>
      <w:r w:rsidRPr="008E4270">
        <w:rPr>
          <w:rFonts w:cs="Arial"/>
          <w:sz w:val="20"/>
          <w:szCs w:val="20"/>
        </w:rPr>
        <w:t xml:space="preserve"> P-600</w:t>
      </w:r>
      <w:r w:rsidR="00BD4127" w:rsidRPr="008E4270">
        <w:rPr>
          <w:rFonts w:cs="Arial"/>
          <w:sz w:val="20"/>
          <w:szCs w:val="20"/>
        </w:rPr>
        <w:t>0</w:t>
      </w:r>
      <w:r w:rsidRPr="008E4270">
        <w:rPr>
          <w:rFonts w:cs="Arial"/>
          <w:sz w:val="20"/>
          <w:szCs w:val="20"/>
        </w:rPr>
        <w:t>/</w:t>
      </w:r>
      <w:r w:rsidR="00BD4127" w:rsidRPr="008E4270">
        <w:rPr>
          <w:rFonts w:cs="Arial"/>
          <w:sz w:val="20"/>
          <w:szCs w:val="20"/>
        </w:rPr>
        <w:t>21</w:t>
      </w:r>
      <w:r w:rsidRPr="008E4270">
        <w:rPr>
          <w:rFonts w:cs="Arial"/>
          <w:sz w:val="20"/>
          <w:szCs w:val="20"/>
        </w:rPr>
        <w:t xml:space="preserve"> - pro pojištění odpovědnosti za újmu</w:t>
      </w:r>
    </w:p>
    <w:p w14:paraId="61442F83" w14:textId="77777777" w:rsidR="002A7DC9" w:rsidRPr="008E4270" w:rsidRDefault="002A7DC9" w:rsidP="002A7DC9">
      <w:pPr>
        <w:keepNext/>
        <w:tabs>
          <w:tab w:val="left" w:pos="-720"/>
          <w:tab w:val="left" w:pos="426"/>
        </w:tabs>
        <w:ind w:left="425"/>
        <w:rPr>
          <w:rFonts w:cs="Arial"/>
          <w:sz w:val="20"/>
        </w:rPr>
      </w:pPr>
      <w:r w:rsidRPr="008E4270">
        <w:rPr>
          <w:rFonts w:cs="Arial"/>
          <w:sz w:val="20"/>
        </w:rPr>
        <w:t xml:space="preserve">ZPP P-666/14 - pro pojištění odpovědnosti zastupitelů obce </w:t>
      </w:r>
    </w:p>
    <w:p w14:paraId="1E473044" w14:textId="20FE51BE" w:rsidR="000F692E" w:rsidRPr="008E4270" w:rsidRDefault="000F692E" w:rsidP="00177492">
      <w:pPr>
        <w:keepNext/>
        <w:tabs>
          <w:tab w:val="left" w:pos="426"/>
        </w:tabs>
        <w:spacing w:before="20"/>
        <w:rPr>
          <w:rFonts w:cs="Arial"/>
          <w:b/>
          <w:bCs/>
          <w:sz w:val="20"/>
          <w:szCs w:val="20"/>
        </w:rPr>
      </w:pPr>
      <w:r w:rsidRPr="008E4270">
        <w:rPr>
          <w:rFonts w:cs="Arial"/>
          <w:b/>
          <w:bCs/>
          <w:sz w:val="20"/>
          <w:szCs w:val="20"/>
        </w:rPr>
        <w:tab/>
        <w:t>Dodatkové pojistné podmínky</w:t>
      </w:r>
    </w:p>
    <w:p w14:paraId="2C1363B1" w14:textId="2E2BB445" w:rsidR="000F692E" w:rsidRPr="008E4270" w:rsidRDefault="000F692E" w:rsidP="008E0144">
      <w:pPr>
        <w:keepNext/>
        <w:tabs>
          <w:tab w:val="left" w:pos="426"/>
        </w:tabs>
        <w:ind w:left="567" w:hanging="567"/>
        <w:rPr>
          <w:rFonts w:cs="Arial"/>
          <w:sz w:val="20"/>
          <w:szCs w:val="20"/>
        </w:rPr>
      </w:pPr>
      <w:r w:rsidRPr="008E4270">
        <w:rPr>
          <w:rFonts w:cs="Arial"/>
          <w:sz w:val="20"/>
          <w:szCs w:val="20"/>
        </w:rPr>
        <w:tab/>
        <w:t>DPP P-520/14 - pro pojištění hospodářských rizik, sestávající se z následujících doložek:</w:t>
      </w:r>
    </w:p>
    <w:p w14:paraId="2BC8AFA3" w14:textId="26F8AD2B" w:rsidR="000F692E" w:rsidRPr="008E4270" w:rsidRDefault="000F692E" w:rsidP="00177492">
      <w:pPr>
        <w:keepNext/>
        <w:tabs>
          <w:tab w:val="left" w:pos="426"/>
          <w:tab w:val="left" w:pos="1440"/>
        </w:tabs>
        <w:spacing w:before="20"/>
        <w:ind w:left="567" w:hanging="567"/>
        <w:rPr>
          <w:rFonts w:cs="Arial"/>
          <w:b/>
          <w:sz w:val="20"/>
          <w:szCs w:val="20"/>
        </w:rPr>
      </w:pPr>
      <w:r w:rsidRPr="008E4270">
        <w:rPr>
          <w:rFonts w:cs="Arial"/>
          <w:b/>
          <w:sz w:val="20"/>
          <w:szCs w:val="20"/>
        </w:rPr>
        <w:tab/>
        <w:t xml:space="preserve">Živel </w:t>
      </w:r>
    </w:p>
    <w:p w14:paraId="18BDCBFA" w14:textId="77777777" w:rsidR="000323C8" w:rsidRPr="008E4270" w:rsidRDefault="000F692E" w:rsidP="000323C8">
      <w:pPr>
        <w:keepNext/>
        <w:tabs>
          <w:tab w:val="left" w:pos="426"/>
          <w:tab w:val="left" w:pos="1440"/>
        </w:tabs>
        <w:ind w:left="425" w:hanging="425"/>
        <w:rPr>
          <w:rFonts w:cs="Arial"/>
          <w:sz w:val="20"/>
        </w:rPr>
      </w:pPr>
      <w:r w:rsidRPr="008E4270">
        <w:rPr>
          <w:rFonts w:cs="Arial"/>
          <w:bCs/>
          <w:sz w:val="20"/>
          <w:szCs w:val="20"/>
        </w:rPr>
        <w:t xml:space="preserve">        </w:t>
      </w:r>
      <w:r w:rsidR="000323C8" w:rsidRPr="008E4270">
        <w:rPr>
          <w:rFonts w:cs="Arial"/>
          <w:sz w:val="20"/>
        </w:rPr>
        <w:t>DZ106 - Zásoby a jejich uložení - Vymezení podmínek (1401)</w:t>
      </w:r>
    </w:p>
    <w:p w14:paraId="4520A217" w14:textId="78A86AF8" w:rsidR="00082EFD" w:rsidRPr="008E4270" w:rsidRDefault="000323C8" w:rsidP="00CD19EF">
      <w:pPr>
        <w:tabs>
          <w:tab w:val="left" w:pos="426"/>
          <w:tab w:val="left" w:pos="1440"/>
        </w:tabs>
        <w:ind w:left="567" w:hanging="567"/>
        <w:rPr>
          <w:rFonts w:cs="Arial"/>
          <w:bCs/>
          <w:sz w:val="20"/>
          <w:szCs w:val="20"/>
        </w:rPr>
      </w:pPr>
      <w:r w:rsidRPr="008E4270">
        <w:rPr>
          <w:rFonts w:cs="Arial"/>
          <w:bCs/>
          <w:sz w:val="20"/>
          <w:szCs w:val="20"/>
        </w:rPr>
        <w:tab/>
      </w:r>
      <w:r w:rsidR="000F692E" w:rsidRPr="008E4270">
        <w:rPr>
          <w:rFonts w:cs="Arial"/>
          <w:bCs/>
          <w:sz w:val="20"/>
          <w:szCs w:val="20"/>
        </w:rPr>
        <w:t xml:space="preserve">DZ112 </w:t>
      </w:r>
      <w:r w:rsidR="000F692E" w:rsidRPr="008E4270">
        <w:rPr>
          <w:sz w:val="20"/>
          <w:szCs w:val="20"/>
        </w:rPr>
        <w:t xml:space="preserve">- </w:t>
      </w:r>
      <w:r w:rsidR="000F692E" w:rsidRPr="008E4270">
        <w:rPr>
          <w:rFonts w:cs="Arial"/>
          <w:bCs/>
          <w:sz w:val="20"/>
          <w:szCs w:val="20"/>
        </w:rPr>
        <w:t xml:space="preserve">Fotovoltaická elektrárna - Výluka </w:t>
      </w:r>
      <w:r w:rsidR="000F692E" w:rsidRPr="008E4270">
        <w:rPr>
          <w:rFonts w:cs="Arial"/>
          <w:sz w:val="20"/>
          <w:szCs w:val="20"/>
        </w:rPr>
        <w:t>(1401)</w:t>
      </w:r>
      <w:r w:rsidR="000F692E" w:rsidRPr="008E4270">
        <w:rPr>
          <w:rFonts w:cs="Arial"/>
          <w:bCs/>
          <w:sz w:val="20"/>
          <w:szCs w:val="20"/>
        </w:rPr>
        <w:t xml:space="preserve"> </w:t>
      </w:r>
    </w:p>
    <w:p w14:paraId="75FD8ED7" w14:textId="586F20DC" w:rsidR="00530838" w:rsidRPr="008E4270" w:rsidRDefault="00530838" w:rsidP="00530838">
      <w:pPr>
        <w:tabs>
          <w:tab w:val="left" w:pos="426"/>
          <w:tab w:val="left" w:pos="1440"/>
        </w:tabs>
        <w:ind w:left="425" w:hanging="425"/>
        <w:rPr>
          <w:rFonts w:cs="Arial"/>
          <w:sz w:val="20"/>
          <w:szCs w:val="20"/>
        </w:rPr>
      </w:pPr>
      <w:r w:rsidRPr="008E4270">
        <w:rPr>
          <w:rFonts w:cs="Arial"/>
          <w:bCs/>
          <w:sz w:val="20"/>
          <w:szCs w:val="20"/>
        </w:rPr>
        <w:tab/>
        <w:t xml:space="preserve">DZ113 - </w:t>
      </w:r>
      <w:r w:rsidRPr="008E4270">
        <w:rPr>
          <w:sz w:val="20"/>
          <w:szCs w:val="20"/>
        </w:rPr>
        <w:t xml:space="preserve">Atmosférické srážky - Rozšíření rozsahu pojištění </w:t>
      </w:r>
      <w:r w:rsidRPr="008E4270">
        <w:rPr>
          <w:rFonts w:cs="Arial"/>
          <w:sz w:val="20"/>
          <w:szCs w:val="20"/>
        </w:rPr>
        <w:t>(1401)</w:t>
      </w:r>
    </w:p>
    <w:p w14:paraId="3EF2719E" w14:textId="6C8D7B1A" w:rsidR="00530838" w:rsidRPr="008E4270" w:rsidRDefault="00530838" w:rsidP="00530838">
      <w:pPr>
        <w:tabs>
          <w:tab w:val="left" w:pos="426"/>
          <w:tab w:val="left" w:pos="1440"/>
        </w:tabs>
        <w:rPr>
          <w:rFonts w:cs="Arial"/>
          <w:bCs/>
          <w:sz w:val="20"/>
          <w:szCs w:val="20"/>
        </w:rPr>
      </w:pPr>
      <w:r w:rsidRPr="008E4270">
        <w:rPr>
          <w:rFonts w:cs="Arial"/>
          <w:sz w:val="20"/>
          <w:szCs w:val="20"/>
        </w:rPr>
        <w:tab/>
      </w:r>
      <w:r w:rsidRPr="008E4270">
        <w:rPr>
          <w:bCs/>
          <w:sz w:val="20"/>
          <w:szCs w:val="20"/>
        </w:rPr>
        <w:t xml:space="preserve">DZ114 - Nepřímý úder blesku </w:t>
      </w:r>
      <w:r w:rsidRPr="008E4270">
        <w:rPr>
          <w:sz w:val="20"/>
          <w:szCs w:val="20"/>
        </w:rPr>
        <w:t>- Rozšíření rozsahu pojištění (1404)</w:t>
      </w:r>
    </w:p>
    <w:p w14:paraId="1D8C63CA" w14:textId="77777777" w:rsidR="000F692E" w:rsidRPr="008E4270" w:rsidRDefault="000F692E" w:rsidP="000D3F42">
      <w:pPr>
        <w:keepNext/>
        <w:tabs>
          <w:tab w:val="left" w:pos="426"/>
        </w:tabs>
        <w:spacing w:before="20"/>
        <w:ind w:left="567" w:hanging="567"/>
        <w:rPr>
          <w:rFonts w:cs="Arial"/>
          <w:b/>
          <w:sz w:val="20"/>
          <w:szCs w:val="20"/>
        </w:rPr>
      </w:pPr>
      <w:r w:rsidRPr="008E4270">
        <w:rPr>
          <w:rFonts w:cs="Arial"/>
          <w:b/>
          <w:sz w:val="20"/>
          <w:szCs w:val="20"/>
        </w:rPr>
        <w:tab/>
        <w:t>Zabezpečení</w:t>
      </w:r>
    </w:p>
    <w:p w14:paraId="2DDCF7BA" w14:textId="766BB26A" w:rsidR="000F692E" w:rsidRPr="008E4270" w:rsidRDefault="000F692E" w:rsidP="007D0D29">
      <w:pPr>
        <w:tabs>
          <w:tab w:val="left" w:pos="1134"/>
          <w:tab w:val="left" w:pos="1276"/>
        </w:tabs>
        <w:ind w:left="1276" w:hanging="1276"/>
        <w:rPr>
          <w:rFonts w:cs="Arial"/>
          <w:b/>
          <w:bCs/>
          <w:sz w:val="20"/>
          <w:szCs w:val="20"/>
        </w:rPr>
      </w:pPr>
      <w:r w:rsidRPr="008E4270">
        <w:rPr>
          <w:rFonts w:cs="Arial"/>
          <w:bCs/>
          <w:sz w:val="20"/>
          <w:szCs w:val="20"/>
        </w:rPr>
        <w:t xml:space="preserve">        DOZ101 - Předepsané způsoby zabezpečení pojištěných věcí (netýká se finančních prostředků a cenných</w:t>
      </w:r>
      <w:r w:rsidR="00C90587" w:rsidRPr="008E4270">
        <w:rPr>
          <w:rFonts w:cs="Arial"/>
          <w:bCs/>
          <w:sz w:val="20"/>
          <w:szCs w:val="20"/>
        </w:rPr>
        <w:t xml:space="preserve">  </w:t>
      </w:r>
      <w:r w:rsidR="007D0D29" w:rsidRPr="008E4270">
        <w:rPr>
          <w:rFonts w:cs="Arial"/>
          <w:bCs/>
          <w:sz w:val="20"/>
          <w:szCs w:val="20"/>
        </w:rPr>
        <w:t xml:space="preserve">   </w:t>
      </w:r>
      <w:r w:rsidR="00C90587" w:rsidRPr="008E4270">
        <w:rPr>
          <w:rFonts w:cs="Arial"/>
          <w:bCs/>
          <w:sz w:val="20"/>
          <w:szCs w:val="20"/>
        </w:rPr>
        <w:t>předmětů</w:t>
      </w:r>
      <w:r w:rsidRPr="008E4270">
        <w:rPr>
          <w:rFonts w:cs="Arial"/>
          <w:bCs/>
          <w:sz w:val="20"/>
          <w:szCs w:val="20"/>
        </w:rPr>
        <w:t>) (</w:t>
      </w:r>
      <w:r w:rsidR="005A327C" w:rsidRPr="008E4270">
        <w:rPr>
          <w:rFonts w:cs="Arial"/>
          <w:bCs/>
          <w:sz w:val="20"/>
          <w:szCs w:val="20"/>
        </w:rPr>
        <w:t>1612</w:t>
      </w:r>
      <w:r w:rsidRPr="008E4270">
        <w:rPr>
          <w:rFonts w:cs="Arial"/>
          <w:bCs/>
          <w:sz w:val="20"/>
          <w:szCs w:val="20"/>
        </w:rPr>
        <w:t>)</w:t>
      </w:r>
    </w:p>
    <w:p w14:paraId="11186F05" w14:textId="77777777" w:rsidR="000F692E" w:rsidRPr="008E4270" w:rsidRDefault="000F692E" w:rsidP="008E0144">
      <w:pPr>
        <w:tabs>
          <w:tab w:val="left" w:pos="426"/>
          <w:tab w:val="left" w:pos="1304"/>
          <w:tab w:val="left" w:pos="1389"/>
        </w:tabs>
        <w:ind w:left="567" w:hanging="567"/>
        <w:rPr>
          <w:rFonts w:cs="Arial"/>
          <w:b/>
          <w:sz w:val="20"/>
          <w:szCs w:val="20"/>
        </w:rPr>
      </w:pPr>
      <w:r w:rsidRPr="008E4270">
        <w:rPr>
          <w:rFonts w:cs="Arial"/>
          <w:b/>
          <w:bCs/>
          <w:sz w:val="20"/>
          <w:szCs w:val="20"/>
        </w:rPr>
        <w:tab/>
      </w:r>
      <w:r w:rsidRPr="008E4270">
        <w:rPr>
          <w:rFonts w:cs="Arial"/>
          <w:bCs/>
          <w:sz w:val="20"/>
          <w:szCs w:val="20"/>
        </w:rPr>
        <w:t>DOZ102 - Předepsané způsoby zabezpečení finančních prostředků a cenných předmětů (</w:t>
      </w:r>
      <w:r w:rsidR="005A327C" w:rsidRPr="008E4270">
        <w:rPr>
          <w:rFonts w:cs="Arial"/>
          <w:bCs/>
          <w:sz w:val="20"/>
          <w:szCs w:val="20"/>
        </w:rPr>
        <w:t>1606</w:t>
      </w:r>
      <w:r w:rsidRPr="008E4270">
        <w:rPr>
          <w:rFonts w:cs="Arial"/>
          <w:bCs/>
          <w:sz w:val="20"/>
          <w:szCs w:val="20"/>
        </w:rPr>
        <w:t>)</w:t>
      </w:r>
    </w:p>
    <w:p w14:paraId="28CDB287" w14:textId="431ACD59" w:rsidR="00C90587" w:rsidRPr="008E4270" w:rsidRDefault="000F692E" w:rsidP="00C90587">
      <w:pPr>
        <w:tabs>
          <w:tab w:val="left" w:pos="1304"/>
          <w:tab w:val="left" w:pos="1389"/>
          <w:tab w:val="left" w:pos="1560"/>
        </w:tabs>
        <w:ind w:left="1276" w:hanging="1276"/>
        <w:rPr>
          <w:sz w:val="20"/>
          <w:szCs w:val="20"/>
        </w:rPr>
      </w:pPr>
      <w:r w:rsidRPr="008E4270">
        <w:rPr>
          <w:rFonts w:cs="Arial"/>
          <w:bCs/>
          <w:sz w:val="20"/>
          <w:szCs w:val="20"/>
        </w:rPr>
        <w:t xml:space="preserve">        </w:t>
      </w:r>
      <w:r w:rsidR="00C90587" w:rsidRPr="008E4270">
        <w:rPr>
          <w:sz w:val="20"/>
          <w:szCs w:val="20"/>
        </w:rPr>
        <w:t>DOZ104 - Loupež přepravovaných peněz nebo cenin - Předepsané způsoby zabezpečení peněz a cenin přepravovaných osobou provádějící přepravu (1401)</w:t>
      </w:r>
    </w:p>
    <w:p w14:paraId="36AEA5C7" w14:textId="4741CDCA" w:rsidR="006A3680" w:rsidRPr="008E4270" w:rsidRDefault="00C90587" w:rsidP="000D3F42">
      <w:pPr>
        <w:tabs>
          <w:tab w:val="left" w:pos="426"/>
          <w:tab w:val="left" w:pos="1304"/>
          <w:tab w:val="left" w:pos="1389"/>
        </w:tabs>
        <w:ind w:left="567" w:hanging="567"/>
        <w:rPr>
          <w:rFonts w:cs="Arial"/>
          <w:bCs/>
          <w:sz w:val="20"/>
          <w:szCs w:val="20"/>
        </w:rPr>
      </w:pPr>
      <w:r w:rsidRPr="008E4270">
        <w:rPr>
          <w:szCs w:val="20"/>
        </w:rPr>
        <w:tab/>
      </w:r>
      <w:r w:rsidR="000F692E" w:rsidRPr="008E4270">
        <w:rPr>
          <w:rFonts w:cs="Arial"/>
          <w:bCs/>
          <w:sz w:val="20"/>
          <w:szCs w:val="20"/>
        </w:rPr>
        <w:t>DOZ105 - Předepsané způsoby zabezpečení - Výklad pojmů (</w:t>
      </w:r>
      <w:r w:rsidR="007E43BA" w:rsidRPr="008E4270">
        <w:rPr>
          <w:rFonts w:cs="Arial"/>
          <w:bCs/>
          <w:sz w:val="20"/>
          <w:szCs w:val="20"/>
        </w:rPr>
        <w:t>2001</w:t>
      </w:r>
      <w:r w:rsidR="000F692E" w:rsidRPr="008E4270">
        <w:rPr>
          <w:rFonts w:cs="Arial"/>
          <w:bCs/>
          <w:sz w:val="20"/>
          <w:szCs w:val="20"/>
        </w:rPr>
        <w:t>)</w:t>
      </w:r>
    </w:p>
    <w:p w14:paraId="4F48B2FC" w14:textId="651AA513" w:rsidR="002317CF" w:rsidRPr="008E4270" w:rsidRDefault="006A3680" w:rsidP="000D3F42">
      <w:pPr>
        <w:tabs>
          <w:tab w:val="left" w:pos="426"/>
        </w:tabs>
        <w:spacing w:before="20"/>
        <w:ind w:left="567" w:hanging="567"/>
        <w:rPr>
          <w:rFonts w:cs="Arial"/>
          <w:b/>
          <w:sz w:val="20"/>
          <w:szCs w:val="20"/>
        </w:rPr>
      </w:pPr>
      <w:r w:rsidRPr="008E4270">
        <w:rPr>
          <w:rFonts w:cs="Arial"/>
          <w:b/>
          <w:sz w:val="20"/>
          <w:szCs w:val="20"/>
        </w:rPr>
        <w:tab/>
      </w:r>
      <w:r w:rsidR="002317CF" w:rsidRPr="008E4270">
        <w:rPr>
          <w:b/>
          <w:sz w:val="20"/>
          <w:szCs w:val="20"/>
        </w:rPr>
        <w:t>Stroje</w:t>
      </w:r>
    </w:p>
    <w:p w14:paraId="24421617" w14:textId="77777777" w:rsidR="000D3F42" w:rsidRPr="008E4270" w:rsidRDefault="002317CF" w:rsidP="000D3F42">
      <w:pPr>
        <w:tabs>
          <w:tab w:val="left" w:pos="426"/>
        </w:tabs>
        <w:ind w:left="567" w:hanging="567"/>
        <w:rPr>
          <w:sz w:val="20"/>
          <w:szCs w:val="20"/>
        </w:rPr>
      </w:pPr>
      <w:r w:rsidRPr="008E4270">
        <w:rPr>
          <w:sz w:val="20"/>
          <w:szCs w:val="20"/>
        </w:rPr>
        <w:tab/>
        <w:t>DST111 -</w:t>
      </w:r>
      <w:r w:rsidR="00217AE1" w:rsidRPr="008E4270">
        <w:rPr>
          <w:sz w:val="20"/>
          <w:szCs w:val="20"/>
        </w:rPr>
        <w:t xml:space="preserve"> </w:t>
      </w:r>
      <w:r w:rsidRPr="008E4270">
        <w:rPr>
          <w:sz w:val="20"/>
          <w:szCs w:val="20"/>
        </w:rPr>
        <w:t>Výměna agregátů, opravy vinutí - Vymezení pojistného plnění (1401)</w:t>
      </w:r>
    </w:p>
    <w:p w14:paraId="68010E48" w14:textId="77777777" w:rsidR="000D3F42" w:rsidRPr="008E4270" w:rsidRDefault="000D3F42" w:rsidP="000D3F42">
      <w:pPr>
        <w:tabs>
          <w:tab w:val="left" w:pos="426"/>
        </w:tabs>
        <w:ind w:left="567" w:hanging="567"/>
        <w:rPr>
          <w:sz w:val="20"/>
          <w:szCs w:val="20"/>
        </w:rPr>
      </w:pPr>
      <w:r w:rsidRPr="008E4270">
        <w:rPr>
          <w:sz w:val="20"/>
          <w:szCs w:val="20"/>
        </w:rPr>
        <w:tab/>
      </w:r>
    </w:p>
    <w:p w14:paraId="57955844" w14:textId="77777777" w:rsidR="000D3F42" w:rsidRPr="008E4270" w:rsidRDefault="000D3F42" w:rsidP="000D3F42">
      <w:pPr>
        <w:tabs>
          <w:tab w:val="left" w:pos="426"/>
        </w:tabs>
        <w:ind w:left="567" w:hanging="567"/>
        <w:rPr>
          <w:sz w:val="20"/>
          <w:szCs w:val="20"/>
        </w:rPr>
      </w:pPr>
    </w:p>
    <w:p w14:paraId="0B0E4D7E" w14:textId="77777777" w:rsidR="000D3F42" w:rsidRPr="008E4270" w:rsidRDefault="000D3F42" w:rsidP="000D3F42">
      <w:pPr>
        <w:tabs>
          <w:tab w:val="left" w:pos="426"/>
        </w:tabs>
        <w:ind w:left="567" w:hanging="567"/>
        <w:rPr>
          <w:sz w:val="20"/>
          <w:szCs w:val="20"/>
        </w:rPr>
      </w:pPr>
    </w:p>
    <w:p w14:paraId="560E9B6E" w14:textId="77777777" w:rsidR="000D3F42" w:rsidRPr="008E4270" w:rsidRDefault="000D3F42" w:rsidP="000D3F42">
      <w:pPr>
        <w:tabs>
          <w:tab w:val="left" w:pos="426"/>
        </w:tabs>
        <w:ind w:left="567" w:hanging="567"/>
        <w:rPr>
          <w:sz w:val="20"/>
          <w:szCs w:val="20"/>
        </w:rPr>
      </w:pPr>
    </w:p>
    <w:p w14:paraId="41CEFB95" w14:textId="096DA82D" w:rsidR="000F692E" w:rsidRPr="008E4270" w:rsidRDefault="000D3F42" w:rsidP="000D3F42">
      <w:pPr>
        <w:tabs>
          <w:tab w:val="left" w:pos="426"/>
        </w:tabs>
        <w:ind w:left="567" w:hanging="567"/>
        <w:rPr>
          <w:sz w:val="20"/>
          <w:szCs w:val="20"/>
        </w:rPr>
      </w:pPr>
      <w:r w:rsidRPr="008E4270">
        <w:rPr>
          <w:sz w:val="20"/>
          <w:szCs w:val="20"/>
        </w:rPr>
        <w:tab/>
      </w:r>
      <w:r w:rsidR="000F692E" w:rsidRPr="008E4270">
        <w:rPr>
          <w:rFonts w:cs="Arial"/>
          <w:b/>
          <w:sz w:val="20"/>
          <w:szCs w:val="20"/>
        </w:rPr>
        <w:t>Odpovědnost za újmu</w:t>
      </w:r>
    </w:p>
    <w:p w14:paraId="48231A3E" w14:textId="77777777" w:rsidR="00191F1A" w:rsidRPr="008E4270" w:rsidRDefault="00191F1A" w:rsidP="00191F1A">
      <w:pPr>
        <w:tabs>
          <w:tab w:val="left" w:pos="426"/>
          <w:tab w:val="left" w:pos="1560"/>
        </w:tabs>
        <w:ind w:left="1758" w:hanging="1332"/>
        <w:rPr>
          <w:sz w:val="20"/>
          <w:szCs w:val="20"/>
        </w:rPr>
      </w:pPr>
      <w:r w:rsidRPr="008E4270">
        <w:rPr>
          <w:sz w:val="20"/>
          <w:szCs w:val="20"/>
        </w:rPr>
        <w:t>DODP6002 -</w:t>
      </w:r>
      <w:r w:rsidRPr="008E4270">
        <w:rPr>
          <w:sz w:val="20"/>
          <w:szCs w:val="20"/>
        </w:rPr>
        <w:tab/>
        <w:t>Výkon veřejné moci (2110)</w:t>
      </w:r>
    </w:p>
    <w:p w14:paraId="05B2A940" w14:textId="77777777" w:rsidR="00191F1A" w:rsidRPr="008E4270" w:rsidRDefault="00191F1A" w:rsidP="00191F1A">
      <w:pPr>
        <w:tabs>
          <w:tab w:val="left" w:pos="426"/>
          <w:tab w:val="left" w:pos="1560"/>
        </w:tabs>
        <w:ind w:left="1758" w:hanging="1332"/>
        <w:rPr>
          <w:sz w:val="20"/>
          <w:szCs w:val="20"/>
        </w:rPr>
      </w:pPr>
      <w:r w:rsidRPr="008E4270">
        <w:rPr>
          <w:sz w:val="20"/>
          <w:szCs w:val="20"/>
        </w:rPr>
        <w:t>DODP6003 -</w:t>
      </w:r>
      <w:r w:rsidRPr="008E4270">
        <w:rPr>
          <w:sz w:val="20"/>
          <w:szCs w:val="20"/>
        </w:rPr>
        <w:tab/>
        <w:t>Obecní policie (2110)</w:t>
      </w:r>
    </w:p>
    <w:p w14:paraId="32139EDE" w14:textId="77777777" w:rsidR="00191F1A" w:rsidRPr="008E4270" w:rsidRDefault="00191F1A" w:rsidP="00191F1A">
      <w:pPr>
        <w:tabs>
          <w:tab w:val="left" w:pos="426"/>
          <w:tab w:val="left" w:pos="1560"/>
        </w:tabs>
        <w:ind w:left="1758" w:hanging="1332"/>
        <w:rPr>
          <w:sz w:val="20"/>
          <w:szCs w:val="20"/>
        </w:rPr>
      </w:pPr>
      <w:r w:rsidRPr="008E4270">
        <w:rPr>
          <w:sz w:val="20"/>
          <w:szCs w:val="20"/>
        </w:rPr>
        <w:t>DODP6004 -</w:t>
      </w:r>
      <w:r w:rsidRPr="008E4270">
        <w:rPr>
          <w:sz w:val="20"/>
          <w:szCs w:val="20"/>
        </w:rPr>
        <w:tab/>
        <w:t>Výkon veřejné služby (2110)</w:t>
      </w:r>
    </w:p>
    <w:p w14:paraId="35C28157" w14:textId="77777777" w:rsidR="00191F1A" w:rsidRPr="008E4270" w:rsidRDefault="00191F1A" w:rsidP="00191F1A">
      <w:pPr>
        <w:tabs>
          <w:tab w:val="left" w:pos="426"/>
          <w:tab w:val="left" w:pos="1560"/>
        </w:tabs>
        <w:ind w:left="1758" w:hanging="1332"/>
        <w:rPr>
          <w:sz w:val="20"/>
          <w:szCs w:val="20"/>
        </w:rPr>
      </w:pPr>
      <w:r w:rsidRPr="008E4270">
        <w:rPr>
          <w:sz w:val="20"/>
          <w:szCs w:val="20"/>
        </w:rPr>
        <w:t>DODP6005 -</w:t>
      </w:r>
      <w:r w:rsidRPr="008E4270">
        <w:rPr>
          <w:sz w:val="20"/>
          <w:szCs w:val="20"/>
        </w:rPr>
        <w:tab/>
        <w:t>Poskytování sociálních služeb (2110)</w:t>
      </w:r>
    </w:p>
    <w:p w14:paraId="01E8C685" w14:textId="77777777" w:rsidR="00191F1A" w:rsidRPr="008E4270" w:rsidRDefault="00191F1A" w:rsidP="00191F1A">
      <w:pPr>
        <w:tabs>
          <w:tab w:val="left" w:pos="426"/>
          <w:tab w:val="left" w:pos="1560"/>
        </w:tabs>
        <w:ind w:left="1758" w:hanging="1332"/>
        <w:rPr>
          <w:sz w:val="20"/>
          <w:szCs w:val="20"/>
        </w:rPr>
      </w:pPr>
      <w:r w:rsidRPr="008E4270">
        <w:rPr>
          <w:sz w:val="20"/>
          <w:szCs w:val="20"/>
        </w:rPr>
        <w:t>DODP6007 -</w:t>
      </w:r>
      <w:r w:rsidRPr="008E4270">
        <w:rPr>
          <w:sz w:val="20"/>
          <w:szCs w:val="20"/>
        </w:rPr>
        <w:tab/>
        <w:t>Poskytování služby péče o dítě v dětské skupině (2110)</w:t>
      </w:r>
    </w:p>
    <w:p w14:paraId="5A147C9C" w14:textId="77777777" w:rsidR="00191F1A" w:rsidRPr="008E4270" w:rsidRDefault="00191F1A" w:rsidP="00191F1A">
      <w:pPr>
        <w:keepLines/>
        <w:tabs>
          <w:tab w:val="left" w:pos="426"/>
          <w:tab w:val="left" w:pos="1560"/>
        </w:tabs>
        <w:ind w:left="1758" w:hanging="1332"/>
        <w:rPr>
          <w:szCs w:val="20"/>
        </w:rPr>
      </w:pPr>
      <w:r w:rsidRPr="008E4270">
        <w:rPr>
          <w:sz w:val="20"/>
          <w:szCs w:val="20"/>
        </w:rPr>
        <w:t>DODP6010 -</w:t>
      </w:r>
      <w:r w:rsidRPr="008E4270">
        <w:rPr>
          <w:sz w:val="20"/>
          <w:szCs w:val="20"/>
        </w:rPr>
        <w:tab/>
        <w:t>Ručení vlastníků pozemních komunikací za správce pozemní komunikace (2110)</w:t>
      </w:r>
    </w:p>
    <w:p w14:paraId="0221C2E2" w14:textId="77777777" w:rsidR="000F692E" w:rsidRPr="008E4270" w:rsidRDefault="005D6DDE" w:rsidP="00C971FA">
      <w:pPr>
        <w:keepNext/>
        <w:tabs>
          <w:tab w:val="left" w:pos="426"/>
        </w:tabs>
        <w:spacing w:before="20"/>
        <w:rPr>
          <w:rFonts w:cs="Arial"/>
          <w:b/>
          <w:sz w:val="20"/>
          <w:szCs w:val="20"/>
        </w:rPr>
      </w:pPr>
      <w:r w:rsidRPr="008E4270">
        <w:rPr>
          <w:rFonts w:cs="Arial"/>
          <w:b/>
          <w:sz w:val="20"/>
          <w:szCs w:val="20"/>
        </w:rPr>
        <w:tab/>
      </w:r>
      <w:r w:rsidR="000F692E" w:rsidRPr="008E4270">
        <w:rPr>
          <w:rFonts w:cs="Arial"/>
          <w:b/>
          <w:sz w:val="20"/>
          <w:szCs w:val="20"/>
        </w:rPr>
        <w:t>Obecné</w:t>
      </w:r>
    </w:p>
    <w:p w14:paraId="643E1504" w14:textId="5008B44A" w:rsidR="000F692E" w:rsidRPr="008E4270" w:rsidRDefault="000F692E" w:rsidP="007E43BA">
      <w:pPr>
        <w:tabs>
          <w:tab w:val="left" w:pos="426"/>
          <w:tab w:val="left" w:pos="1304"/>
          <w:tab w:val="left" w:pos="1389"/>
        </w:tabs>
        <w:ind w:left="567" w:hanging="567"/>
        <w:rPr>
          <w:rFonts w:cs="Arial"/>
          <w:bCs/>
          <w:sz w:val="20"/>
          <w:szCs w:val="20"/>
        </w:rPr>
      </w:pPr>
      <w:r w:rsidRPr="008E4270">
        <w:rPr>
          <w:rFonts w:cs="Arial"/>
          <w:b/>
          <w:sz w:val="20"/>
          <w:szCs w:val="20"/>
        </w:rPr>
        <w:tab/>
      </w:r>
      <w:r w:rsidRPr="008E4270">
        <w:rPr>
          <w:rFonts w:cs="Arial"/>
          <w:sz w:val="20"/>
          <w:szCs w:val="20"/>
        </w:rPr>
        <w:t xml:space="preserve">DOB101 - Elektronická rizika - Výluka </w:t>
      </w:r>
      <w:r w:rsidR="007E43BA" w:rsidRPr="008E4270">
        <w:rPr>
          <w:rFonts w:cs="Arial"/>
          <w:bCs/>
          <w:sz w:val="20"/>
          <w:szCs w:val="20"/>
        </w:rPr>
        <w:t>(2001)</w:t>
      </w:r>
    </w:p>
    <w:p w14:paraId="3E39BD35" w14:textId="552FDF6A" w:rsidR="006427FD" w:rsidRPr="008E4270" w:rsidRDefault="000F692E" w:rsidP="007E43BA">
      <w:pPr>
        <w:tabs>
          <w:tab w:val="left" w:pos="426"/>
          <w:tab w:val="left" w:pos="1304"/>
          <w:tab w:val="left" w:pos="1389"/>
        </w:tabs>
        <w:ind w:left="567" w:hanging="567"/>
        <w:rPr>
          <w:rFonts w:cs="Arial"/>
          <w:bCs/>
          <w:sz w:val="20"/>
          <w:szCs w:val="20"/>
        </w:rPr>
      </w:pPr>
      <w:r w:rsidRPr="008E4270">
        <w:rPr>
          <w:rFonts w:cs="Arial"/>
          <w:b/>
          <w:sz w:val="20"/>
          <w:szCs w:val="20"/>
        </w:rPr>
        <w:tab/>
      </w:r>
      <w:r w:rsidRPr="008E4270">
        <w:rPr>
          <w:rFonts w:cs="Arial"/>
          <w:sz w:val="20"/>
          <w:szCs w:val="20"/>
        </w:rPr>
        <w:t xml:space="preserve">DOB103 - Výklad pojmů pro účely pojistné smlouvy </w:t>
      </w:r>
      <w:r w:rsidR="007E43BA" w:rsidRPr="008E4270">
        <w:rPr>
          <w:rFonts w:cs="Arial"/>
          <w:bCs/>
          <w:sz w:val="20"/>
          <w:szCs w:val="20"/>
        </w:rPr>
        <w:t>(2001)</w:t>
      </w:r>
    </w:p>
    <w:p w14:paraId="4C8233CC" w14:textId="77777777" w:rsidR="00F020A5" w:rsidRPr="008E4270" w:rsidRDefault="006427FD" w:rsidP="00FB413F">
      <w:pPr>
        <w:tabs>
          <w:tab w:val="left" w:pos="426"/>
        </w:tabs>
        <w:ind w:left="426" w:hanging="426"/>
        <w:rPr>
          <w:rFonts w:cs="Arial"/>
          <w:sz w:val="20"/>
          <w:szCs w:val="20"/>
        </w:rPr>
      </w:pPr>
      <w:r w:rsidRPr="008E4270">
        <w:rPr>
          <w:rFonts w:cs="Arial"/>
          <w:sz w:val="20"/>
          <w:szCs w:val="20"/>
        </w:rPr>
        <w:tab/>
      </w:r>
      <w:r w:rsidR="00F020A5" w:rsidRPr="008E4270">
        <w:rPr>
          <w:rFonts w:cs="Arial"/>
          <w:sz w:val="20"/>
          <w:szCs w:val="20"/>
        </w:rPr>
        <w:t>DOB104 - Demolice, suť - Rozšíření rozsahu pojištění (1401)</w:t>
      </w:r>
    </w:p>
    <w:p w14:paraId="3B0C6A78" w14:textId="3A0A07B4" w:rsidR="006427FD" w:rsidRPr="008E4270" w:rsidRDefault="00F020A5" w:rsidP="00FB413F">
      <w:pPr>
        <w:tabs>
          <w:tab w:val="left" w:pos="426"/>
        </w:tabs>
        <w:ind w:left="426" w:hanging="426"/>
        <w:rPr>
          <w:rFonts w:cs="Arial"/>
          <w:b/>
          <w:sz w:val="20"/>
          <w:szCs w:val="20"/>
        </w:rPr>
      </w:pPr>
      <w:r w:rsidRPr="008E4270">
        <w:rPr>
          <w:rFonts w:cs="Arial"/>
          <w:sz w:val="20"/>
          <w:szCs w:val="20"/>
        </w:rPr>
        <w:tab/>
      </w:r>
      <w:r w:rsidR="000F692E" w:rsidRPr="008E4270">
        <w:rPr>
          <w:rFonts w:cs="Arial"/>
          <w:sz w:val="20"/>
          <w:szCs w:val="20"/>
        </w:rPr>
        <w:t>DOB105 - Tíha sněhu, námraza - Vymezení podmínek (1401)</w:t>
      </w:r>
      <w:r w:rsidR="000F692E" w:rsidRPr="008E4270">
        <w:rPr>
          <w:rFonts w:cs="Arial"/>
          <w:b/>
          <w:sz w:val="20"/>
          <w:szCs w:val="20"/>
        </w:rPr>
        <w:t xml:space="preserve"> </w:t>
      </w:r>
    </w:p>
    <w:p w14:paraId="2D39FA83" w14:textId="234FC017" w:rsidR="00A00E58" w:rsidRPr="008E4270" w:rsidRDefault="006427FD" w:rsidP="002F576E">
      <w:pPr>
        <w:suppressAutoHyphens/>
        <w:ind w:left="1276" w:hanging="851"/>
        <w:rPr>
          <w:rFonts w:cs="Arial"/>
          <w:bCs/>
          <w:sz w:val="20"/>
          <w:szCs w:val="20"/>
        </w:rPr>
      </w:pPr>
      <w:r w:rsidRPr="008E4270">
        <w:rPr>
          <w:rFonts w:cs="Arial"/>
          <w:spacing w:val="-2"/>
          <w:sz w:val="20"/>
          <w:szCs w:val="20"/>
        </w:rPr>
        <w:t>DOB107</w:t>
      </w:r>
      <w:r w:rsidR="000F692E" w:rsidRPr="008E4270">
        <w:rPr>
          <w:rFonts w:cs="Arial"/>
          <w:bCs/>
          <w:sz w:val="20"/>
          <w:szCs w:val="20"/>
        </w:rPr>
        <w:t xml:space="preserve"> - Definice jedné pojistné události pro pojistná nebezpečí povodeň, záplava, vichřice, krupobití</w:t>
      </w:r>
      <w:r w:rsidR="00965015" w:rsidRPr="008E4270">
        <w:rPr>
          <w:rFonts w:cs="Arial"/>
          <w:bCs/>
          <w:sz w:val="20"/>
          <w:szCs w:val="20"/>
        </w:rPr>
        <w:t xml:space="preserve">  </w:t>
      </w:r>
      <w:r w:rsidR="000F692E" w:rsidRPr="008E4270">
        <w:rPr>
          <w:rFonts w:cs="Arial"/>
          <w:bCs/>
          <w:sz w:val="20"/>
          <w:szCs w:val="20"/>
        </w:rPr>
        <w:t>(1401)</w:t>
      </w:r>
    </w:p>
    <w:p w14:paraId="4588F544" w14:textId="093174C7" w:rsidR="002F576E" w:rsidRPr="008E4270" w:rsidRDefault="002F576E" w:rsidP="002F576E">
      <w:pPr>
        <w:suppressAutoHyphens/>
        <w:ind w:left="1276" w:hanging="851"/>
        <w:rPr>
          <w:rFonts w:cs="Arial"/>
          <w:bCs/>
          <w:sz w:val="20"/>
          <w:szCs w:val="20"/>
        </w:rPr>
      </w:pPr>
      <w:r w:rsidRPr="008E4270">
        <w:rPr>
          <w:rFonts w:cs="Arial"/>
          <w:bCs/>
          <w:sz w:val="20"/>
          <w:szCs w:val="20"/>
        </w:rPr>
        <w:t xml:space="preserve">DOB108 </w:t>
      </w:r>
      <w:r w:rsidR="00536193" w:rsidRPr="008E4270">
        <w:rPr>
          <w:rFonts w:cs="Arial"/>
          <w:bCs/>
          <w:sz w:val="20"/>
          <w:szCs w:val="20"/>
        </w:rPr>
        <w:t>-</w:t>
      </w:r>
      <w:r w:rsidRPr="008E4270">
        <w:rPr>
          <w:rFonts w:cs="Arial"/>
          <w:bCs/>
          <w:sz w:val="20"/>
          <w:szCs w:val="20"/>
        </w:rPr>
        <w:t xml:space="preserve"> </w:t>
      </w:r>
      <w:r w:rsidR="00536193" w:rsidRPr="008E4270">
        <w:rPr>
          <w:rFonts w:cs="Arial"/>
          <w:bCs/>
          <w:sz w:val="20"/>
          <w:szCs w:val="20"/>
        </w:rPr>
        <w:t>Dočasné přemístění pojištěných věcí movitého charakteru - Rozšíření rozsahu pojištění (1401)</w:t>
      </w:r>
    </w:p>
    <w:p w14:paraId="10F8C1C3" w14:textId="0B19DE48" w:rsidR="00897E96" w:rsidRPr="008E4270" w:rsidRDefault="00D409C0" w:rsidP="00C971FA">
      <w:pPr>
        <w:suppressAutoHyphens/>
        <w:spacing w:before="20"/>
        <w:ind w:left="1276" w:hanging="851"/>
        <w:rPr>
          <w:rFonts w:cs="Arial"/>
          <w:b/>
          <w:sz w:val="20"/>
          <w:szCs w:val="20"/>
        </w:rPr>
      </w:pPr>
      <w:r w:rsidRPr="008E4270">
        <w:rPr>
          <w:rFonts w:cs="Arial"/>
          <w:b/>
          <w:sz w:val="20"/>
          <w:szCs w:val="20"/>
        </w:rPr>
        <w:t>Jiné</w:t>
      </w:r>
    </w:p>
    <w:p w14:paraId="6A725218" w14:textId="0358DD06" w:rsidR="00F020A5" w:rsidRPr="008E4270" w:rsidRDefault="00F020A5" w:rsidP="00F020A5">
      <w:pPr>
        <w:tabs>
          <w:tab w:val="left" w:pos="426"/>
        </w:tabs>
        <w:ind w:left="1729" w:hanging="1729"/>
        <w:rPr>
          <w:b/>
          <w:sz w:val="20"/>
          <w:szCs w:val="20"/>
        </w:rPr>
      </w:pPr>
      <w:r w:rsidRPr="008E4270">
        <w:rPr>
          <w:sz w:val="20"/>
          <w:szCs w:val="20"/>
        </w:rPr>
        <w:tab/>
        <w:t>DOD101</w:t>
      </w:r>
      <w:r w:rsidR="00DE26B9" w:rsidRPr="008E4270">
        <w:rPr>
          <w:sz w:val="20"/>
          <w:szCs w:val="20"/>
        </w:rPr>
        <w:t xml:space="preserve"> </w:t>
      </w:r>
      <w:r w:rsidRPr="008E4270">
        <w:rPr>
          <w:sz w:val="20"/>
          <w:szCs w:val="20"/>
        </w:rPr>
        <w:t>- Pojištění okrasných dřevin - Rozšíření předmětu pojištění (1401)</w:t>
      </w:r>
    </w:p>
    <w:p w14:paraId="7A712820" w14:textId="1AC7BF30" w:rsidR="00D409C0" w:rsidRPr="008E4270" w:rsidRDefault="00E021AF" w:rsidP="000E639E">
      <w:pPr>
        <w:suppressAutoHyphens/>
        <w:ind w:left="1276" w:hanging="851"/>
        <w:rPr>
          <w:rFonts w:cs="Arial"/>
          <w:sz w:val="20"/>
          <w:szCs w:val="20"/>
        </w:rPr>
      </w:pPr>
      <w:r w:rsidRPr="008E4270">
        <w:rPr>
          <w:rFonts w:cs="Arial"/>
          <w:sz w:val="20"/>
          <w:szCs w:val="20"/>
        </w:rPr>
        <w:t>DODC102 - Malby, nástřiky, polepení - Rozšíření rozsahu pojištění (1401)</w:t>
      </w:r>
    </w:p>
    <w:p w14:paraId="5A474371" w14:textId="28C87836" w:rsidR="00FB2B5D" w:rsidRPr="008E4270" w:rsidRDefault="00FB2B5D" w:rsidP="009533B9">
      <w:pPr>
        <w:spacing w:before="240"/>
        <w:jc w:val="center"/>
        <w:rPr>
          <w:rFonts w:cs="Arial"/>
          <w:b/>
          <w:bCs/>
          <w:sz w:val="24"/>
        </w:rPr>
      </w:pPr>
      <w:r w:rsidRPr="008E4270">
        <w:rPr>
          <w:rFonts w:cs="Arial"/>
          <w:b/>
          <w:bCs/>
          <w:sz w:val="24"/>
        </w:rPr>
        <w:t>Článek II.</w:t>
      </w:r>
    </w:p>
    <w:p w14:paraId="7AF32522" w14:textId="77777777" w:rsidR="00FB2B5D" w:rsidRPr="008E4270" w:rsidRDefault="00FB2B5D" w:rsidP="004B1FEF">
      <w:pPr>
        <w:jc w:val="center"/>
        <w:rPr>
          <w:b/>
          <w:bCs/>
          <w:sz w:val="24"/>
        </w:rPr>
      </w:pPr>
      <w:r w:rsidRPr="008E4270">
        <w:rPr>
          <w:b/>
          <w:bCs/>
          <w:sz w:val="24"/>
        </w:rPr>
        <w:t>Druhy a způsoby pojištění, předměty a rozsah pojištění</w:t>
      </w:r>
    </w:p>
    <w:p w14:paraId="5CE47672" w14:textId="77777777" w:rsidR="00FB2B5D" w:rsidRPr="008E4270" w:rsidRDefault="00FB2B5D" w:rsidP="00BE671B">
      <w:pPr>
        <w:keepNext/>
        <w:numPr>
          <w:ilvl w:val="0"/>
          <w:numId w:val="9"/>
        </w:numPr>
        <w:spacing w:before="120"/>
        <w:ind w:left="391" w:hanging="391"/>
        <w:rPr>
          <w:rFonts w:cs="Arial"/>
          <w:b/>
          <w:sz w:val="20"/>
        </w:rPr>
      </w:pPr>
      <w:r w:rsidRPr="008E4270">
        <w:rPr>
          <w:rFonts w:cs="Arial"/>
          <w:b/>
          <w:sz w:val="20"/>
        </w:rPr>
        <w:t xml:space="preserve">Obecná ujednání pro pojištění majetku </w:t>
      </w:r>
    </w:p>
    <w:p w14:paraId="1A8C24A1" w14:textId="43DD7F9A" w:rsidR="000541A4" w:rsidRPr="008E4270" w:rsidRDefault="00FB2B5D" w:rsidP="00D329A2">
      <w:pPr>
        <w:numPr>
          <w:ilvl w:val="1"/>
          <w:numId w:val="8"/>
        </w:numPr>
        <w:tabs>
          <w:tab w:val="clear" w:pos="360"/>
          <w:tab w:val="left" w:pos="-720"/>
        </w:tabs>
        <w:spacing w:before="60"/>
        <w:ind w:left="425" w:hanging="425"/>
        <w:jc w:val="both"/>
        <w:rPr>
          <w:rFonts w:cs="Arial"/>
          <w:b/>
          <w:sz w:val="20"/>
        </w:rPr>
      </w:pPr>
      <w:r w:rsidRPr="008E4270">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0DA0E940" w14:textId="307F6DD9" w:rsidR="00FB2B5D" w:rsidRPr="008E4270" w:rsidRDefault="00FB2B5D" w:rsidP="00D329A2">
      <w:pPr>
        <w:numPr>
          <w:ilvl w:val="1"/>
          <w:numId w:val="8"/>
        </w:numPr>
        <w:tabs>
          <w:tab w:val="clear" w:pos="360"/>
          <w:tab w:val="left" w:pos="-720"/>
        </w:tabs>
        <w:spacing w:before="60"/>
        <w:ind w:left="426" w:hanging="426"/>
        <w:jc w:val="both"/>
        <w:rPr>
          <w:rFonts w:cs="Arial"/>
          <w:sz w:val="20"/>
        </w:rPr>
      </w:pPr>
      <w:r w:rsidRPr="008E4270">
        <w:rPr>
          <w:rFonts w:cs="Arial"/>
          <w:sz w:val="20"/>
        </w:rPr>
        <w:t>Pro pojištění majetku j</w:t>
      </w:r>
      <w:r w:rsidR="009533B9" w:rsidRPr="008E4270">
        <w:rPr>
          <w:rFonts w:cs="Arial"/>
          <w:sz w:val="20"/>
        </w:rPr>
        <w:t>e</w:t>
      </w:r>
      <w:r w:rsidRPr="008E4270">
        <w:rPr>
          <w:rFonts w:cs="Arial"/>
          <w:sz w:val="20"/>
        </w:rPr>
        <w:t xml:space="preserve"> místem pojištění </w:t>
      </w:r>
    </w:p>
    <w:p w14:paraId="41A23998" w14:textId="072D732A" w:rsidR="00D0719B" w:rsidRPr="008E4270" w:rsidRDefault="009533B9" w:rsidP="00D329A2">
      <w:pPr>
        <w:tabs>
          <w:tab w:val="right" w:leader="dot" w:pos="9809"/>
        </w:tabs>
        <w:suppressAutoHyphens/>
        <w:spacing w:before="60"/>
        <w:ind w:firstLine="425"/>
        <w:jc w:val="both"/>
        <w:rPr>
          <w:rFonts w:cs="Arial"/>
          <w:snapToGrid w:val="0"/>
          <w:sz w:val="20"/>
          <w:szCs w:val="20"/>
        </w:rPr>
      </w:pPr>
      <w:r w:rsidRPr="008E4270">
        <w:rPr>
          <w:rFonts w:cs="Arial"/>
          <w:snapToGrid w:val="0"/>
          <w:sz w:val="20"/>
          <w:szCs w:val="20"/>
        </w:rPr>
        <w:t xml:space="preserve">-  </w:t>
      </w:r>
      <w:r w:rsidR="008B00BD" w:rsidRPr="008E4270">
        <w:rPr>
          <w:rFonts w:cs="Arial"/>
          <w:snapToGrid w:val="0"/>
          <w:sz w:val="20"/>
          <w:szCs w:val="20"/>
        </w:rPr>
        <w:t xml:space="preserve">k.ú. </w:t>
      </w:r>
      <w:r w:rsidR="00281F3D" w:rsidRPr="008E4270">
        <w:rPr>
          <w:rFonts w:cs="Arial"/>
          <w:snapToGrid w:val="0"/>
          <w:sz w:val="20"/>
          <w:szCs w:val="20"/>
        </w:rPr>
        <w:t xml:space="preserve">Rakovník, Skryje, Lužná, Olešná, Hořesedly, Chlum, Kounov, Chrášťany, Senomaty, </w:t>
      </w:r>
      <w:proofErr w:type="spellStart"/>
      <w:r w:rsidR="00281F3D" w:rsidRPr="008E4270">
        <w:rPr>
          <w:rFonts w:cs="Arial"/>
          <w:snapToGrid w:val="0"/>
          <w:sz w:val="20"/>
          <w:szCs w:val="20"/>
        </w:rPr>
        <w:t>Ryšín</w:t>
      </w:r>
      <w:proofErr w:type="spellEnd"/>
      <w:r w:rsidR="00281F3D" w:rsidRPr="008E4270">
        <w:rPr>
          <w:rFonts w:cs="Arial"/>
          <w:snapToGrid w:val="0"/>
          <w:sz w:val="20"/>
          <w:szCs w:val="20"/>
        </w:rPr>
        <w:t>, Lubná</w:t>
      </w:r>
      <w:r w:rsidR="008B00BD" w:rsidRPr="008E4270">
        <w:rPr>
          <w:rFonts w:cs="Arial"/>
          <w:snapToGrid w:val="0"/>
          <w:sz w:val="20"/>
          <w:szCs w:val="20"/>
        </w:rPr>
        <w:t>,</w:t>
      </w:r>
    </w:p>
    <w:p w14:paraId="73026FB9" w14:textId="77777777" w:rsidR="00FB2B5D" w:rsidRPr="008E4270" w:rsidRDefault="00FB2B5D" w:rsidP="00D329A2">
      <w:pPr>
        <w:tabs>
          <w:tab w:val="left" w:pos="-720"/>
        </w:tabs>
        <w:spacing w:before="60"/>
        <w:ind w:left="709" w:hanging="284"/>
        <w:jc w:val="both"/>
        <w:rPr>
          <w:rFonts w:cs="Arial"/>
          <w:sz w:val="20"/>
        </w:rPr>
      </w:pPr>
      <w:r w:rsidRPr="008E4270">
        <w:rPr>
          <w:rFonts w:cs="Arial"/>
          <w:sz w:val="20"/>
        </w:rPr>
        <w:t>není-li dále uvedeno jinak.</w:t>
      </w:r>
    </w:p>
    <w:p w14:paraId="3F8508AA" w14:textId="77777777" w:rsidR="00FB2B5D" w:rsidRPr="008E4270" w:rsidRDefault="00FB2B5D" w:rsidP="00C93ACC">
      <w:pPr>
        <w:keepNext/>
        <w:numPr>
          <w:ilvl w:val="0"/>
          <w:numId w:val="9"/>
        </w:numPr>
        <w:spacing w:before="120"/>
        <w:ind w:left="425" w:hanging="425"/>
        <w:rPr>
          <w:rFonts w:cs="Arial"/>
          <w:b/>
          <w:sz w:val="20"/>
        </w:rPr>
      </w:pPr>
      <w:r w:rsidRPr="008E4270">
        <w:rPr>
          <w:rFonts w:cs="Arial"/>
          <w:b/>
          <w:sz w:val="20"/>
        </w:rPr>
        <w:t>Přehled sjednaných pojištění</w:t>
      </w:r>
    </w:p>
    <w:p w14:paraId="6DAA305B" w14:textId="77777777" w:rsidR="00462E56" w:rsidRPr="008E4270" w:rsidRDefault="00462E56" w:rsidP="001B4F1B">
      <w:pPr>
        <w:pStyle w:val="slovn-rove2"/>
        <w:numPr>
          <w:ilvl w:val="1"/>
          <w:numId w:val="12"/>
        </w:numPr>
        <w:tabs>
          <w:tab w:val="clear" w:pos="454"/>
          <w:tab w:val="left" w:pos="426"/>
        </w:tabs>
        <w:spacing w:before="60" w:after="0"/>
        <w:ind w:left="3555" w:hanging="3555"/>
        <w:rPr>
          <w:szCs w:val="20"/>
        </w:rPr>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E4270">
        <w:rPr>
          <w:szCs w:val="20"/>
        </w:rPr>
        <w:t>Živelní pojištění</w:t>
      </w:r>
    </w:p>
    <w:p w14:paraId="350E01A7" w14:textId="7DABBE0E" w:rsidR="00FB2B5D" w:rsidRPr="008E4270" w:rsidRDefault="00462E56" w:rsidP="00DE67DD">
      <w:pPr>
        <w:keepLines/>
        <w:jc w:val="both"/>
        <w:rPr>
          <w:sz w:val="20"/>
          <w:szCs w:val="20"/>
        </w:rPr>
      </w:pPr>
      <w:r w:rsidRPr="008E4270">
        <w:rPr>
          <w:sz w:val="20"/>
          <w:szCs w:val="20"/>
        </w:rPr>
        <w:t>Pojištění se sjednává pro předměty pojištění v rozsahu a na místech pojištění uvedených v následující tabulce/následujících tabulkách:</w:t>
      </w:r>
    </w:p>
    <w:p w14:paraId="0700B9BC" w14:textId="583C5519" w:rsidR="003B7CFF" w:rsidRPr="008E4270" w:rsidRDefault="003B7CFF" w:rsidP="001B4F1B">
      <w:pPr>
        <w:keepNext/>
        <w:spacing w:before="60"/>
        <w:rPr>
          <w:b/>
          <w:sz w:val="20"/>
          <w:szCs w:val="20"/>
        </w:rPr>
      </w:pPr>
      <w:bookmarkStart w:id="18" w:name="_Toc367839357"/>
      <w:r w:rsidRPr="008E4270">
        <w:rPr>
          <w:b/>
          <w:sz w:val="20"/>
          <w:szCs w:val="20"/>
        </w:rPr>
        <w:t xml:space="preserve"> 2.1.1 Živelní pojištění</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126"/>
        <w:gridCol w:w="1843"/>
        <w:gridCol w:w="1276"/>
        <w:gridCol w:w="1276"/>
        <w:gridCol w:w="1559"/>
        <w:gridCol w:w="1239"/>
      </w:tblGrid>
      <w:tr w:rsidR="008E4270" w:rsidRPr="008E4270" w14:paraId="1C0401EB" w14:textId="77777777" w:rsidTr="005B747D">
        <w:trPr>
          <w:jc w:val="center"/>
        </w:trPr>
        <w:tc>
          <w:tcPr>
            <w:tcW w:w="9992" w:type="dxa"/>
            <w:gridSpan w:val="7"/>
          </w:tcPr>
          <w:p w14:paraId="41E22721" w14:textId="77777777" w:rsidR="003B7CFF" w:rsidRPr="008E4270" w:rsidRDefault="003B7CFF" w:rsidP="005B747D">
            <w:pPr>
              <w:rPr>
                <w:rFonts w:cs="Arial"/>
                <w:sz w:val="20"/>
                <w:szCs w:val="20"/>
              </w:rPr>
            </w:pPr>
            <w:r w:rsidRPr="008E4270">
              <w:rPr>
                <w:b/>
                <w:sz w:val="20"/>
                <w:szCs w:val="20"/>
              </w:rPr>
              <w:t>Místo pojištění:</w:t>
            </w:r>
            <w:r w:rsidRPr="008E4270">
              <w:rPr>
                <w:rFonts w:cs="Arial"/>
                <w:sz w:val="20"/>
                <w:szCs w:val="20"/>
              </w:rPr>
              <w:t xml:space="preserve"> </w:t>
            </w:r>
            <w:r w:rsidRPr="008E4270">
              <w:rPr>
                <w:sz w:val="20"/>
                <w:szCs w:val="20"/>
              </w:rPr>
              <w:t>dle bodu 1.2., odst. 1., Čl. II. této pojistné smlouvy</w:t>
            </w:r>
          </w:p>
        </w:tc>
      </w:tr>
      <w:tr w:rsidR="008E4270" w:rsidRPr="008E4270" w14:paraId="4F0D1525" w14:textId="77777777" w:rsidTr="005B747D">
        <w:trPr>
          <w:jc w:val="center"/>
        </w:trPr>
        <w:tc>
          <w:tcPr>
            <w:tcW w:w="9992" w:type="dxa"/>
            <w:gridSpan w:val="7"/>
          </w:tcPr>
          <w:p w14:paraId="60CA618C" w14:textId="77777777" w:rsidR="003B7CFF" w:rsidRPr="008E4270" w:rsidRDefault="003B7CFF" w:rsidP="005B747D">
            <w:pPr>
              <w:rPr>
                <w:sz w:val="20"/>
                <w:szCs w:val="20"/>
              </w:rPr>
            </w:pPr>
            <w:r w:rsidRPr="008E4270">
              <w:rPr>
                <w:b/>
                <w:sz w:val="20"/>
                <w:szCs w:val="20"/>
              </w:rPr>
              <w:t xml:space="preserve">Rozsah pojištění: </w:t>
            </w:r>
            <w:r w:rsidRPr="008E4270">
              <w:rPr>
                <w:sz w:val="20"/>
                <w:szCs w:val="20"/>
              </w:rPr>
              <w:t>sdružený živel</w:t>
            </w:r>
          </w:p>
        </w:tc>
      </w:tr>
      <w:tr w:rsidR="008E4270" w:rsidRPr="008E4270" w14:paraId="115CA064" w14:textId="77777777" w:rsidTr="005B747D">
        <w:trPr>
          <w:jc w:val="center"/>
        </w:trPr>
        <w:tc>
          <w:tcPr>
            <w:tcW w:w="9992" w:type="dxa"/>
            <w:gridSpan w:val="7"/>
          </w:tcPr>
          <w:p w14:paraId="43F10BC0" w14:textId="77777777" w:rsidR="003B7CFF" w:rsidRPr="008E4270" w:rsidRDefault="003B7CFF" w:rsidP="005B747D">
            <w:pPr>
              <w:ind w:left="1510" w:hanging="1510"/>
              <w:rPr>
                <w:sz w:val="20"/>
                <w:szCs w:val="20"/>
              </w:rPr>
            </w:pPr>
            <w:r w:rsidRPr="008E4270">
              <w:rPr>
                <w:b/>
                <w:sz w:val="20"/>
                <w:szCs w:val="20"/>
              </w:rPr>
              <w:t>Pojištění se řídí:</w:t>
            </w:r>
            <w:r w:rsidRPr="008E4270">
              <w:rPr>
                <w:sz w:val="20"/>
                <w:szCs w:val="20"/>
              </w:rPr>
              <w:t xml:space="preserve"> VPP P-100/14, ZPP P-150/14 a doložkami DZ106, DZ112, DZ113, DZ114, DOD101, DOB101, DOB103, DOB104, DOB105, DOB107, DOB108</w:t>
            </w:r>
          </w:p>
        </w:tc>
      </w:tr>
      <w:tr w:rsidR="008E4270" w:rsidRPr="008E4270" w14:paraId="3AE3B2A8" w14:textId="77777777" w:rsidTr="00586B46">
        <w:trPr>
          <w:jc w:val="center"/>
        </w:trPr>
        <w:tc>
          <w:tcPr>
            <w:tcW w:w="673" w:type="dxa"/>
            <w:vAlign w:val="center"/>
          </w:tcPr>
          <w:p w14:paraId="2981D56D" w14:textId="77777777" w:rsidR="003B7CFF" w:rsidRPr="008E4270" w:rsidRDefault="003B7CFF" w:rsidP="005B747D">
            <w:pPr>
              <w:jc w:val="center"/>
              <w:rPr>
                <w:b/>
                <w:sz w:val="20"/>
                <w:szCs w:val="20"/>
              </w:rPr>
            </w:pPr>
            <w:r w:rsidRPr="008E4270">
              <w:rPr>
                <w:b/>
                <w:sz w:val="20"/>
                <w:szCs w:val="20"/>
              </w:rPr>
              <w:t>Poř. číslo</w:t>
            </w:r>
          </w:p>
        </w:tc>
        <w:tc>
          <w:tcPr>
            <w:tcW w:w="2126" w:type="dxa"/>
            <w:vAlign w:val="center"/>
          </w:tcPr>
          <w:p w14:paraId="74E579CE" w14:textId="77777777" w:rsidR="003B7CFF" w:rsidRPr="008E4270" w:rsidRDefault="003B7CFF" w:rsidP="005B747D">
            <w:pPr>
              <w:jc w:val="center"/>
              <w:rPr>
                <w:b/>
                <w:sz w:val="20"/>
                <w:szCs w:val="20"/>
              </w:rPr>
            </w:pPr>
            <w:r w:rsidRPr="008E4270">
              <w:rPr>
                <w:b/>
                <w:sz w:val="20"/>
                <w:szCs w:val="20"/>
              </w:rPr>
              <w:t>Předmět pojištění</w:t>
            </w:r>
          </w:p>
        </w:tc>
        <w:tc>
          <w:tcPr>
            <w:tcW w:w="1843" w:type="dxa"/>
            <w:vAlign w:val="center"/>
          </w:tcPr>
          <w:p w14:paraId="227ED16B" w14:textId="77777777" w:rsidR="003B7CFF" w:rsidRPr="008E4270" w:rsidRDefault="003B7CFF" w:rsidP="005B747D">
            <w:pPr>
              <w:jc w:val="center"/>
              <w:rPr>
                <w:b/>
                <w:sz w:val="20"/>
                <w:szCs w:val="20"/>
              </w:rPr>
            </w:pPr>
            <w:r w:rsidRPr="008E4270">
              <w:rPr>
                <w:b/>
                <w:sz w:val="20"/>
                <w:szCs w:val="20"/>
              </w:rPr>
              <w:t>Pojistná částka</w:t>
            </w:r>
            <w:r w:rsidRPr="008E4270">
              <w:rPr>
                <w:b/>
                <w:sz w:val="20"/>
                <w:szCs w:val="20"/>
                <w:vertAlign w:val="superscript"/>
              </w:rPr>
              <w:t>10)</w:t>
            </w:r>
          </w:p>
        </w:tc>
        <w:tc>
          <w:tcPr>
            <w:tcW w:w="1276" w:type="dxa"/>
            <w:vAlign w:val="center"/>
          </w:tcPr>
          <w:p w14:paraId="7634B9D4" w14:textId="77777777" w:rsidR="003B7CFF" w:rsidRPr="008E4270" w:rsidRDefault="003B7CFF" w:rsidP="005B747D">
            <w:pPr>
              <w:jc w:val="center"/>
              <w:rPr>
                <w:b/>
                <w:sz w:val="20"/>
                <w:szCs w:val="20"/>
              </w:rPr>
            </w:pPr>
            <w:r w:rsidRPr="008E4270">
              <w:rPr>
                <w:b/>
                <w:sz w:val="20"/>
                <w:szCs w:val="20"/>
              </w:rPr>
              <w:t>Spoluúčast</w:t>
            </w:r>
          </w:p>
          <w:p w14:paraId="5FC9F08D" w14:textId="77777777" w:rsidR="003B7CFF" w:rsidRPr="008E4270" w:rsidRDefault="003B7CFF" w:rsidP="005B747D">
            <w:pPr>
              <w:jc w:val="center"/>
              <w:rPr>
                <w:b/>
                <w:sz w:val="20"/>
                <w:szCs w:val="20"/>
              </w:rPr>
            </w:pPr>
            <w:r w:rsidRPr="008E4270">
              <w:rPr>
                <w:b/>
                <w:sz w:val="20"/>
                <w:szCs w:val="20"/>
                <w:vertAlign w:val="superscript"/>
              </w:rPr>
              <w:t>5)</w:t>
            </w:r>
          </w:p>
        </w:tc>
        <w:tc>
          <w:tcPr>
            <w:tcW w:w="1276" w:type="dxa"/>
            <w:vAlign w:val="center"/>
          </w:tcPr>
          <w:p w14:paraId="611E38D9" w14:textId="77777777" w:rsidR="003B7CFF" w:rsidRPr="008E4270" w:rsidRDefault="003B7CFF" w:rsidP="005B747D">
            <w:pPr>
              <w:jc w:val="center"/>
              <w:rPr>
                <w:b/>
                <w:sz w:val="20"/>
                <w:szCs w:val="20"/>
              </w:rPr>
            </w:pPr>
            <w:r w:rsidRPr="008E4270">
              <w:rPr>
                <w:b/>
                <w:sz w:val="20"/>
                <w:szCs w:val="20"/>
              </w:rPr>
              <w:t>Pojištění se sjednává na cenu</w:t>
            </w:r>
            <w:r w:rsidRPr="008E4270">
              <w:rPr>
                <w:b/>
                <w:sz w:val="20"/>
                <w:szCs w:val="20"/>
                <w:vertAlign w:val="superscript"/>
              </w:rPr>
              <w:t>*)1)</w:t>
            </w:r>
          </w:p>
        </w:tc>
        <w:tc>
          <w:tcPr>
            <w:tcW w:w="1559" w:type="dxa"/>
            <w:vAlign w:val="center"/>
          </w:tcPr>
          <w:p w14:paraId="5F77BEB0" w14:textId="77777777" w:rsidR="003B7CFF" w:rsidRPr="008E4270" w:rsidRDefault="003B7CFF" w:rsidP="005B747D">
            <w:pPr>
              <w:jc w:val="center"/>
              <w:rPr>
                <w:b/>
                <w:sz w:val="20"/>
                <w:szCs w:val="20"/>
                <w:vertAlign w:val="superscript"/>
              </w:rPr>
            </w:pPr>
            <w:r w:rsidRPr="008E4270">
              <w:rPr>
                <w:b/>
                <w:sz w:val="20"/>
                <w:szCs w:val="20"/>
              </w:rPr>
              <w:t>MRLP</w:t>
            </w:r>
            <w:r w:rsidRPr="008E4270">
              <w:rPr>
                <w:b/>
                <w:sz w:val="20"/>
                <w:szCs w:val="20"/>
                <w:vertAlign w:val="superscript"/>
              </w:rPr>
              <w:t xml:space="preserve">3) </w:t>
            </w:r>
          </w:p>
          <w:p w14:paraId="0FDB4852" w14:textId="77777777" w:rsidR="003B7CFF" w:rsidRPr="008E4270" w:rsidRDefault="003B7CFF" w:rsidP="005B747D">
            <w:pPr>
              <w:jc w:val="center"/>
              <w:rPr>
                <w:b/>
                <w:sz w:val="20"/>
                <w:szCs w:val="20"/>
              </w:rPr>
            </w:pPr>
            <w:r w:rsidRPr="008E4270">
              <w:rPr>
                <w:b/>
                <w:sz w:val="20"/>
                <w:szCs w:val="20"/>
              </w:rPr>
              <w:t>První riziko</w:t>
            </w:r>
            <w:r w:rsidRPr="008E4270">
              <w:rPr>
                <w:b/>
                <w:sz w:val="20"/>
                <w:szCs w:val="20"/>
                <w:vertAlign w:val="superscript"/>
              </w:rPr>
              <w:t>2)</w:t>
            </w:r>
          </w:p>
        </w:tc>
        <w:tc>
          <w:tcPr>
            <w:tcW w:w="1239" w:type="dxa"/>
            <w:vAlign w:val="center"/>
          </w:tcPr>
          <w:p w14:paraId="6A723838" w14:textId="77777777" w:rsidR="003B7CFF" w:rsidRPr="008E4270" w:rsidRDefault="003B7CFF" w:rsidP="005B747D">
            <w:pPr>
              <w:jc w:val="center"/>
              <w:rPr>
                <w:b/>
                <w:sz w:val="20"/>
                <w:szCs w:val="20"/>
              </w:rPr>
            </w:pPr>
            <w:r w:rsidRPr="008E4270">
              <w:rPr>
                <w:b/>
                <w:sz w:val="20"/>
                <w:szCs w:val="20"/>
              </w:rPr>
              <w:t>MRLP</w:t>
            </w:r>
            <w:r w:rsidRPr="008E4270">
              <w:rPr>
                <w:b/>
                <w:sz w:val="20"/>
                <w:szCs w:val="20"/>
                <w:vertAlign w:val="superscript"/>
              </w:rPr>
              <w:t>3)</w:t>
            </w:r>
          </w:p>
        </w:tc>
      </w:tr>
      <w:tr w:rsidR="008E4270" w:rsidRPr="008E4270" w14:paraId="076C47D2" w14:textId="77777777" w:rsidTr="00586B46">
        <w:trPr>
          <w:jc w:val="center"/>
        </w:trPr>
        <w:tc>
          <w:tcPr>
            <w:tcW w:w="673" w:type="dxa"/>
            <w:vAlign w:val="center"/>
          </w:tcPr>
          <w:p w14:paraId="4C49A99A" w14:textId="77777777" w:rsidR="003B7CFF" w:rsidRPr="008E4270" w:rsidRDefault="003B7CFF" w:rsidP="005B747D">
            <w:pPr>
              <w:jc w:val="center"/>
              <w:rPr>
                <w:sz w:val="20"/>
                <w:szCs w:val="20"/>
              </w:rPr>
            </w:pPr>
            <w:r w:rsidRPr="008E4270">
              <w:rPr>
                <w:sz w:val="20"/>
                <w:szCs w:val="20"/>
              </w:rPr>
              <w:t>1.</w:t>
            </w:r>
          </w:p>
        </w:tc>
        <w:tc>
          <w:tcPr>
            <w:tcW w:w="2126" w:type="dxa"/>
            <w:vAlign w:val="center"/>
          </w:tcPr>
          <w:p w14:paraId="40FC593A" w14:textId="77777777" w:rsidR="003B7CFF" w:rsidRPr="008E4270" w:rsidRDefault="003B7CFF" w:rsidP="005B747D">
            <w:pPr>
              <w:rPr>
                <w:sz w:val="20"/>
                <w:szCs w:val="20"/>
              </w:rPr>
            </w:pPr>
            <w:r w:rsidRPr="008E4270">
              <w:rPr>
                <w:sz w:val="20"/>
                <w:szCs w:val="20"/>
              </w:rPr>
              <w:t xml:space="preserve">Soubor vlastních </w:t>
            </w:r>
          </w:p>
          <w:p w14:paraId="61AE8449" w14:textId="18CB73FE" w:rsidR="003B7CFF" w:rsidRPr="008E4270" w:rsidRDefault="003B7CFF" w:rsidP="005B747D">
            <w:pPr>
              <w:rPr>
                <w:sz w:val="20"/>
                <w:szCs w:val="20"/>
              </w:rPr>
            </w:pPr>
            <w:r w:rsidRPr="008E4270">
              <w:rPr>
                <w:sz w:val="20"/>
                <w:szCs w:val="20"/>
              </w:rPr>
              <w:t>a cizích budov a staveb dle Přílohy č. 1</w:t>
            </w:r>
          </w:p>
        </w:tc>
        <w:tc>
          <w:tcPr>
            <w:tcW w:w="1843" w:type="dxa"/>
            <w:vAlign w:val="center"/>
          </w:tcPr>
          <w:p w14:paraId="7F15D2F6" w14:textId="12F9A53D" w:rsidR="003B7CFF" w:rsidRPr="008E4270" w:rsidRDefault="003B7CFF" w:rsidP="005B747D">
            <w:pPr>
              <w:jc w:val="center"/>
              <w:rPr>
                <w:sz w:val="20"/>
                <w:szCs w:val="20"/>
              </w:rPr>
            </w:pPr>
            <w:r w:rsidRPr="008E4270">
              <w:rPr>
                <w:bCs/>
                <w:sz w:val="20"/>
                <w:szCs w:val="20"/>
              </w:rPr>
              <w:t>2 0</w:t>
            </w:r>
            <w:r w:rsidR="0036401C" w:rsidRPr="008E4270">
              <w:rPr>
                <w:bCs/>
                <w:sz w:val="20"/>
                <w:szCs w:val="20"/>
              </w:rPr>
              <w:t>67</w:t>
            </w:r>
            <w:r w:rsidRPr="008E4270">
              <w:rPr>
                <w:bCs/>
                <w:sz w:val="20"/>
                <w:szCs w:val="20"/>
              </w:rPr>
              <w:t> </w:t>
            </w:r>
            <w:r w:rsidR="0036401C" w:rsidRPr="008E4270">
              <w:rPr>
                <w:bCs/>
                <w:sz w:val="20"/>
                <w:szCs w:val="20"/>
              </w:rPr>
              <w:t>753</w:t>
            </w:r>
            <w:r w:rsidRPr="008E4270">
              <w:rPr>
                <w:bCs/>
                <w:sz w:val="20"/>
                <w:szCs w:val="20"/>
              </w:rPr>
              <w:t> </w:t>
            </w:r>
            <w:r w:rsidR="0036401C" w:rsidRPr="008E4270">
              <w:rPr>
                <w:bCs/>
                <w:sz w:val="20"/>
                <w:szCs w:val="20"/>
              </w:rPr>
              <w:t>755</w:t>
            </w:r>
            <w:r w:rsidRPr="008E4270">
              <w:rPr>
                <w:bCs/>
                <w:sz w:val="20"/>
                <w:szCs w:val="20"/>
              </w:rPr>
              <w:t xml:space="preserve"> Kč</w:t>
            </w:r>
          </w:p>
        </w:tc>
        <w:tc>
          <w:tcPr>
            <w:tcW w:w="1276" w:type="dxa"/>
            <w:vAlign w:val="center"/>
          </w:tcPr>
          <w:p w14:paraId="034B1D88" w14:textId="77777777" w:rsidR="003B7CFF" w:rsidRPr="008E4270" w:rsidRDefault="003B7CFF" w:rsidP="005B747D">
            <w:pPr>
              <w:jc w:val="center"/>
              <w:rPr>
                <w:sz w:val="20"/>
                <w:szCs w:val="20"/>
              </w:rPr>
            </w:pPr>
            <w:r w:rsidRPr="008E4270">
              <w:rPr>
                <w:sz w:val="20"/>
                <w:szCs w:val="20"/>
              </w:rPr>
              <w:t>10 000 Kč</w:t>
            </w:r>
          </w:p>
        </w:tc>
        <w:tc>
          <w:tcPr>
            <w:tcW w:w="1276" w:type="dxa"/>
            <w:vAlign w:val="center"/>
          </w:tcPr>
          <w:p w14:paraId="73B8AF1D" w14:textId="77777777" w:rsidR="003B7CFF" w:rsidRPr="008E4270" w:rsidRDefault="003B7CFF" w:rsidP="005B747D">
            <w:pPr>
              <w:tabs>
                <w:tab w:val="left" w:pos="657"/>
              </w:tabs>
              <w:jc w:val="center"/>
              <w:rPr>
                <w:sz w:val="20"/>
                <w:szCs w:val="20"/>
              </w:rPr>
            </w:pPr>
            <w:r w:rsidRPr="008E4270">
              <w:rPr>
                <w:sz w:val="20"/>
                <w:szCs w:val="20"/>
              </w:rPr>
              <w:t>*)</w:t>
            </w:r>
          </w:p>
        </w:tc>
        <w:tc>
          <w:tcPr>
            <w:tcW w:w="1559" w:type="dxa"/>
            <w:vAlign w:val="center"/>
          </w:tcPr>
          <w:p w14:paraId="0F22DB09" w14:textId="77777777" w:rsidR="003B7CFF" w:rsidRPr="008E4270" w:rsidRDefault="003B7CFF" w:rsidP="005B747D">
            <w:pPr>
              <w:jc w:val="center"/>
              <w:rPr>
                <w:sz w:val="20"/>
                <w:szCs w:val="20"/>
              </w:rPr>
            </w:pPr>
            <w:r w:rsidRPr="008E4270">
              <w:rPr>
                <w:rFonts w:cs="Arial"/>
                <w:sz w:val="20"/>
                <w:szCs w:val="20"/>
              </w:rPr>
              <w:t>---</w:t>
            </w:r>
          </w:p>
        </w:tc>
        <w:tc>
          <w:tcPr>
            <w:tcW w:w="1239" w:type="dxa"/>
            <w:vAlign w:val="center"/>
          </w:tcPr>
          <w:p w14:paraId="47399740" w14:textId="77777777" w:rsidR="003B7CFF" w:rsidRPr="008E4270" w:rsidRDefault="003B7CFF" w:rsidP="005B747D">
            <w:pPr>
              <w:jc w:val="center"/>
              <w:rPr>
                <w:sz w:val="20"/>
                <w:szCs w:val="20"/>
              </w:rPr>
            </w:pPr>
            <w:r w:rsidRPr="008E4270">
              <w:rPr>
                <w:rFonts w:cs="Arial"/>
                <w:sz w:val="20"/>
                <w:szCs w:val="20"/>
              </w:rPr>
              <w:t>---</w:t>
            </w:r>
          </w:p>
        </w:tc>
      </w:tr>
      <w:tr w:rsidR="008E4270" w:rsidRPr="008E4270" w14:paraId="37F0464E" w14:textId="77777777" w:rsidTr="00586B46">
        <w:trPr>
          <w:jc w:val="center"/>
        </w:trPr>
        <w:tc>
          <w:tcPr>
            <w:tcW w:w="673" w:type="dxa"/>
            <w:vAlign w:val="center"/>
          </w:tcPr>
          <w:p w14:paraId="600C0766" w14:textId="77777777" w:rsidR="003B7CFF" w:rsidRPr="008E4270" w:rsidRDefault="003B7CFF" w:rsidP="005B747D">
            <w:pPr>
              <w:jc w:val="center"/>
              <w:rPr>
                <w:sz w:val="20"/>
                <w:szCs w:val="20"/>
              </w:rPr>
            </w:pPr>
            <w:r w:rsidRPr="008E4270">
              <w:rPr>
                <w:sz w:val="20"/>
                <w:szCs w:val="20"/>
              </w:rPr>
              <w:t>2.</w:t>
            </w:r>
          </w:p>
        </w:tc>
        <w:tc>
          <w:tcPr>
            <w:tcW w:w="2126" w:type="dxa"/>
            <w:vAlign w:val="center"/>
          </w:tcPr>
          <w:p w14:paraId="4884B22A" w14:textId="77777777" w:rsidR="003B7CFF" w:rsidRPr="008E4270" w:rsidRDefault="003B7CFF" w:rsidP="005B747D">
            <w:pPr>
              <w:rPr>
                <w:sz w:val="20"/>
                <w:szCs w:val="20"/>
              </w:rPr>
            </w:pPr>
            <w:r w:rsidRPr="008E4270">
              <w:rPr>
                <w:sz w:val="20"/>
                <w:szCs w:val="20"/>
              </w:rPr>
              <w:t xml:space="preserve">Soubor vlastních ostatních staveb </w:t>
            </w:r>
          </w:p>
        </w:tc>
        <w:tc>
          <w:tcPr>
            <w:tcW w:w="1843" w:type="dxa"/>
            <w:vAlign w:val="center"/>
          </w:tcPr>
          <w:p w14:paraId="25B3D47E" w14:textId="77777777" w:rsidR="003B7CFF" w:rsidRPr="008E4270" w:rsidRDefault="003B7CFF" w:rsidP="005B747D">
            <w:pPr>
              <w:jc w:val="center"/>
              <w:rPr>
                <w:sz w:val="20"/>
                <w:szCs w:val="20"/>
              </w:rPr>
            </w:pPr>
            <w:r w:rsidRPr="008E4270">
              <w:rPr>
                <w:rFonts w:cs="Arial"/>
                <w:sz w:val="20"/>
                <w:szCs w:val="20"/>
              </w:rPr>
              <w:t>---</w:t>
            </w:r>
          </w:p>
        </w:tc>
        <w:tc>
          <w:tcPr>
            <w:tcW w:w="1276" w:type="dxa"/>
            <w:vAlign w:val="center"/>
          </w:tcPr>
          <w:p w14:paraId="7EEBBA70" w14:textId="77777777" w:rsidR="003B7CFF" w:rsidRPr="008E4270" w:rsidRDefault="003B7CFF" w:rsidP="005B747D">
            <w:pPr>
              <w:jc w:val="center"/>
              <w:rPr>
                <w:sz w:val="20"/>
                <w:szCs w:val="20"/>
              </w:rPr>
            </w:pPr>
            <w:r w:rsidRPr="008E4270">
              <w:rPr>
                <w:sz w:val="20"/>
                <w:szCs w:val="20"/>
              </w:rPr>
              <w:t>5 000 Kč</w:t>
            </w:r>
          </w:p>
        </w:tc>
        <w:tc>
          <w:tcPr>
            <w:tcW w:w="1276" w:type="dxa"/>
            <w:vAlign w:val="center"/>
          </w:tcPr>
          <w:p w14:paraId="345C64A2" w14:textId="77777777" w:rsidR="003B7CFF" w:rsidRPr="008E4270" w:rsidRDefault="003B7CFF" w:rsidP="005B747D">
            <w:pPr>
              <w:tabs>
                <w:tab w:val="left" w:pos="657"/>
              </w:tabs>
              <w:jc w:val="center"/>
              <w:rPr>
                <w:sz w:val="20"/>
                <w:szCs w:val="20"/>
              </w:rPr>
            </w:pPr>
            <w:r w:rsidRPr="008E4270">
              <w:rPr>
                <w:sz w:val="20"/>
                <w:szCs w:val="20"/>
              </w:rPr>
              <w:t>*)</w:t>
            </w:r>
          </w:p>
        </w:tc>
        <w:tc>
          <w:tcPr>
            <w:tcW w:w="1559" w:type="dxa"/>
            <w:vAlign w:val="center"/>
          </w:tcPr>
          <w:p w14:paraId="578D5DC3" w14:textId="77777777" w:rsidR="003B7CFF" w:rsidRPr="008E4270" w:rsidRDefault="003B7CFF" w:rsidP="005B747D">
            <w:pPr>
              <w:jc w:val="center"/>
              <w:rPr>
                <w:rFonts w:cs="Arial"/>
                <w:sz w:val="20"/>
                <w:szCs w:val="20"/>
              </w:rPr>
            </w:pPr>
            <w:r w:rsidRPr="008E4270">
              <w:rPr>
                <w:rFonts w:cs="Arial"/>
                <w:sz w:val="20"/>
                <w:szCs w:val="20"/>
              </w:rPr>
              <w:t>50 000 000 Kč</w:t>
            </w:r>
          </w:p>
        </w:tc>
        <w:tc>
          <w:tcPr>
            <w:tcW w:w="1239" w:type="dxa"/>
            <w:vAlign w:val="center"/>
          </w:tcPr>
          <w:p w14:paraId="6552E38B" w14:textId="77777777" w:rsidR="003B7CFF" w:rsidRPr="008E4270" w:rsidRDefault="003B7CFF" w:rsidP="005B747D">
            <w:pPr>
              <w:jc w:val="center"/>
              <w:rPr>
                <w:rFonts w:cs="Arial"/>
                <w:sz w:val="20"/>
                <w:szCs w:val="20"/>
              </w:rPr>
            </w:pPr>
            <w:r w:rsidRPr="008E4270">
              <w:rPr>
                <w:rFonts w:cs="Arial"/>
                <w:sz w:val="20"/>
                <w:szCs w:val="20"/>
              </w:rPr>
              <w:t>---</w:t>
            </w:r>
          </w:p>
        </w:tc>
      </w:tr>
      <w:tr w:rsidR="008E4270" w:rsidRPr="008E4270" w14:paraId="1F225B4B" w14:textId="77777777" w:rsidTr="005B747D">
        <w:trPr>
          <w:jc w:val="center"/>
        </w:trPr>
        <w:tc>
          <w:tcPr>
            <w:tcW w:w="9992" w:type="dxa"/>
            <w:gridSpan w:val="7"/>
            <w:vAlign w:val="center"/>
          </w:tcPr>
          <w:p w14:paraId="17C5ED03" w14:textId="4EDDAE90" w:rsidR="003B7CFF" w:rsidRPr="008E4270" w:rsidRDefault="003B7CFF" w:rsidP="005B747D">
            <w:pPr>
              <w:jc w:val="both"/>
              <w:rPr>
                <w:rFonts w:cs="Arial"/>
                <w:sz w:val="20"/>
                <w:szCs w:val="20"/>
              </w:rPr>
            </w:pPr>
            <w:r w:rsidRPr="008E4270">
              <w:rPr>
                <w:sz w:val="20"/>
                <w:szCs w:val="20"/>
              </w:rPr>
              <w:t>Jedná se např. o mosty, lávky, místní komunikace, drobné stavby, stavební součásti a příslušenství staveb a hřišť, dopravní značení a značení stezek, ploty všeho druhu, okapové měděné žlaby, veřejné osvětlení a osvětlení budov,</w:t>
            </w:r>
            <w:r w:rsidR="00BF65C3" w:rsidRPr="008E4270">
              <w:rPr>
                <w:sz w:val="20"/>
                <w:szCs w:val="20"/>
              </w:rPr>
              <w:t xml:space="preserve"> lavičky,</w:t>
            </w:r>
            <w:r w:rsidRPr="008E4270">
              <w:rPr>
                <w:sz w:val="20"/>
                <w:szCs w:val="20"/>
              </w:rPr>
              <w:t xml:space="preserve"> topné kanály a kanalizace, rozvody vody, technologie zařízení výměníkových stanic, </w:t>
            </w:r>
            <w:r w:rsidR="00B06196" w:rsidRPr="008E4270">
              <w:rPr>
                <w:sz w:val="20"/>
                <w:szCs w:val="20"/>
              </w:rPr>
              <w:t xml:space="preserve">technologie </w:t>
            </w:r>
            <w:r w:rsidR="008752F9" w:rsidRPr="008E4270">
              <w:rPr>
                <w:sz w:val="20"/>
                <w:szCs w:val="20"/>
              </w:rPr>
              <w:t xml:space="preserve">bazénu a zimního stadionu, </w:t>
            </w:r>
            <w:r w:rsidRPr="008E4270">
              <w:rPr>
                <w:sz w:val="20"/>
                <w:szCs w:val="20"/>
              </w:rPr>
              <w:t>přípojky plynu, kotelny vč. technologie a regulace, komíny, napěťové regulátory veřejného osvětlení, parkovací automaty.</w:t>
            </w:r>
          </w:p>
        </w:tc>
      </w:tr>
      <w:tr w:rsidR="008E4270" w:rsidRPr="008E4270" w14:paraId="540D3FEF" w14:textId="77777777" w:rsidTr="00586B46">
        <w:trPr>
          <w:trHeight w:val="537"/>
          <w:jc w:val="center"/>
        </w:trPr>
        <w:tc>
          <w:tcPr>
            <w:tcW w:w="673" w:type="dxa"/>
            <w:vAlign w:val="center"/>
          </w:tcPr>
          <w:p w14:paraId="0414FF80" w14:textId="77777777" w:rsidR="003B7CFF" w:rsidRPr="008E4270" w:rsidRDefault="003B7CFF" w:rsidP="009C04E8">
            <w:pPr>
              <w:keepNext/>
              <w:jc w:val="center"/>
              <w:rPr>
                <w:sz w:val="20"/>
                <w:szCs w:val="20"/>
              </w:rPr>
            </w:pPr>
            <w:r w:rsidRPr="008E4270">
              <w:rPr>
                <w:sz w:val="20"/>
                <w:szCs w:val="20"/>
              </w:rPr>
              <w:t>3.</w:t>
            </w:r>
          </w:p>
        </w:tc>
        <w:tc>
          <w:tcPr>
            <w:tcW w:w="2126" w:type="dxa"/>
            <w:vAlign w:val="center"/>
          </w:tcPr>
          <w:p w14:paraId="349A8E45" w14:textId="77777777" w:rsidR="003B7CFF" w:rsidRPr="008E4270" w:rsidRDefault="003B7CFF" w:rsidP="009C04E8">
            <w:pPr>
              <w:keepNext/>
              <w:rPr>
                <w:sz w:val="20"/>
                <w:szCs w:val="20"/>
              </w:rPr>
            </w:pPr>
            <w:r w:rsidRPr="008E4270">
              <w:rPr>
                <w:sz w:val="20"/>
                <w:szCs w:val="20"/>
              </w:rPr>
              <w:t xml:space="preserve">Soubor vlastních </w:t>
            </w:r>
          </w:p>
          <w:p w14:paraId="39F4D19B" w14:textId="5BC7CC65" w:rsidR="003B7CFF" w:rsidRPr="008E4270" w:rsidRDefault="003B7CFF" w:rsidP="009C04E8">
            <w:pPr>
              <w:keepNext/>
              <w:rPr>
                <w:sz w:val="20"/>
                <w:szCs w:val="20"/>
              </w:rPr>
            </w:pPr>
            <w:r w:rsidRPr="008E4270">
              <w:rPr>
                <w:sz w:val="20"/>
                <w:szCs w:val="20"/>
              </w:rPr>
              <w:t xml:space="preserve">a cizích movitých zařízení a vybavení </w:t>
            </w:r>
          </w:p>
        </w:tc>
        <w:tc>
          <w:tcPr>
            <w:tcW w:w="1843" w:type="dxa"/>
            <w:vAlign w:val="center"/>
          </w:tcPr>
          <w:p w14:paraId="0019FDA1" w14:textId="77777777" w:rsidR="003B7CFF" w:rsidRPr="008E4270" w:rsidRDefault="003B7CFF" w:rsidP="009C04E8">
            <w:pPr>
              <w:keepNext/>
              <w:jc w:val="center"/>
              <w:rPr>
                <w:sz w:val="20"/>
                <w:szCs w:val="20"/>
              </w:rPr>
            </w:pPr>
            <w:r w:rsidRPr="008E4270">
              <w:rPr>
                <w:bCs/>
                <w:sz w:val="20"/>
                <w:szCs w:val="20"/>
              </w:rPr>
              <w:t>50 000 000 Kč</w:t>
            </w:r>
          </w:p>
        </w:tc>
        <w:tc>
          <w:tcPr>
            <w:tcW w:w="1276" w:type="dxa"/>
            <w:vAlign w:val="center"/>
          </w:tcPr>
          <w:p w14:paraId="0023C68F" w14:textId="77777777" w:rsidR="003B7CFF" w:rsidRPr="008E4270" w:rsidRDefault="003B7CFF" w:rsidP="009C04E8">
            <w:pPr>
              <w:keepNext/>
              <w:jc w:val="center"/>
              <w:rPr>
                <w:sz w:val="20"/>
                <w:szCs w:val="20"/>
              </w:rPr>
            </w:pPr>
            <w:r w:rsidRPr="008E4270">
              <w:rPr>
                <w:sz w:val="20"/>
                <w:szCs w:val="20"/>
              </w:rPr>
              <w:t>5 000 Kč</w:t>
            </w:r>
          </w:p>
        </w:tc>
        <w:tc>
          <w:tcPr>
            <w:tcW w:w="1276" w:type="dxa"/>
            <w:vAlign w:val="center"/>
          </w:tcPr>
          <w:p w14:paraId="778510D9" w14:textId="77777777" w:rsidR="003B7CFF" w:rsidRPr="008E4270" w:rsidRDefault="003B7CFF" w:rsidP="009C04E8">
            <w:pPr>
              <w:keepNext/>
              <w:jc w:val="center"/>
              <w:rPr>
                <w:sz w:val="20"/>
                <w:szCs w:val="20"/>
              </w:rPr>
            </w:pPr>
            <w:r w:rsidRPr="008E4270">
              <w:rPr>
                <w:sz w:val="20"/>
                <w:szCs w:val="20"/>
              </w:rPr>
              <w:t>*)</w:t>
            </w:r>
          </w:p>
        </w:tc>
        <w:tc>
          <w:tcPr>
            <w:tcW w:w="1559" w:type="dxa"/>
            <w:vAlign w:val="center"/>
          </w:tcPr>
          <w:p w14:paraId="46E44630" w14:textId="77777777" w:rsidR="003B7CFF" w:rsidRPr="008E4270" w:rsidRDefault="003B7CFF" w:rsidP="009C04E8">
            <w:pPr>
              <w:keepNext/>
              <w:jc w:val="center"/>
              <w:rPr>
                <w:sz w:val="20"/>
                <w:szCs w:val="20"/>
              </w:rPr>
            </w:pPr>
            <w:r w:rsidRPr="008E4270">
              <w:rPr>
                <w:rFonts w:cs="Arial"/>
                <w:sz w:val="20"/>
                <w:szCs w:val="20"/>
              </w:rPr>
              <w:t>---</w:t>
            </w:r>
          </w:p>
        </w:tc>
        <w:tc>
          <w:tcPr>
            <w:tcW w:w="1239" w:type="dxa"/>
            <w:vAlign w:val="center"/>
          </w:tcPr>
          <w:p w14:paraId="3E656CD7" w14:textId="77777777" w:rsidR="003B7CFF" w:rsidRPr="008E4270" w:rsidRDefault="003B7CFF" w:rsidP="009C04E8">
            <w:pPr>
              <w:keepNext/>
              <w:jc w:val="center"/>
              <w:rPr>
                <w:sz w:val="20"/>
                <w:szCs w:val="20"/>
              </w:rPr>
            </w:pPr>
            <w:r w:rsidRPr="008E4270">
              <w:rPr>
                <w:rFonts w:cs="Arial"/>
                <w:sz w:val="20"/>
                <w:szCs w:val="20"/>
              </w:rPr>
              <w:t>---</w:t>
            </w:r>
          </w:p>
        </w:tc>
      </w:tr>
      <w:tr w:rsidR="008E4270" w:rsidRPr="008E4270" w14:paraId="2616D4AB" w14:textId="77777777" w:rsidTr="00586B46">
        <w:trPr>
          <w:trHeight w:val="433"/>
          <w:jc w:val="center"/>
        </w:trPr>
        <w:tc>
          <w:tcPr>
            <w:tcW w:w="673" w:type="dxa"/>
            <w:vAlign w:val="center"/>
          </w:tcPr>
          <w:p w14:paraId="1B5A86C6" w14:textId="77777777" w:rsidR="003B7CFF" w:rsidRPr="008E4270" w:rsidRDefault="003B7CFF" w:rsidP="005B747D">
            <w:pPr>
              <w:jc w:val="center"/>
              <w:rPr>
                <w:sz w:val="20"/>
                <w:szCs w:val="20"/>
              </w:rPr>
            </w:pPr>
            <w:r w:rsidRPr="008E4270">
              <w:rPr>
                <w:sz w:val="20"/>
                <w:szCs w:val="20"/>
              </w:rPr>
              <w:t>4.</w:t>
            </w:r>
          </w:p>
        </w:tc>
        <w:tc>
          <w:tcPr>
            <w:tcW w:w="2126" w:type="dxa"/>
            <w:vAlign w:val="center"/>
          </w:tcPr>
          <w:p w14:paraId="7AF11053" w14:textId="77777777" w:rsidR="003B7CFF" w:rsidRPr="008E4270" w:rsidRDefault="003B7CFF" w:rsidP="005B747D">
            <w:pPr>
              <w:rPr>
                <w:sz w:val="20"/>
                <w:szCs w:val="20"/>
              </w:rPr>
            </w:pPr>
            <w:r w:rsidRPr="008E4270">
              <w:rPr>
                <w:sz w:val="20"/>
                <w:szCs w:val="20"/>
              </w:rPr>
              <w:t>Soubor zásob</w:t>
            </w:r>
          </w:p>
        </w:tc>
        <w:tc>
          <w:tcPr>
            <w:tcW w:w="1843" w:type="dxa"/>
            <w:vAlign w:val="center"/>
          </w:tcPr>
          <w:p w14:paraId="0D0C3B6A" w14:textId="77777777" w:rsidR="003B7CFF" w:rsidRPr="008E4270" w:rsidRDefault="003B7CFF" w:rsidP="005B747D">
            <w:pPr>
              <w:jc w:val="center"/>
              <w:rPr>
                <w:sz w:val="20"/>
                <w:szCs w:val="20"/>
              </w:rPr>
            </w:pPr>
            <w:r w:rsidRPr="008E4270">
              <w:rPr>
                <w:sz w:val="20"/>
                <w:szCs w:val="20"/>
              </w:rPr>
              <w:t>1 000 000 Kč</w:t>
            </w:r>
          </w:p>
        </w:tc>
        <w:tc>
          <w:tcPr>
            <w:tcW w:w="1276" w:type="dxa"/>
            <w:vAlign w:val="center"/>
          </w:tcPr>
          <w:p w14:paraId="294FFD58" w14:textId="77777777" w:rsidR="003B7CFF" w:rsidRPr="008E4270" w:rsidRDefault="003B7CFF" w:rsidP="005B747D">
            <w:pPr>
              <w:jc w:val="center"/>
              <w:rPr>
                <w:sz w:val="20"/>
                <w:szCs w:val="20"/>
              </w:rPr>
            </w:pPr>
            <w:r w:rsidRPr="008E4270">
              <w:rPr>
                <w:sz w:val="20"/>
                <w:szCs w:val="20"/>
              </w:rPr>
              <w:t>5 000 Kč</w:t>
            </w:r>
          </w:p>
        </w:tc>
        <w:tc>
          <w:tcPr>
            <w:tcW w:w="1276" w:type="dxa"/>
            <w:vAlign w:val="center"/>
          </w:tcPr>
          <w:p w14:paraId="7CB6D668" w14:textId="77777777" w:rsidR="003B7CFF" w:rsidRPr="008E4270" w:rsidRDefault="003B7CFF" w:rsidP="005B747D">
            <w:pPr>
              <w:jc w:val="center"/>
              <w:rPr>
                <w:sz w:val="20"/>
                <w:szCs w:val="20"/>
              </w:rPr>
            </w:pPr>
            <w:r w:rsidRPr="008E4270">
              <w:rPr>
                <w:sz w:val="20"/>
                <w:szCs w:val="20"/>
              </w:rPr>
              <w:t>*)</w:t>
            </w:r>
          </w:p>
        </w:tc>
        <w:tc>
          <w:tcPr>
            <w:tcW w:w="1559" w:type="dxa"/>
            <w:vAlign w:val="center"/>
          </w:tcPr>
          <w:p w14:paraId="0D4C51E4" w14:textId="77777777" w:rsidR="003B7CFF" w:rsidRPr="008E4270" w:rsidRDefault="003B7CFF" w:rsidP="005B747D">
            <w:pPr>
              <w:jc w:val="center"/>
              <w:rPr>
                <w:sz w:val="20"/>
                <w:szCs w:val="20"/>
              </w:rPr>
            </w:pPr>
            <w:r w:rsidRPr="008E4270">
              <w:rPr>
                <w:sz w:val="20"/>
                <w:szCs w:val="20"/>
              </w:rPr>
              <w:t>---</w:t>
            </w:r>
          </w:p>
        </w:tc>
        <w:tc>
          <w:tcPr>
            <w:tcW w:w="1239" w:type="dxa"/>
            <w:vAlign w:val="center"/>
          </w:tcPr>
          <w:p w14:paraId="43EE3FEA" w14:textId="77777777" w:rsidR="003B7CFF" w:rsidRPr="008E4270" w:rsidRDefault="003B7CFF" w:rsidP="005B747D">
            <w:pPr>
              <w:jc w:val="center"/>
              <w:rPr>
                <w:sz w:val="20"/>
                <w:szCs w:val="20"/>
              </w:rPr>
            </w:pPr>
            <w:r w:rsidRPr="008E4270">
              <w:rPr>
                <w:rFonts w:cs="Arial"/>
                <w:sz w:val="20"/>
                <w:szCs w:val="20"/>
              </w:rPr>
              <w:t>---</w:t>
            </w:r>
          </w:p>
        </w:tc>
      </w:tr>
      <w:tr w:rsidR="008E4270" w:rsidRPr="008E4270" w14:paraId="23D33CDD" w14:textId="77777777" w:rsidTr="00586B46">
        <w:trPr>
          <w:jc w:val="center"/>
        </w:trPr>
        <w:tc>
          <w:tcPr>
            <w:tcW w:w="673" w:type="dxa"/>
            <w:vAlign w:val="center"/>
          </w:tcPr>
          <w:p w14:paraId="54E963BC" w14:textId="77777777" w:rsidR="003B7CFF" w:rsidRPr="008E4270" w:rsidRDefault="003B7CFF" w:rsidP="003035EE">
            <w:pPr>
              <w:keepNext/>
              <w:jc w:val="center"/>
              <w:rPr>
                <w:sz w:val="20"/>
                <w:szCs w:val="20"/>
              </w:rPr>
            </w:pPr>
            <w:r w:rsidRPr="008E4270">
              <w:rPr>
                <w:sz w:val="20"/>
                <w:szCs w:val="20"/>
              </w:rPr>
              <w:lastRenderedPageBreak/>
              <w:t>5.</w:t>
            </w:r>
          </w:p>
        </w:tc>
        <w:tc>
          <w:tcPr>
            <w:tcW w:w="2126" w:type="dxa"/>
            <w:vAlign w:val="center"/>
          </w:tcPr>
          <w:p w14:paraId="18A4054E" w14:textId="77777777" w:rsidR="003B7CFF" w:rsidRPr="008E4270" w:rsidRDefault="003B7CFF" w:rsidP="003035EE">
            <w:pPr>
              <w:keepNext/>
              <w:rPr>
                <w:sz w:val="20"/>
                <w:szCs w:val="20"/>
              </w:rPr>
            </w:pPr>
            <w:r w:rsidRPr="008E4270">
              <w:rPr>
                <w:sz w:val="20"/>
                <w:szCs w:val="20"/>
              </w:rPr>
              <w:t>Vlastní a cizí věci umělecké, historické nebo sběratelské hodnoty uvedené na Příloze č. 2 a 3</w:t>
            </w:r>
          </w:p>
          <w:p w14:paraId="40913A70" w14:textId="6FA0D1D9" w:rsidR="003B7CFF" w:rsidRPr="008E4270" w:rsidRDefault="003B7CFF" w:rsidP="003035EE">
            <w:pPr>
              <w:keepNext/>
              <w:rPr>
                <w:sz w:val="20"/>
                <w:szCs w:val="20"/>
              </w:rPr>
            </w:pPr>
            <w:r w:rsidRPr="008E4270">
              <w:rPr>
                <w:sz w:val="20"/>
                <w:szCs w:val="20"/>
              </w:rPr>
              <w:t xml:space="preserve">a vlastní movité zařízení a vybavení </w:t>
            </w:r>
          </w:p>
          <w:p w14:paraId="22DFB0CF" w14:textId="77777777" w:rsidR="00475053" w:rsidRPr="008E4270" w:rsidRDefault="003B7CFF" w:rsidP="003035EE">
            <w:pPr>
              <w:keepNext/>
              <w:rPr>
                <w:sz w:val="20"/>
                <w:szCs w:val="20"/>
              </w:rPr>
            </w:pPr>
            <w:r w:rsidRPr="008E4270">
              <w:rPr>
                <w:sz w:val="20"/>
                <w:szCs w:val="20"/>
              </w:rPr>
              <w:t xml:space="preserve">a vlastní ostatní stavby, vlastní věci umělecké, historické nebo sběratelské hodnoty - sousoší, památníky, pomníky, pamětní desky uvedené na </w:t>
            </w:r>
          </w:p>
          <w:p w14:paraId="096AC07F" w14:textId="7CF01EEF" w:rsidR="003B7CFF" w:rsidRPr="008E4270" w:rsidRDefault="003B7CFF" w:rsidP="003035EE">
            <w:pPr>
              <w:keepNext/>
              <w:rPr>
                <w:sz w:val="20"/>
                <w:szCs w:val="20"/>
              </w:rPr>
            </w:pPr>
            <w:r w:rsidRPr="008E4270">
              <w:rPr>
                <w:sz w:val="20"/>
                <w:szCs w:val="20"/>
              </w:rPr>
              <w:t>Příloze č. 4</w:t>
            </w:r>
          </w:p>
        </w:tc>
        <w:tc>
          <w:tcPr>
            <w:tcW w:w="1843" w:type="dxa"/>
            <w:vAlign w:val="center"/>
          </w:tcPr>
          <w:p w14:paraId="5F677F35" w14:textId="0F1D5764" w:rsidR="003B7CFF" w:rsidRPr="008E4270" w:rsidRDefault="003B7CFF" w:rsidP="003035EE">
            <w:pPr>
              <w:keepNext/>
              <w:jc w:val="center"/>
              <w:rPr>
                <w:sz w:val="20"/>
                <w:szCs w:val="20"/>
              </w:rPr>
            </w:pPr>
            <w:r w:rsidRPr="008E4270">
              <w:rPr>
                <w:bCs/>
                <w:sz w:val="20"/>
                <w:szCs w:val="20"/>
              </w:rPr>
              <w:t>11</w:t>
            </w:r>
            <w:r w:rsidR="00647905" w:rsidRPr="008E4270">
              <w:rPr>
                <w:bCs/>
                <w:sz w:val="20"/>
                <w:szCs w:val="20"/>
              </w:rPr>
              <w:t> 158 900</w:t>
            </w:r>
            <w:r w:rsidRPr="008E4270">
              <w:rPr>
                <w:bCs/>
                <w:sz w:val="20"/>
                <w:szCs w:val="20"/>
              </w:rPr>
              <w:t xml:space="preserve"> Kč</w:t>
            </w:r>
          </w:p>
        </w:tc>
        <w:tc>
          <w:tcPr>
            <w:tcW w:w="1276" w:type="dxa"/>
            <w:vAlign w:val="center"/>
          </w:tcPr>
          <w:p w14:paraId="20880180" w14:textId="77777777" w:rsidR="003B7CFF" w:rsidRPr="008E4270" w:rsidRDefault="003B7CFF" w:rsidP="003035EE">
            <w:pPr>
              <w:keepNext/>
              <w:jc w:val="center"/>
              <w:rPr>
                <w:sz w:val="20"/>
                <w:szCs w:val="20"/>
              </w:rPr>
            </w:pPr>
            <w:r w:rsidRPr="008E4270">
              <w:rPr>
                <w:sz w:val="20"/>
                <w:szCs w:val="20"/>
              </w:rPr>
              <w:t>5 000 Kč</w:t>
            </w:r>
          </w:p>
        </w:tc>
        <w:tc>
          <w:tcPr>
            <w:tcW w:w="1276" w:type="dxa"/>
            <w:vAlign w:val="center"/>
          </w:tcPr>
          <w:p w14:paraId="1CAE5EE6" w14:textId="77777777" w:rsidR="003B7CFF" w:rsidRPr="008E4270" w:rsidRDefault="003B7CFF" w:rsidP="003035EE">
            <w:pPr>
              <w:keepNext/>
              <w:jc w:val="center"/>
              <w:rPr>
                <w:sz w:val="20"/>
                <w:szCs w:val="20"/>
              </w:rPr>
            </w:pPr>
            <w:r w:rsidRPr="008E4270">
              <w:rPr>
                <w:sz w:val="20"/>
                <w:szCs w:val="20"/>
              </w:rPr>
              <w:t>*)</w:t>
            </w:r>
          </w:p>
        </w:tc>
        <w:tc>
          <w:tcPr>
            <w:tcW w:w="1559" w:type="dxa"/>
            <w:vAlign w:val="center"/>
          </w:tcPr>
          <w:p w14:paraId="687B5766" w14:textId="77777777" w:rsidR="003B7CFF" w:rsidRPr="008E4270" w:rsidRDefault="003B7CFF" w:rsidP="003035EE">
            <w:pPr>
              <w:keepNext/>
              <w:jc w:val="center"/>
              <w:rPr>
                <w:sz w:val="20"/>
                <w:szCs w:val="20"/>
              </w:rPr>
            </w:pPr>
            <w:r w:rsidRPr="008E4270">
              <w:rPr>
                <w:sz w:val="20"/>
                <w:szCs w:val="20"/>
              </w:rPr>
              <w:t>---</w:t>
            </w:r>
          </w:p>
        </w:tc>
        <w:tc>
          <w:tcPr>
            <w:tcW w:w="1239" w:type="dxa"/>
            <w:vAlign w:val="center"/>
          </w:tcPr>
          <w:p w14:paraId="5ED4C695" w14:textId="77777777" w:rsidR="003B7CFF" w:rsidRPr="008E4270" w:rsidRDefault="003B7CFF" w:rsidP="003035EE">
            <w:pPr>
              <w:keepNext/>
              <w:jc w:val="center"/>
              <w:rPr>
                <w:sz w:val="20"/>
                <w:szCs w:val="20"/>
              </w:rPr>
            </w:pPr>
            <w:r w:rsidRPr="008E4270">
              <w:rPr>
                <w:rFonts w:cs="Arial"/>
                <w:sz w:val="20"/>
                <w:szCs w:val="20"/>
              </w:rPr>
              <w:t>---</w:t>
            </w:r>
          </w:p>
        </w:tc>
      </w:tr>
      <w:tr w:rsidR="008E4270" w:rsidRPr="008E4270" w14:paraId="1DEEACA4" w14:textId="77777777" w:rsidTr="00586B46">
        <w:trPr>
          <w:jc w:val="center"/>
        </w:trPr>
        <w:tc>
          <w:tcPr>
            <w:tcW w:w="673" w:type="dxa"/>
            <w:vAlign w:val="center"/>
          </w:tcPr>
          <w:p w14:paraId="79D2B1FD" w14:textId="77777777" w:rsidR="003B7CFF" w:rsidRPr="008E4270" w:rsidRDefault="003B7CFF" w:rsidP="005B747D">
            <w:pPr>
              <w:jc w:val="center"/>
              <w:rPr>
                <w:sz w:val="20"/>
                <w:szCs w:val="20"/>
              </w:rPr>
            </w:pPr>
            <w:r w:rsidRPr="008E4270">
              <w:rPr>
                <w:sz w:val="20"/>
                <w:szCs w:val="20"/>
              </w:rPr>
              <w:t>6.</w:t>
            </w:r>
          </w:p>
        </w:tc>
        <w:tc>
          <w:tcPr>
            <w:tcW w:w="2126" w:type="dxa"/>
            <w:vAlign w:val="center"/>
          </w:tcPr>
          <w:p w14:paraId="23033099" w14:textId="77777777" w:rsidR="003B7CFF" w:rsidRPr="008E4270" w:rsidRDefault="003B7CFF" w:rsidP="005B747D">
            <w:pPr>
              <w:rPr>
                <w:sz w:val="20"/>
                <w:szCs w:val="20"/>
              </w:rPr>
            </w:pPr>
            <w:r w:rsidRPr="008E4270">
              <w:rPr>
                <w:sz w:val="20"/>
                <w:szCs w:val="20"/>
              </w:rPr>
              <w:t xml:space="preserve">Soubor vlastních finančních prostředků </w:t>
            </w:r>
          </w:p>
        </w:tc>
        <w:tc>
          <w:tcPr>
            <w:tcW w:w="1843" w:type="dxa"/>
            <w:vAlign w:val="center"/>
          </w:tcPr>
          <w:p w14:paraId="4C6C1075" w14:textId="77777777" w:rsidR="003B7CFF" w:rsidRPr="008E4270" w:rsidRDefault="003B7CFF" w:rsidP="005B747D">
            <w:pPr>
              <w:jc w:val="center"/>
              <w:rPr>
                <w:sz w:val="20"/>
                <w:szCs w:val="20"/>
              </w:rPr>
            </w:pPr>
            <w:r w:rsidRPr="008E4270">
              <w:rPr>
                <w:rFonts w:cs="Arial"/>
                <w:sz w:val="20"/>
                <w:szCs w:val="20"/>
              </w:rPr>
              <w:t>---</w:t>
            </w:r>
          </w:p>
        </w:tc>
        <w:tc>
          <w:tcPr>
            <w:tcW w:w="1276" w:type="dxa"/>
            <w:vAlign w:val="center"/>
          </w:tcPr>
          <w:p w14:paraId="68C03F27" w14:textId="141BEDF3" w:rsidR="003B7CFF" w:rsidRPr="008E4270" w:rsidRDefault="00D07637" w:rsidP="005B747D">
            <w:pPr>
              <w:jc w:val="center"/>
              <w:rPr>
                <w:sz w:val="20"/>
                <w:szCs w:val="20"/>
              </w:rPr>
            </w:pPr>
            <w:r w:rsidRPr="008E4270">
              <w:rPr>
                <w:sz w:val="20"/>
                <w:szCs w:val="20"/>
              </w:rPr>
              <w:t>1</w:t>
            </w:r>
            <w:r w:rsidR="003B7CFF" w:rsidRPr="008E4270">
              <w:rPr>
                <w:sz w:val="20"/>
                <w:szCs w:val="20"/>
              </w:rPr>
              <w:t> 000 Kč</w:t>
            </w:r>
          </w:p>
        </w:tc>
        <w:tc>
          <w:tcPr>
            <w:tcW w:w="1276" w:type="dxa"/>
            <w:vAlign w:val="center"/>
          </w:tcPr>
          <w:p w14:paraId="3243B587" w14:textId="77777777" w:rsidR="003B7CFF" w:rsidRPr="008E4270" w:rsidRDefault="003B7CFF" w:rsidP="005B747D">
            <w:pPr>
              <w:jc w:val="center"/>
              <w:rPr>
                <w:sz w:val="20"/>
                <w:szCs w:val="20"/>
              </w:rPr>
            </w:pPr>
            <w:r w:rsidRPr="008E4270">
              <w:rPr>
                <w:sz w:val="20"/>
                <w:szCs w:val="20"/>
              </w:rPr>
              <w:t>*)</w:t>
            </w:r>
          </w:p>
        </w:tc>
        <w:tc>
          <w:tcPr>
            <w:tcW w:w="1559" w:type="dxa"/>
            <w:vAlign w:val="center"/>
          </w:tcPr>
          <w:p w14:paraId="6A97C745" w14:textId="77777777" w:rsidR="003B7CFF" w:rsidRPr="008E4270" w:rsidRDefault="003B7CFF" w:rsidP="005B747D">
            <w:pPr>
              <w:jc w:val="center"/>
              <w:rPr>
                <w:sz w:val="20"/>
                <w:szCs w:val="20"/>
              </w:rPr>
            </w:pPr>
            <w:r w:rsidRPr="008E4270">
              <w:rPr>
                <w:sz w:val="20"/>
                <w:szCs w:val="20"/>
              </w:rPr>
              <w:t>500 000 Kč</w:t>
            </w:r>
          </w:p>
        </w:tc>
        <w:tc>
          <w:tcPr>
            <w:tcW w:w="1239" w:type="dxa"/>
            <w:vAlign w:val="center"/>
          </w:tcPr>
          <w:p w14:paraId="5BC489FE" w14:textId="77777777" w:rsidR="003B7CFF" w:rsidRPr="008E4270" w:rsidRDefault="003B7CFF" w:rsidP="005B747D">
            <w:pPr>
              <w:jc w:val="center"/>
              <w:rPr>
                <w:sz w:val="20"/>
                <w:szCs w:val="20"/>
              </w:rPr>
            </w:pPr>
            <w:r w:rsidRPr="008E4270">
              <w:rPr>
                <w:rFonts w:cs="Arial"/>
                <w:sz w:val="20"/>
                <w:szCs w:val="20"/>
              </w:rPr>
              <w:t>---</w:t>
            </w:r>
          </w:p>
        </w:tc>
      </w:tr>
      <w:tr w:rsidR="008E4270" w:rsidRPr="008E4270" w14:paraId="6502BE55" w14:textId="77777777" w:rsidTr="00586B46">
        <w:trPr>
          <w:trHeight w:val="412"/>
          <w:jc w:val="center"/>
        </w:trPr>
        <w:tc>
          <w:tcPr>
            <w:tcW w:w="673" w:type="dxa"/>
            <w:vAlign w:val="center"/>
          </w:tcPr>
          <w:p w14:paraId="6861E179" w14:textId="77777777" w:rsidR="003B7CFF" w:rsidRPr="008E4270" w:rsidRDefault="003B7CFF" w:rsidP="005B747D">
            <w:pPr>
              <w:jc w:val="center"/>
              <w:rPr>
                <w:sz w:val="20"/>
                <w:szCs w:val="20"/>
              </w:rPr>
            </w:pPr>
            <w:r w:rsidRPr="008E4270">
              <w:rPr>
                <w:sz w:val="20"/>
                <w:szCs w:val="20"/>
              </w:rPr>
              <w:t>7.</w:t>
            </w:r>
          </w:p>
        </w:tc>
        <w:tc>
          <w:tcPr>
            <w:tcW w:w="2126" w:type="dxa"/>
            <w:vAlign w:val="center"/>
          </w:tcPr>
          <w:p w14:paraId="0E13CD41" w14:textId="77777777" w:rsidR="003B7CFF" w:rsidRPr="008E4270" w:rsidRDefault="003B7CFF" w:rsidP="005B747D">
            <w:pPr>
              <w:rPr>
                <w:sz w:val="20"/>
                <w:szCs w:val="20"/>
              </w:rPr>
            </w:pPr>
            <w:r w:rsidRPr="008E4270">
              <w:rPr>
                <w:sz w:val="20"/>
                <w:szCs w:val="20"/>
              </w:rPr>
              <w:t>Okrasné dřeviny</w:t>
            </w:r>
          </w:p>
        </w:tc>
        <w:tc>
          <w:tcPr>
            <w:tcW w:w="1843" w:type="dxa"/>
            <w:vAlign w:val="center"/>
          </w:tcPr>
          <w:p w14:paraId="28B5F87A" w14:textId="77777777" w:rsidR="003B7CFF" w:rsidRPr="008E4270" w:rsidRDefault="003B7CFF" w:rsidP="005B747D">
            <w:pPr>
              <w:jc w:val="center"/>
              <w:rPr>
                <w:rFonts w:cs="Arial"/>
                <w:sz w:val="20"/>
                <w:szCs w:val="20"/>
              </w:rPr>
            </w:pPr>
            <w:r w:rsidRPr="008E4270">
              <w:rPr>
                <w:rFonts w:cs="Arial"/>
                <w:sz w:val="20"/>
                <w:szCs w:val="20"/>
              </w:rPr>
              <w:t>---</w:t>
            </w:r>
          </w:p>
        </w:tc>
        <w:tc>
          <w:tcPr>
            <w:tcW w:w="1276" w:type="dxa"/>
            <w:vAlign w:val="center"/>
          </w:tcPr>
          <w:p w14:paraId="680A2D32" w14:textId="77777777" w:rsidR="003B7CFF" w:rsidRPr="008E4270" w:rsidRDefault="003B7CFF" w:rsidP="005B747D">
            <w:pPr>
              <w:jc w:val="center"/>
              <w:rPr>
                <w:sz w:val="20"/>
                <w:szCs w:val="20"/>
              </w:rPr>
            </w:pPr>
            <w:r w:rsidRPr="008E4270">
              <w:rPr>
                <w:sz w:val="20"/>
                <w:szCs w:val="20"/>
              </w:rPr>
              <w:t>5 000 Kč</w:t>
            </w:r>
          </w:p>
        </w:tc>
        <w:tc>
          <w:tcPr>
            <w:tcW w:w="1276" w:type="dxa"/>
            <w:vAlign w:val="center"/>
          </w:tcPr>
          <w:p w14:paraId="6974BEF0" w14:textId="77777777" w:rsidR="003B7CFF" w:rsidRPr="008E4270" w:rsidRDefault="003B7CFF" w:rsidP="005B747D">
            <w:pPr>
              <w:jc w:val="center"/>
              <w:rPr>
                <w:sz w:val="20"/>
                <w:szCs w:val="20"/>
              </w:rPr>
            </w:pPr>
            <w:r w:rsidRPr="008E4270">
              <w:rPr>
                <w:sz w:val="20"/>
                <w:szCs w:val="20"/>
              </w:rPr>
              <w:t>*)</w:t>
            </w:r>
          </w:p>
        </w:tc>
        <w:tc>
          <w:tcPr>
            <w:tcW w:w="1559" w:type="dxa"/>
            <w:vAlign w:val="center"/>
          </w:tcPr>
          <w:p w14:paraId="3ECDECFB" w14:textId="77777777" w:rsidR="003B7CFF" w:rsidRPr="008E4270" w:rsidRDefault="003B7CFF" w:rsidP="005B747D">
            <w:pPr>
              <w:jc w:val="center"/>
              <w:rPr>
                <w:sz w:val="20"/>
                <w:szCs w:val="20"/>
              </w:rPr>
            </w:pPr>
            <w:r w:rsidRPr="008E4270">
              <w:rPr>
                <w:sz w:val="20"/>
                <w:szCs w:val="20"/>
              </w:rPr>
              <w:t>1 000 000 Kč</w:t>
            </w:r>
          </w:p>
        </w:tc>
        <w:tc>
          <w:tcPr>
            <w:tcW w:w="1239" w:type="dxa"/>
            <w:vAlign w:val="center"/>
          </w:tcPr>
          <w:p w14:paraId="7D093352" w14:textId="77777777" w:rsidR="003B7CFF" w:rsidRPr="008E4270" w:rsidRDefault="003B7CFF" w:rsidP="005B747D">
            <w:pPr>
              <w:jc w:val="center"/>
              <w:rPr>
                <w:rFonts w:cs="Arial"/>
                <w:sz w:val="20"/>
                <w:szCs w:val="20"/>
              </w:rPr>
            </w:pPr>
            <w:r w:rsidRPr="008E4270">
              <w:rPr>
                <w:rFonts w:cs="Arial"/>
                <w:sz w:val="20"/>
                <w:szCs w:val="20"/>
              </w:rPr>
              <w:t>---</w:t>
            </w:r>
          </w:p>
        </w:tc>
      </w:tr>
      <w:tr w:rsidR="008E4270" w:rsidRPr="008E4270" w14:paraId="23385A5B" w14:textId="77777777" w:rsidTr="00586B46">
        <w:trPr>
          <w:jc w:val="center"/>
        </w:trPr>
        <w:tc>
          <w:tcPr>
            <w:tcW w:w="673" w:type="dxa"/>
            <w:vAlign w:val="center"/>
          </w:tcPr>
          <w:p w14:paraId="354CB24C" w14:textId="77777777" w:rsidR="003B7CFF" w:rsidRPr="008E4270" w:rsidRDefault="003B7CFF" w:rsidP="005B747D">
            <w:pPr>
              <w:keepNext/>
              <w:jc w:val="center"/>
              <w:rPr>
                <w:sz w:val="20"/>
                <w:szCs w:val="20"/>
              </w:rPr>
            </w:pPr>
            <w:r w:rsidRPr="008E4270">
              <w:rPr>
                <w:sz w:val="20"/>
                <w:szCs w:val="20"/>
              </w:rPr>
              <w:t>8.</w:t>
            </w:r>
          </w:p>
        </w:tc>
        <w:tc>
          <w:tcPr>
            <w:tcW w:w="2126" w:type="dxa"/>
            <w:vAlign w:val="center"/>
          </w:tcPr>
          <w:p w14:paraId="5A60EB45" w14:textId="77777777" w:rsidR="003B7CFF" w:rsidRPr="008E4270" w:rsidRDefault="003B7CFF" w:rsidP="005B747D">
            <w:pPr>
              <w:keepNext/>
              <w:rPr>
                <w:sz w:val="20"/>
                <w:szCs w:val="20"/>
              </w:rPr>
            </w:pPr>
            <w:r w:rsidRPr="008E4270">
              <w:rPr>
                <w:sz w:val="20"/>
                <w:szCs w:val="20"/>
              </w:rPr>
              <w:t>Soubor písemností, listin, dokumentace</w:t>
            </w:r>
          </w:p>
        </w:tc>
        <w:tc>
          <w:tcPr>
            <w:tcW w:w="1843" w:type="dxa"/>
            <w:vAlign w:val="center"/>
          </w:tcPr>
          <w:p w14:paraId="532E91DA" w14:textId="77777777" w:rsidR="003B7CFF" w:rsidRPr="008E4270" w:rsidRDefault="003B7CFF" w:rsidP="005B747D">
            <w:pPr>
              <w:keepNext/>
              <w:jc w:val="center"/>
              <w:rPr>
                <w:rFonts w:cs="Arial"/>
                <w:sz w:val="20"/>
                <w:szCs w:val="20"/>
              </w:rPr>
            </w:pPr>
            <w:r w:rsidRPr="008E4270">
              <w:rPr>
                <w:rFonts w:cs="Arial"/>
                <w:sz w:val="20"/>
                <w:szCs w:val="20"/>
              </w:rPr>
              <w:t>---</w:t>
            </w:r>
          </w:p>
        </w:tc>
        <w:tc>
          <w:tcPr>
            <w:tcW w:w="1276" w:type="dxa"/>
            <w:vAlign w:val="center"/>
          </w:tcPr>
          <w:p w14:paraId="3C9E4597" w14:textId="77777777" w:rsidR="003B7CFF" w:rsidRPr="008E4270" w:rsidRDefault="003B7CFF" w:rsidP="005B747D">
            <w:pPr>
              <w:keepNext/>
              <w:jc w:val="center"/>
              <w:rPr>
                <w:sz w:val="20"/>
                <w:szCs w:val="20"/>
              </w:rPr>
            </w:pPr>
            <w:r w:rsidRPr="008E4270">
              <w:rPr>
                <w:sz w:val="20"/>
                <w:szCs w:val="20"/>
              </w:rPr>
              <w:t>5 000 Kč</w:t>
            </w:r>
          </w:p>
        </w:tc>
        <w:tc>
          <w:tcPr>
            <w:tcW w:w="1276" w:type="dxa"/>
            <w:vAlign w:val="center"/>
          </w:tcPr>
          <w:p w14:paraId="1EE09331" w14:textId="77777777" w:rsidR="003B7CFF" w:rsidRPr="008E4270" w:rsidRDefault="003B7CFF" w:rsidP="005B747D">
            <w:pPr>
              <w:keepNext/>
              <w:jc w:val="center"/>
              <w:rPr>
                <w:sz w:val="20"/>
                <w:szCs w:val="20"/>
              </w:rPr>
            </w:pPr>
            <w:r w:rsidRPr="008E4270">
              <w:rPr>
                <w:sz w:val="20"/>
                <w:szCs w:val="20"/>
              </w:rPr>
              <w:t>*)</w:t>
            </w:r>
          </w:p>
        </w:tc>
        <w:tc>
          <w:tcPr>
            <w:tcW w:w="1559" w:type="dxa"/>
            <w:vAlign w:val="center"/>
          </w:tcPr>
          <w:p w14:paraId="287B7068" w14:textId="77777777" w:rsidR="003B7CFF" w:rsidRPr="008E4270" w:rsidRDefault="003B7CFF" w:rsidP="005B747D">
            <w:pPr>
              <w:keepNext/>
              <w:jc w:val="center"/>
              <w:rPr>
                <w:sz w:val="20"/>
                <w:szCs w:val="20"/>
              </w:rPr>
            </w:pPr>
            <w:r w:rsidRPr="008E4270">
              <w:rPr>
                <w:sz w:val="20"/>
                <w:szCs w:val="20"/>
              </w:rPr>
              <w:t>300 000 Kč</w:t>
            </w:r>
          </w:p>
        </w:tc>
        <w:tc>
          <w:tcPr>
            <w:tcW w:w="1239" w:type="dxa"/>
            <w:vAlign w:val="center"/>
          </w:tcPr>
          <w:p w14:paraId="229402B3" w14:textId="77777777" w:rsidR="003B7CFF" w:rsidRPr="008E4270" w:rsidRDefault="003B7CFF" w:rsidP="005B747D">
            <w:pPr>
              <w:keepNext/>
              <w:jc w:val="center"/>
              <w:rPr>
                <w:rFonts w:cs="Arial"/>
                <w:sz w:val="20"/>
                <w:szCs w:val="20"/>
              </w:rPr>
            </w:pPr>
            <w:r w:rsidRPr="008E4270">
              <w:rPr>
                <w:rFonts w:cs="Arial"/>
                <w:sz w:val="20"/>
                <w:szCs w:val="20"/>
              </w:rPr>
              <w:t>---</w:t>
            </w:r>
          </w:p>
        </w:tc>
      </w:tr>
      <w:tr w:rsidR="008E4270" w:rsidRPr="008E4270" w14:paraId="55F3AF55" w14:textId="77777777" w:rsidTr="00586B46">
        <w:trPr>
          <w:jc w:val="center"/>
        </w:trPr>
        <w:tc>
          <w:tcPr>
            <w:tcW w:w="673" w:type="dxa"/>
            <w:vAlign w:val="center"/>
          </w:tcPr>
          <w:p w14:paraId="43EF19EB" w14:textId="77777777" w:rsidR="003B7CFF" w:rsidRPr="008E4270" w:rsidRDefault="003B7CFF" w:rsidP="005B747D">
            <w:pPr>
              <w:jc w:val="center"/>
              <w:rPr>
                <w:sz w:val="20"/>
                <w:szCs w:val="20"/>
              </w:rPr>
            </w:pPr>
            <w:r w:rsidRPr="008E4270">
              <w:rPr>
                <w:sz w:val="20"/>
                <w:szCs w:val="20"/>
              </w:rPr>
              <w:t>9.</w:t>
            </w:r>
          </w:p>
        </w:tc>
        <w:tc>
          <w:tcPr>
            <w:tcW w:w="2126" w:type="dxa"/>
            <w:vAlign w:val="center"/>
          </w:tcPr>
          <w:p w14:paraId="46C22370" w14:textId="77777777" w:rsidR="003B7CFF" w:rsidRPr="008E4270" w:rsidRDefault="003B7CFF" w:rsidP="005B747D">
            <w:pPr>
              <w:rPr>
                <w:sz w:val="20"/>
                <w:szCs w:val="20"/>
              </w:rPr>
            </w:pPr>
            <w:r w:rsidRPr="008E4270">
              <w:rPr>
                <w:sz w:val="20"/>
                <w:szCs w:val="20"/>
              </w:rPr>
              <w:t xml:space="preserve">Lesní porosty dle specifikace </w:t>
            </w:r>
          </w:p>
          <w:p w14:paraId="20D65C14" w14:textId="77777777" w:rsidR="003B7CFF" w:rsidRPr="008E4270" w:rsidRDefault="003B7CFF" w:rsidP="005B747D">
            <w:pPr>
              <w:rPr>
                <w:sz w:val="20"/>
                <w:szCs w:val="20"/>
              </w:rPr>
            </w:pPr>
            <w:r w:rsidRPr="008E4270">
              <w:rPr>
                <w:sz w:val="20"/>
                <w:szCs w:val="20"/>
              </w:rPr>
              <w:t>v Příloze č. 5</w:t>
            </w:r>
          </w:p>
        </w:tc>
        <w:tc>
          <w:tcPr>
            <w:tcW w:w="1843" w:type="dxa"/>
            <w:vAlign w:val="center"/>
          </w:tcPr>
          <w:p w14:paraId="5A971D51" w14:textId="77777777" w:rsidR="003B7CFF" w:rsidRPr="008E4270" w:rsidRDefault="003B7CFF" w:rsidP="005B747D">
            <w:pPr>
              <w:jc w:val="center"/>
              <w:rPr>
                <w:rFonts w:cs="Arial"/>
                <w:sz w:val="20"/>
                <w:szCs w:val="20"/>
              </w:rPr>
            </w:pPr>
            <w:r w:rsidRPr="008E4270">
              <w:rPr>
                <w:rFonts w:cs="Arial"/>
                <w:sz w:val="20"/>
                <w:szCs w:val="20"/>
              </w:rPr>
              <w:t>---</w:t>
            </w:r>
          </w:p>
        </w:tc>
        <w:tc>
          <w:tcPr>
            <w:tcW w:w="1276" w:type="dxa"/>
            <w:vAlign w:val="center"/>
          </w:tcPr>
          <w:p w14:paraId="724C9326" w14:textId="77777777" w:rsidR="003B7CFF" w:rsidRPr="008E4270" w:rsidRDefault="003B7CFF" w:rsidP="005B747D">
            <w:pPr>
              <w:jc w:val="center"/>
              <w:rPr>
                <w:sz w:val="20"/>
                <w:szCs w:val="20"/>
              </w:rPr>
            </w:pPr>
            <w:r w:rsidRPr="008E4270">
              <w:rPr>
                <w:sz w:val="20"/>
                <w:szCs w:val="20"/>
              </w:rPr>
              <w:t>10% Kč</w:t>
            </w:r>
          </w:p>
        </w:tc>
        <w:tc>
          <w:tcPr>
            <w:tcW w:w="1276" w:type="dxa"/>
            <w:vAlign w:val="center"/>
          </w:tcPr>
          <w:p w14:paraId="7EB61A21" w14:textId="77777777" w:rsidR="003B7CFF" w:rsidRPr="008E4270" w:rsidRDefault="003B7CFF" w:rsidP="005B747D">
            <w:pPr>
              <w:jc w:val="center"/>
              <w:rPr>
                <w:sz w:val="20"/>
                <w:szCs w:val="20"/>
              </w:rPr>
            </w:pPr>
            <w:r w:rsidRPr="008E4270">
              <w:rPr>
                <w:sz w:val="20"/>
                <w:szCs w:val="20"/>
              </w:rPr>
              <w:t>*)</w:t>
            </w:r>
          </w:p>
        </w:tc>
        <w:tc>
          <w:tcPr>
            <w:tcW w:w="1559" w:type="dxa"/>
            <w:vAlign w:val="center"/>
          </w:tcPr>
          <w:p w14:paraId="2B15519C" w14:textId="77777777" w:rsidR="003B7CFF" w:rsidRPr="008E4270" w:rsidRDefault="003B7CFF" w:rsidP="005B747D">
            <w:pPr>
              <w:jc w:val="center"/>
              <w:rPr>
                <w:sz w:val="20"/>
                <w:szCs w:val="20"/>
              </w:rPr>
            </w:pPr>
            <w:r w:rsidRPr="008E4270">
              <w:rPr>
                <w:rFonts w:cs="Arial"/>
                <w:sz w:val="20"/>
                <w:szCs w:val="20"/>
              </w:rPr>
              <w:t>50 000 000 Kč</w:t>
            </w:r>
          </w:p>
        </w:tc>
        <w:tc>
          <w:tcPr>
            <w:tcW w:w="1239" w:type="dxa"/>
            <w:vAlign w:val="center"/>
          </w:tcPr>
          <w:p w14:paraId="1D252443" w14:textId="77777777" w:rsidR="00475053" w:rsidRPr="008E4270" w:rsidRDefault="003B7CFF" w:rsidP="005B747D">
            <w:pPr>
              <w:jc w:val="center"/>
              <w:rPr>
                <w:rFonts w:cs="Arial"/>
                <w:sz w:val="20"/>
                <w:szCs w:val="20"/>
              </w:rPr>
            </w:pPr>
            <w:r w:rsidRPr="008E4270">
              <w:rPr>
                <w:rFonts w:cs="Arial"/>
                <w:sz w:val="20"/>
                <w:szCs w:val="20"/>
              </w:rPr>
              <w:t xml:space="preserve">viz </w:t>
            </w:r>
          </w:p>
          <w:p w14:paraId="6BE89D9E" w14:textId="6C0529E5" w:rsidR="003B7CFF" w:rsidRPr="008E4270" w:rsidRDefault="003B7CFF" w:rsidP="005B747D">
            <w:pPr>
              <w:jc w:val="center"/>
              <w:rPr>
                <w:rFonts w:cs="Arial"/>
                <w:sz w:val="20"/>
                <w:szCs w:val="20"/>
              </w:rPr>
            </w:pPr>
            <w:r w:rsidRPr="008E4270">
              <w:rPr>
                <w:rFonts w:cs="Arial"/>
                <w:sz w:val="20"/>
                <w:szCs w:val="20"/>
              </w:rPr>
              <w:t>Článek V. Zvláštní ujednání</w:t>
            </w:r>
          </w:p>
        </w:tc>
      </w:tr>
      <w:tr w:rsidR="008E4270" w:rsidRPr="008E4270" w14:paraId="6EAB6980" w14:textId="77777777" w:rsidTr="005B747D">
        <w:trPr>
          <w:jc w:val="center"/>
        </w:trPr>
        <w:tc>
          <w:tcPr>
            <w:tcW w:w="9992" w:type="dxa"/>
            <w:gridSpan w:val="7"/>
            <w:tcBorders>
              <w:bottom w:val="single" w:sz="4" w:space="0" w:color="auto"/>
            </w:tcBorders>
          </w:tcPr>
          <w:p w14:paraId="009A3051" w14:textId="77777777" w:rsidR="003B7CFF" w:rsidRPr="008E4270" w:rsidRDefault="003B7CFF" w:rsidP="005B747D">
            <w:pPr>
              <w:rPr>
                <w:sz w:val="20"/>
                <w:szCs w:val="20"/>
              </w:rPr>
            </w:pPr>
            <w:r w:rsidRPr="008E4270">
              <w:rPr>
                <w:sz w:val="20"/>
                <w:szCs w:val="20"/>
              </w:rPr>
              <w:t xml:space="preserve">Poznámky: </w:t>
            </w:r>
          </w:p>
          <w:p w14:paraId="363C3E23" w14:textId="77777777" w:rsidR="003B7CFF" w:rsidRPr="008E4270" w:rsidRDefault="003B7CFF" w:rsidP="005B747D">
            <w:pPr>
              <w:rPr>
                <w:sz w:val="20"/>
                <w:szCs w:val="20"/>
              </w:rPr>
            </w:pPr>
            <w:r w:rsidRPr="008E4270">
              <w:rPr>
                <w:sz w:val="20"/>
                <w:szCs w:val="20"/>
              </w:rPr>
              <w:t>Ujednává se, že se ustanovení čl. 3 odst. 3) ZPP P-150/14 ruší a nově zní:</w:t>
            </w:r>
          </w:p>
          <w:p w14:paraId="40288CB9" w14:textId="77777777" w:rsidR="003B7CFF" w:rsidRPr="008E4270" w:rsidRDefault="003B7CFF" w:rsidP="005B747D">
            <w:pPr>
              <w:jc w:val="both"/>
              <w:rPr>
                <w:sz w:val="20"/>
                <w:szCs w:val="20"/>
              </w:rPr>
            </w:pPr>
            <w:r w:rsidRPr="008E4270">
              <w:rPr>
                <w:sz w:val="20"/>
                <w:szCs w:val="20"/>
              </w:rPr>
              <w:t>„Z pojištění nevzniká právo na plnění pojistitele za škody vzniklé na pojištěné věci během její přepravy jako nákladu.“</w:t>
            </w:r>
          </w:p>
        </w:tc>
      </w:tr>
    </w:tbl>
    <w:p w14:paraId="40FB3A9A" w14:textId="33BD2399" w:rsidR="003B7CFF" w:rsidRPr="008E4270" w:rsidRDefault="003B7CFF" w:rsidP="003B7CFF">
      <w:pPr>
        <w:rPr>
          <w:sz w:val="16"/>
          <w:szCs w:val="16"/>
        </w:rPr>
      </w:pPr>
      <w:r w:rsidRPr="008E4270">
        <w:rPr>
          <w:sz w:val="16"/>
          <w:szCs w:val="16"/>
        </w:rPr>
        <w:t xml:space="preserve"> *) není-li uvedeno, sjednává se pojištění s pojistnou hodnotou uvedenou v příslušných pojistných podmínkách</w:t>
      </w:r>
    </w:p>
    <w:p w14:paraId="72CF3D95" w14:textId="77777777" w:rsidR="0051352D" w:rsidRPr="008E4270" w:rsidRDefault="0051352D" w:rsidP="00B3635C">
      <w:pPr>
        <w:pStyle w:val="slovn-rove2"/>
        <w:numPr>
          <w:ilvl w:val="1"/>
          <w:numId w:val="12"/>
        </w:numPr>
        <w:tabs>
          <w:tab w:val="clear" w:pos="454"/>
          <w:tab w:val="left" w:pos="426"/>
        </w:tabs>
        <w:spacing w:before="120" w:after="0"/>
        <w:ind w:left="3555" w:hanging="3555"/>
        <w:rPr>
          <w:szCs w:val="20"/>
        </w:rPr>
      </w:pPr>
      <w:r w:rsidRPr="008E4270">
        <w:t>Pojištění pro případ odcizení</w:t>
      </w:r>
    </w:p>
    <w:p w14:paraId="137A67AE" w14:textId="77777777" w:rsidR="0051352D" w:rsidRPr="008E4270" w:rsidRDefault="0051352D" w:rsidP="00320DF2">
      <w:pPr>
        <w:keepLines/>
        <w:jc w:val="both"/>
        <w:rPr>
          <w:sz w:val="20"/>
          <w:szCs w:val="20"/>
        </w:rPr>
      </w:pPr>
      <w:r w:rsidRPr="008E4270">
        <w:rPr>
          <w:sz w:val="20"/>
          <w:szCs w:val="20"/>
        </w:rPr>
        <w:t>Pojištění se sjednává pro předměty pojištění v rozsahu a na místech pojištění uvedených v následující tabulce/následujících tabulkách:</w:t>
      </w:r>
    </w:p>
    <w:p w14:paraId="59E83D13" w14:textId="1B2D6B3B" w:rsidR="000F692E" w:rsidRPr="008E4270" w:rsidRDefault="004F43EE" w:rsidP="00B3635C">
      <w:pPr>
        <w:spacing w:before="60"/>
        <w:ind w:left="-284"/>
        <w:rPr>
          <w:b/>
          <w:sz w:val="20"/>
          <w:szCs w:val="20"/>
        </w:rPr>
      </w:pPr>
      <w:r w:rsidRPr="008E4270">
        <w:rPr>
          <w:b/>
          <w:sz w:val="20"/>
          <w:szCs w:val="20"/>
        </w:rPr>
        <w:t xml:space="preserve">     </w:t>
      </w:r>
      <w:r w:rsidR="00612599" w:rsidRPr="008E4270">
        <w:rPr>
          <w:b/>
          <w:sz w:val="20"/>
          <w:szCs w:val="20"/>
        </w:rPr>
        <w:t xml:space="preserve"> </w:t>
      </w:r>
      <w:r w:rsidR="000F692E" w:rsidRPr="008E4270">
        <w:rPr>
          <w:b/>
          <w:sz w:val="20"/>
          <w:szCs w:val="20"/>
        </w:rPr>
        <w:t>2.</w:t>
      </w:r>
      <w:r w:rsidR="0051352D" w:rsidRPr="008E4270">
        <w:rPr>
          <w:b/>
          <w:sz w:val="20"/>
          <w:szCs w:val="20"/>
        </w:rPr>
        <w:t>2</w:t>
      </w:r>
      <w:r w:rsidR="000F692E" w:rsidRPr="008E4270">
        <w:rPr>
          <w:b/>
          <w:sz w:val="20"/>
          <w:szCs w:val="20"/>
        </w:rPr>
        <w:t>.1 Pojištění pro případ odcizení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701"/>
        <w:gridCol w:w="1276"/>
        <w:gridCol w:w="1418"/>
        <w:gridCol w:w="1559"/>
        <w:gridCol w:w="1276"/>
      </w:tblGrid>
      <w:tr w:rsidR="008E4270" w:rsidRPr="008E4270" w14:paraId="55F15F71" w14:textId="77777777" w:rsidTr="004F43EE">
        <w:tc>
          <w:tcPr>
            <w:tcW w:w="10065" w:type="dxa"/>
            <w:gridSpan w:val="7"/>
          </w:tcPr>
          <w:p w14:paraId="3D7BEAF4" w14:textId="3F1EDDCD" w:rsidR="000F692E" w:rsidRPr="008E4270" w:rsidRDefault="000F692E" w:rsidP="000F692E">
            <w:pPr>
              <w:rPr>
                <w:rFonts w:cs="Arial"/>
                <w:sz w:val="20"/>
                <w:szCs w:val="20"/>
              </w:rPr>
            </w:pPr>
            <w:r w:rsidRPr="008E4270">
              <w:rPr>
                <w:b/>
                <w:sz w:val="20"/>
                <w:szCs w:val="20"/>
              </w:rPr>
              <w:t>Místo pojištění:</w:t>
            </w:r>
            <w:r w:rsidRPr="008E4270">
              <w:rPr>
                <w:rFonts w:cs="Arial"/>
                <w:sz w:val="20"/>
                <w:szCs w:val="20"/>
              </w:rPr>
              <w:t xml:space="preserve"> </w:t>
            </w:r>
            <w:r w:rsidR="00094CC9" w:rsidRPr="008E4270">
              <w:rPr>
                <w:sz w:val="20"/>
                <w:szCs w:val="20"/>
              </w:rPr>
              <w:t>dle bodu 1.2., odst. 1., Čl. II. této pojistné smlouvy</w:t>
            </w:r>
          </w:p>
        </w:tc>
      </w:tr>
      <w:tr w:rsidR="008E4270" w:rsidRPr="008E4270" w14:paraId="70628F78" w14:textId="77777777" w:rsidTr="004F43EE">
        <w:tc>
          <w:tcPr>
            <w:tcW w:w="10065" w:type="dxa"/>
            <w:gridSpan w:val="7"/>
          </w:tcPr>
          <w:p w14:paraId="27E752DC" w14:textId="62998203" w:rsidR="000F692E" w:rsidRPr="008E4270" w:rsidRDefault="000F692E" w:rsidP="000F692E">
            <w:pPr>
              <w:rPr>
                <w:b/>
                <w:sz w:val="20"/>
                <w:szCs w:val="20"/>
              </w:rPr>
            </w:pPr>
            <w:r w:rsidRPr="008E4270">
              <w:rPr>
                <w:b/>
                <w:sz w:val="20"/>
                <w:szCs w:val="20"/>
              </w:rPr>
              <w:t xml:space="preserve">Rozsah pojištění: </w:t>
            </w:r>
            <w:r w:rsidRPr="008E4270">
              <w:rPr>
                <w:sz w:val="20"/>
                <w:szCs w:val="20"/>
              </w:rPr>
              <w:t>pojištění pro případ odcizení (</w:t>
            </w:r>
            <w:r w:rsidR="00996BB9" w:rsidRPr="008E4270">
              <w:rPr>
                <w:sz w:val="20"/>
                <w:szCs w:val="20"/>
              </w:rPr>
              <w:t xml:space="preserve">s výjimkou </w:t>
            </w:r>
            <w:r w:rsidRPr="008E4270">
              <w:rPr>
                <w:sz w:val="20"/>
                <w:szCs w:val="20"/>
              </w:rPr>
              <w:t>loupeže přepravovaných peněz nebo cenin)</w:t>
            </w:r>
          </w:p>
        </w:tc>
      </w:tr>
      <w:tr w:rsidR="008E4270" w:rsidRPr="008E4270" w14:paraId="40A0FA10" w14:textId="77777777" w:rsidTr="004F43EE">
        <w:tc>
          <w:tcPr>
            <w:tcW w:w="10065" w:type="dxa"/>
            <w:gridSpan w:val="7"/>
          </w:tcPr>
          <w:p w14:paraId="1026EEB9" w14:textId="0979D474" w:rsidR="000F692E" w:rsidRPr="008E4270" w:rsidRDefault="000F692E" w:rsidP="000F692E">
            <w:pPr>
              <w:rPr>
                <w:sz w:val="20"/>
                <w:szCs w:val="20"/>
              </w:rPr>
            </w:pPr>
            <w:r w:rsidRPr="008E4270">
              <w:rPr>
                <w:b/>
                <w:sz w:val="20"/>
                <w:szCs w:val="20"/>
              </w:rPr>
              <w:t>Pojištění se řídí:</w:t>
            </w:r>
            <w:r w:rsidRPr="008E4270">
              <w:rPr>
                <w:sz w:val="20"/>
                <w:szCs w:val="20"/>
              </w:rPr>
              <w:t xml:space="preserve"> VPP P-100/14, ZPP P-200/14 a doložkami DOZ101, DOZ102, DOZ105, DOB101</w:t>
            </w:r>
            <w:r w:rsidR="005F1C5C" w:rsidRPr="008E4270">
              <w:rPr>
                <w:sz w:val="20"/>
                <w:szCs w:val="20"/>
              </w:rPr>
              <w:t xml:space="preserve">, </w:t>
            </w:r>
            <w:r w:rsidRPr="008E4270">
              <w:rPr>
                <w:sz w:val="20"/>
                <w:szCs w:val="20"/>
              </w:rPr>
              <w:t>DOB103</w:t>
            </w:r>
          </w:p>
        </w:tc>
      </w:tr>
      <w:tr w:rsidR="008E4270" w:rsidRPr="008E4270" w14:paraId="2A02C07B" w14:textId="77777777" w:rsidTr="00051005">
        <w:tc>
          <w:tcPr>
            <w:tcW w:w="709" w:type="dxa"/>
            <w:vAlign w:val="center"/>
          </w:tcPr>
          <w:p w14:paraId="7AA5FCE5" w14:textId="77777777" w:rsidR="000F692E" w:rsidRPr="008E4270" w:rsidRDefault="000F692E" w:rsidP="000F692E">
            <w:pPr>
              <w:jc w:val="center"/>
              <w:rPr>
                <w:b/>
                <w:sz w:val="20"/>
                <w:szCs w:val="20"/>
              </w:rPr>
            </w:pPr>
            <w:r w:rsidRPr="008E4270">
              <w:rPr>
                <w:b/>
                <w:sz w:val="20"/>
                <w:szCs w:val="20"/>
              </w:rPr>
              <w:t>Poř. číslo</w:t>
            </w:r>
          </w:p>
        </w:tc>
        <w:tc>
          <w:tcPr>
            <w:tcW w:w="2126" w:type="dxa"/>
            <w:vAlign w:val="center"/>
          </w:tcPr>
          <w:p w14:paraId="4CE3C92A" w14:textId="77777777" w:rsidR="000F692E" w:rsidRPr="008E4270" w:rsidRDefault="000F692E" w:rsidP="000F692E">
            <w:pPr>
              <w:jc w:val="center"/>
              <w:rPr>
                <w:b/>
                <w:sz w:val="20"/>
                <w:szCs w:val="20"/>
              </w:rPr>
            </w:pPr>
            <w:r w:rsidRPr="008E4270">
              <w:rPr>
                <w:b/>
                <w:sz w:val="20"/>
                <w:szCs w:val="20"/>
              </w:rPr>
              <w:t>Předmět pojištění</w:t>
            </w:r>
          </w:p>
        </w:tc>
        <w:tc>
          <w:tcPr>
            <w:tcW w:w="1701" w:type="dxa"/>
            <w:vAlign w:val="center"/>
          </w:tcPr>
          <w:p w14:paraId="59A9205B" w14:textId="77777777" w:rsidR="000F692E" w:rsidRPr="008E4270" w:rsidRDefault="000F692E" w:rsidP="000F692E">
            <w:pPr>
              <w:jc w:val="center"/>
              <w:rPr>
                <w:b/>
                <w:sz w:val="20"/>
                <w:szCs w:val="20"/>
              </w:rPr>
            </w:pPr>
            <w:r w:rsidRPr="008E4270">
              <w:rPr>
                <w:b/>
                <w:sz w:val="20"/>
                <w:szCs w:val="20"/>
              </w:rPr>
              <w:t>Pojistná částka</w:t>
            </w:r>
            <w:r w:rsidRPr="008E4270">
              <w:rPr>
                <w:b/>
                <w:sz w:val="20"/>
                <w:szCs w:val="20"/>
                <w:vertAlign w:val="superscript"/>
              </w:rPr>
              <w:t>10)</w:t>
            </w:r>
          </w:p>
        </w:tc>
        <w:tc>
          <w:tcPr>
            <w:tcW w:w="1276" w:type="dxa"/>
            <w:vAlign w:val="center"/>
          </w:tcPr>
          <w:p w14:paraId="484B2391" w14:textId="478F7FCA" w:rsidR="000F692E" w:rsidRPr="008E4270" w:rsidRDefault="000F692E" w:rsidP="000F692E">
            <w:pPr>
              <w:jc w:val="center"/>
              <w:rPr>
                <w:b/>
                <w:sz w:val="20"/>
                <w:szCs w:val="20"/>
              </w:rPr>
            </w:pPr>
            <w:r w:rsidRPr="008E4270">
              <w:rPr>
                <w:b/>
                <w:sz w:val="20"/>
                <w:szCs w:val="20"/>
              </w:rPr>
              <w:t>Spoluúčast</w:t>
            </w:r>
            <w:r w:rsidR="00794645" w:rsidRPr="008E4270">
              <w:rPr>
                <w:b/>
                <w:sz w:val="20"/>
                <w:szCs w:val="20"/>
              </w:rPr>
              <w:t xml:space="preserve"> </w:t>
            </w:r>
            <w:r w:rsidRPr="008E4270">
              <w:rPr>
                <w:b/>
                <w:sz w:val="20"/>
                <w:szCs w:val="20"/>
                <w:vertAlign w:val="superscript"/>
              </w:rPr>
              <w:t>5)</w:t>
            </w:r>
          </w:p>
        </w:tc>
        <w:tc>
          <w:tcPr>
            <w:tcW w:w="1418" w:type="dxa"/>
            <w:vAlign w:val="center"/>
          </w:tcPr>
          <w:p w14:paraId="05A049B8" w14:textId="77777777" w:rsidR="000F692E" w:rsidRPr="008E4270" w:rsidRDefault="000F692E" w:rsidP="000F692E">
            <w:pPr>
              <w:jc w:val="center"/>
              <w:rPr>
                <w:b/>
                <w:sz w:val="20"/>
                <w:szCs w:val="20"/>
              </w:rPr>
            </w:pPr>
            <w:r w:rsidRPr="008E4270">
              <w:rPr>
                <w:b/>
                <w:sz w:val="20"/>
                <w:szCs w:val="20"/>
              </w:rPr>
              <w:t>Pojištění se sjednává na cenu</w:t>
            </w:r>
            <w:r w:rsidRPr="008E4270">
              <w:rPr>
                <w:b/>
                <w:sz w:val="20"/>
                <w:szCs w:val="20"/>
                <w:vertAlign w:val="superscript"/>
              </w:rPr>
              <w:t>*1)</w:t>
            </w:r>
          </w:p>
        </w:tc>
        <w:tc>
          <w:tcPr>
            <w:tcW w:w="1559" w:type="dxa"/>
            <w:vAlign w:val="center"/>
          </w:tcPr>
          <w:p w14:paraId="7138DBBA" w14:textId="77777777" w:rsidR="000F692E" w:rsidRPr="008E4270" w:rsidRDefault="000F692E" w:rsidP="000F692E">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p w14:paraId="2D525E24" w14:textId="77777777" w:rsidR="000F692E" w:rsidRPr="008E4270" w:rsidRDefault="000F692E" w:rsidP="000F692E">
            <w:pPr>
              <w:jc w:val="center"/>
              <w:rPr>
                <w:b/>
                <w:sz w:val="20"/>
                <w:szCs w:val="20"/>
              </w:rPr>
            </w:pPr>
            <w:r w:rsidRPr="008E4270">
              <w:rPr>
                <w:b/>
                <w:sz w:val="20"/>
                <w:szCs w:val="20"/>
              </w:rPr>
              <w:t>První riziko</w:t>
            </w:r>
            <w:r w:rsidRPr="008E4270">
              <w:rPr>
                <w:b/>
                <w:sz w:val="20"/>
                <w:szCs w:val="20"/>
                <w:vertAlign w:val="superscript"/>
              </w:rPr>
              <w:t>2)</w:t>
            </w:r>
          </w:p>
        </w:tc>
        <w:tc>
          <w:tcPr>
            <w:tcW w:w="1276" w:type="dxa"/>
            <w:vAlign w:val="center"/>
          </w:tcPr>
          <w:p w14:paraId="4BF25063" w14:textId="77777777" w:rsidR="000F692E" w:rsidRPr="008E4270" w:rsidRDefault="000F692E" w:rsidP="000F692E">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tc>
      </w:tr>
      <w:tr w:rsidR="008E4270" w:rsidRPr="008E4270" w14:paraId="3F9D9AB5" w14:textId="77777777" w:rsidTr="00051005">
        <w:trPr>
          <w:trHeight w:val="706"/>
        </w:trPr>
        <w:tc>
          <w:tcPr>
            <w:tcW w:w="709" w:type="dxa"/>
            <w:vAlign w:val="center"/>
          </w:tcPr>
          <w:p w14:paraId="52A83F69" w14:textId="16D33C2D" w:rsidR="00AC1C62" w:rsidRPr="008E4270" w:rsidRDefault="00835A6A" w:rsidP="00AC1C62">
            <w:pPr>
              <w:jc w:val="center"/>
              <w:rPr>
                <w:sz w:val="20"/>
                <w:szCs w:val="20"/>
              </w:rPr>
            </w:pPr>
            <w:r w:rsidRPr="008E4270">
              <w:rPr>
                <w:sz w:val="20"/>
                <w:szCs w:val="20"/>
              </w:rPr>
              <w:t>1</w:t>
            </w:r>
            <w:r w:rsidR="00AC1C62" w:rsidRPr="008E4270">
              <w:rPr>
                <w:sz w:val="20"/>
                <w:szCs w:val="20"/>
              </w:rPr>
              <w:t>.</w:t>
            </w:r>
          </w:p>
        </w:tc>
        <w:tc>
          <w:tcPr>
            <w:tcW w:w="2126" w:type="dxa"/>
            <w:vAlign w:val="center"/>
          </w:tcPr>
          <w:p w14:paraId="25412342" w14:textId="77777777" w:rsidR="00957A75" w:rsidRPr="008E4270" w:rsidRDefault="00151909" w:rsidP="00AC1C62">
            <w:pPr>
              <w:rPr>
                <w:rFonts w:cs="Arial"/>
                <w:bCs/>
                <w:snapToGrid w:val="0"/>
                <w:spacing w:val="-2"/>
                <w:sz w:val="20"/>
                <w:szCs w:val="20"/>
              </w:rPr>
            </w:pPr>
            <w:r w:rsidRPr="008E4270">
              <w:rPr>
                <w:rFonts w:cs="Arial"/>
                <w:bCs/>
                <w:snapToGrid w:val="0"/>
                <w:spacing w:val="-2"/>
                <w:sz w:val="20"/>
                <w:szCs w:val="20"/>
              </w:rPr>
              <w:t xml:space="preserve">Soubor vlastních </w:t>
            </w:r>
          </w:p>
          <w:p w14:paraId="45882278" w14:textId="77777777" w:rsidR="00957A75" w:rsidRPr="008E4270" w:rsidRDefault="00CB0E54" w:rsidP="00AC1C62">
            <w:pPr>
              <w:rPr>
                <w:rFonts w:cs="Arial"/>
                <w:bCs/>
                <w:snapToGrid w:val="0"/>
                <w:spacing w:val="-2"/>
                <w:sz w:val="20"/>
                <w:szCs w:val="20"/>
              </w:rPr>
            </w:pPr>
            <w:r w:rsidRPr="008E4270">
              <w:rPr>
                <w:rFonts w:cs="Arial"/>
                <w:bCs/>
                <w:snapToGrid w:val="0"/>
                <w:spacing w:val="-2"/>
                <w:sz w:val="20"/>
                <w:szCs w:val="20"/>
              </w:rPr>
              <w:t>a cizích budov</w:t>
            </w:r>
            <w:r w:rsidR="00957A75" w:rsidRPr="008E4270">
              <w:rPr>
                <w:rFonts w:cs="Arial"/>
                <w:bCs/>
                <w:snapToGrid w:val="0"/>
                <w:spacing w:val="-2"/>
                <w:sz w:val="20"/>
                <w:szCs w:val="20"/>
              </w:rPr>
              <w:t xml:space="preserve"> </w:t>
            </w:r>
          </w:p>
          <w:p w14:paraId="19A7A562" w14:textId="77777777" w:rsidR="00957A75" w:rsidRPr="008E4270" w:rsidRDefault="00CB0E54" w:rsidP="00AC1C62">
            <w:pPr>
              <w:rPr>
                <w:rFonts w:cs="Arial"/>
                <w:bCs/>
                <w:snapToGrid w:val="0"/>
                <w:spacing w:val="-2"/>
                <w:sz w:val="20"/>
                <w:szCs w:val="20"/>
              </w:rPr>
            </w:pPr>
            <w:r w:rsidRPr="008E4270">
              <w:rPr>
                <w:rFonts w:cs="Arial"/>
                <w:bCs/>
                <w:snapToGrid w:val="0"/>
                <w:spacing w:val="-2"/>
                <w:sz w:val="20"/>
                <w:szCs w:val="20"/>
              </w:rPr>
              <w:t xml:space="preserve">a staveb </w:t>
            </w:r>
          </w:p>
          <w:p w14:paraId="1B9579E3" w14:textId="734ADA5A" w:rsidR="00AC1C62" w:rsidRPr="008E4270" w:rsidRDefault="00CB0E54" w:rsidP="00AC1C62">
            <w:pPr>
              <w:rPr>
                <w:rFonts w:cs="Arial"/>
                <w:bCs/>
                <w:snapToGrid w:val="0"/>
                <w:spacing w:val="-2"/>
                <w:sz w:val="20"/>
                <w:szCs w:val="20"/>
              </w:rPr>
            </w:pPr>
            <w:r w:rsidRPr="008E4270">
              <w:rPr>
                <w:rFonts w:cs="Arial"/>
                <w:bCs/>
                <w:snapToGrid w:val="0"/>
                <w:spacing w:val="-2"/>
                <w:sz w:val="20"/>
                <w:szCs w:val="20"/>
              </w:rPr>
              <w:t>a příslušenství staveb, drobné stavby apod. dle níže uvedené specifikace</w:t>
            </w:r>
          </w:p>
        </w:tc>
        <w:tc>
          <w:tcPr>
            <w:tcW w:w="1701" w:type="dxa"/>
            <w:vAlign w:val="center"/>
          </w:tcPr>
          <w:p w14:paraId="5071ABAB" w14:textId="3DDE8F5D" w:rsidR="00AC1C62" w:rsidRPr="008E4270" w:rsidRDefault="00835A6A" w:rsidP="00AC1C62">
            <w:pPr>
              <w:jc w:val="center"/>
              <w:rPr>
                <w:rFonts w:cs="Arial"/>
                <w:sz w:val="20"/>
                <w:szCs w:val="20"/>
              </w:rPr>
            </w:pPr>
            <w:r w:rsidRPr="008E4270">
              <w:rPr>
                <w:rFonts w:cs="Arial"/>
                <w:sz w:val="20"/>
                <w:szCs w:val="20"/>
              </w:rPr>
              <w:t>---</w:t>
            </w:r>
          </w:p>
        </w:tc>
        <w:tc>
          <w:tcPr>
            <w:tcW w:w="1276" w:type="dxa"/>
            <w:vAlign w:val="center"/>
          </w:tcPr>
          <w:p w14:paraId="33D38D6C" w14:textId="4C5E26C8" w:rsidR="00AC1C62" w:rsidRPr="008E4270" w:rsidRDefault="00CB0E54" w:rsidP="00AC1C62">
            <w:pPr>
              <w:jc w:val="center"/>
              <w:rPr>
                <w:sz w:val="20"/>
                <w:szCs w:val="20"/>
              </w:rPr>
            </w:pPr>
            <w:r w:rsidRPr="008E4270">
              <w:rPr>
                <w:sz w:val="20"/>
                <w:szCs w:val="20"/>
              </w:rPr>
              <w:t>5</w:t>
            </w:r>
            <w:r w:rsidR="00835A6A" w:rsidRPr="008E4270">
              <w:rPr>
                <w:sz w:val="20"/>
                <w:szCs w:val="20"/>
              </w:rPr>
              <w:t> 000 Kč</w:t>
            </w:r>
          </w:p>
        </w:tc>
        <w:tc>
          <w:tcPr>
            <w:tcW w:w="1418" w:type="dxa"/>
            <w:vAlign w:val="center"/>
          </w:tcPr>
          <w:p w14:paraId="55E53AF4" w14:textId="11D23B90" w:rsidR="00AC1C62" w:rsidRPr="008E4270" w:rsidRDefault="00151909" w:rsidP="00AC1C62">
            <w:pPr>
              <w:jc w:val="center"/>
              <w:rPr>
                <w:sz w:val="20"/>
                <w:szCs w:val="20"/>
              </w:rPr>
            </w:pPr>
            <w:r w:rsidRPr="008E4270">
              <w:rPr>
                <w:sz w:val="20"/>
                <w:szCs w:val="20"/>
              </w:rPr>
              <w:t>*)</w:t>
            </w:r>
          </w:p>
        </w:tc>
        <w:tc>
          <w:tcPr>
            <w:tcW w:w="1559" w:type="dxa"/>
            <w:vAlign w:val="center"/>
          </w:tcPr>
          <w:p w14:paraId="561390DC" w14:textId="2A89893B" w:rsidR="00AC1C62" w:rsidRPr="008E4270" w:rsidRDefault="00CB0E54" w:rsidP="00835A6A">
            <w:pPr>
              <w:jc w:val="center"/>
              <w:rPr>
                <w:sz w:val="20"/>
                <w:szCs w:val="20"/>
              </w:rPr>
            </w:pPr>
            <w:r w:rsidRPr="008E4270">
              <w:rPr>
                <w:sz w:val="20"/>
                <w:szCs w:val="20"/>
              </w:rPr>
              <w:t>50</w:t>
            </w:r>
            <w:r w:rsidR="00151909" w:rsidRPr="008E4270">
              <w:rPr>
                <w:sz w:val="20"/>
                <w:szCs w:val="20"/>
              </w:rPr>
              <w:t>0</w:t>
            </w:r>
            <w:r w:rsidR="00835A6A" w:rsidRPr="008E4270">
              <w:rPr>
                <w:sz w:val="20"/>
                <w:szCs w:val="20"/>
              </w:rPr>
              <w:t xml:space="preserve"> 000 Kč</w:t>
            </w:r>
          </w:p>
        </w:tc>
        <w:tc>
          <w:tcPr>
            <w:tcW w:w="1276" w:type="dxa"/>
            <w:vAlign w:val="center"/>
          </w:tcPr>
          <w:p w14:paraId="47A9292E" w14:textId="0805A3FA" w:rsidR="00AC1C62" w:rsidRPr="008E4270" w:rsidRDefault="00AC1C62" w:rsidP="00AC1C62">
            <w:pPr>
              <w:jc w:val="center"/>
              <w:rPr>
                <w:sz w:val="20"/>
                <w:szCs w:val="20"/>
              </w:rPr>
            </w:pPr>
            <w:r w:rsidRPr="008E4270">
              <w:rPr>
                <w:rFonts w:cs="Arial"/>
                <w:sz w:val="20"/>
                <w:szCs w:val="20"/>
              </w:rPr>
              <w:t>---</w:t>
            </w:r>
          </w:p>
        </w:tc>
      </w:tr>
      <w:tr w:rsidR="008E4270" w:rsidRPr="008E4270" w14:paraId="2778A97A" w14:textId="77777777" w:rsidTr="00630821">
        <w:trPr>
          <w:trHeight w:val="706"/>
        </w:trPr>
        <w:tc>
          <w:tcPr>
            <w:tcW w:w="10065" w:type="dxa"/>
            <w:gridSpan w:val="7"/>
            <w:vAlign w:val="center"/>
          </w:tcPr>
          <w:p w14:paraId="18E5158E" w14:textId="47714540" w:rsidR="00CB0E54" w:rsidRPr="008E4270" w:rsidRDefault="00364EB0" w:rsidP="00CB0E54">
            <w:pPr>
              <w:jc w:val="both"/>
              <w:rPr>
                <w:rFonts w:cs="Arial"/>
                <w:bCs/>
                <w:snapToGrid w:val="0"/>
                <w:spacing w:val="-2"/>
                <w:sz w:val="20"/>
                <w:szCs w:val="20"/>
              </w:rPr>
            </w:pPr>
            <w:r w:rsidRPr="008E4270">
              <w:rPr>
                <w:rFonts w:cs="Arial"/>
                <w:bCs/>
                <w:snapToGrid w:val="0"/>
                <w:spacing w:val="-2"/>
                <w:sz w:val="20"/>
                <w:szCs w:val="20"/>
              </w:rPr>
              <w:t>Jedná se o s</w:t>
            </w:r>
            <w:r w:rsidR="00CB0E54" w:rsidRPr="008E4270">
              <w:rPr>
                <w:rFonts w:cs="Arial"/>
                <w:bCs/>
                <w:snapToGrid w:val="0"/>
                <w:spacing w:val="-2"/>
                <w:sz w:val="20"/>
                <w:szCs w:val="20"/>
              </w:rPr>
              <w:t xml:space="preserve">oubor vlastních a cizích budov a staveb a příslušenství staveb, drobné stavby, zábranné prostředky, technologie, žlaby, okapy, ploty, drobné stavby na dětských hřištích a v parcích, dopravní značení, lávky, veřejné osvětlení, rozvody vody, kotelny, parkovací automaty a případně další stavby, které lze charakterizovat jako stavbu, součást stavby, či věc sloužící k provozu staveb. </w:t>
            </w:r>
          </w:p>
        </w:tc>
      </w:tr>
      <w:tr w:rsidR="008E4270" w:rsidRPr="008E4270" w14:paraId="7EA38DB5" w14:textId="77777777" w:rsidTr="00790510">
        <w:trPr>
          <w:trHeight w:val="1137"/>
        </w:trPr>
        <w:tc>
          <w:tcPr>
            <w:tcW w:w="709" w:type="dxa"/>
            <w:vAlign w:val="center"/>
          </w:tcPr>
          <w:p w14:paraId="075DA5EA" w14:textId="0D314FFF" w:rsidR="00CB0E54" w:rsidRPr="008E4270" w:rsidRDefault="00CB0E54" w:rsidP="00CB0E54">
            <w:pPr>
              <w:jc w:val="center"/>
              <w:rPr>
                <w:sz w:val="20"/>
                <w:szCs w:val="20"/>
              </w:rPr>
            </w:pPr>
            <w:r w:rsidRPr="008E4270">
              <w:rPr>
                <w:sz w:val="20"/>
                <w:szCs w:val="20"/>
              </w:rPr>
              <w:t>2.</w:t>
            </w:r>
          </w:p>
        </w:tc>
        <w:tc>
          <w:tcPr>
            <w:tcW w:w="2126" w:type="dxa"/>
            <w:vAlign w:val="center"/>
          </w:tcPr>
          <w:p w14:paraId="2EB2BB7B" w14:textId="409F96AB" w:rsidR="00CB0E54" w:rsidRPr="008E4270" w:rsidRDefault="00CB0E54" w:rsidP="00CB0E54">
            <w:pPr>
              <w:rPr>
                <w:sz w:val="20"/>
                <w:szCs w:val="20"/>
              </w:rPr>
            </w:pPr>
            <w:r w:rsidRPr="008E4270">
              <w:rPr>
                <w:sz w:val="20"/>
                <w:szCs w:val="20"/>
              </w:rPr>
              <w:t xml:space="preserve">Soubor vlastních </w:t>
            </w:r>
            <w:r w:rsidR="00E22B22" w:rsidRPr="008E4270">
              <w:rPr>
                <w:sz w:val="20"/>
                <w:szCs w:val="20"/>
              </w:rPr>
              <w:t>a cizích věcí (</w:t>
            </w:r>
            <w:r w:rsidRPr="008E4270">
              <w:rPr>
                <w:sz w:val="20"/>
                <w:szCs w:val="20"/>
              </w:rPr>
              <w:t>movitých zařízení a vybavení</w:t>
            </w:r>
            <w:r w:rsidR="00E22B22" w:rsidRPr="008E4270">
              <w:rPr>
                <w:sz w:val="20"/>
                <w:szCs w:val="20"/>
              </w:rPr>
              <w:t>)</w:t>
            </w:r>
            <w:r w:rsidRPr="008E4270">
              <w:rPr>
                <w:sz w:val="20"/>
                <w:szCs w:val="20"/>
              </w:rPr>
              <w:t xml:space="preserve"> včetně dokumentace a písemností</w:t>
            </w:r>
          </w:p>
        </w:tc>
        <w:tc>
          <w:tcPr>
            <w:tcW w:w="1701" w:type="dxa"/>
            <w:vAlign w:val="center"/>
          </w:tcPr>
          <w:p w14:paraId="19CF1D60" w14:textId="793D306E" w:rsidR="00CB0E54" w:rsidRPr="008E4270" w:rsidRDefault="00CB0E54" w:rsidP="00CB0E54">
            <w:pPr>
              <w:jc w:val="center"/>
              <w:rPr>
                <w:rFonts w:cs="Arial"/>
                <w:sz w:val="20"/>
                <w:szCs w:val="20"/>
              </w:rPr>
            </w:pPr>
            <w:r w:rsidRPr="008E4270">
              <w:rPr>
                <w:rFonts w:cs="Arial"/>
                <w:sz w:val="20"/>
                <w:szCs w:val="20"/>
              </w:rPr>
              <w:t>---</w:t>
            </w:r>
          </w:p>
        </w:tc>
        <w:tc>
          <w:tcPr>
            <w:tcW w:w="1276" w:type="dxa"/>
            <w:vAlign w:val="center"/>
          </w:tcPr>
          <w:p w14:paraId="39A6AE7D" w14:textId="00B9A61A" w:rsidR="00CB0E54" w:rsidRPr="008E4270" w:rsidRDefault="00691B3C" w:rsidP="00CB0E54">
            <w:pPr>
              <w:jc w:val="center"/>
              <w:rPr>
                <w:sz w:val="20"/>
                <w:szCs w:val="20"/>
              </w:rPr>
            </w:pPr>
            <w:r w:rsidRPr="008E4270">
              <w:rPr>
                <w:sz w:val="20"/>
                <w:szCs w:val="20"/>
              </w:rPr>
              <w:t>1</w:t>
            </w:r>
            <w:r w:rsidR="00CB0E54" w:rsidRPr="008E4270">
              <w:rPr>
                <w:sz w:val="20"/>
                <w:szCs w:val="20"/>
              </w:rPr>
              <w:t> 000 Kč</w:t>
            </w:r>
          </w:p>
        </w:tc>
        <w:tc>
          <w:tcPr>
            <w:tcW w:w="1418" w:type="dxa"/>
            <w:vAlign w:val="center"/>
          </w:tcPr>
          <w:p w14:paraId="4A80B73E" w14:textId="7EF463BC" w:rsidR="00CB0E54" w:rsidRPr="008E4270" w:rsidRDefault="00CB0E54" w:rsidP="00CB0E54">
            <w:pPr>
              <w:jc w:val="center"/>
              <w:rPr>
                <w:sz w:val="20"/>
                <w:szCs w:val="20"/>
              </w:rPr>
            </w:pPr>
            <w:r w:rsidRPr="008E4270">
              <w:rPr>
                <w:sz w:val="20"/>
                <w:szCs w:val="20"/>
              </w:rPr>
              <w:t>*)</w:t>
            </w:r>
          </w:p>
        </w:tc>
        <w:tc>
          <w:tcPr>
            <w:tcW w:w="1559" w:type="dxa"/>
            <w:vAlign w:val="center"/>
          </w:tcPr>
          <w:p w14:paraId="4702AA74" w14:textId="470D36DD" w:rsidR="00CB0E54" w:rsidRPr="008E4270" w:rsidRDefault="00691B3C" w:rsidP="00CB0E54">
            <w:pPr>
              <w:jc w:val="center"/>
              <w:rPr>
                <w:sz w:val="20"/>
                <w:szCs w:val="20"/>
              </w:rPr>
            </w:pPr>
            <w:r w:rsidRPr="008E4270">
              <w:rPr>
                <w:sz w:val="20"/>
                <w:szCs w:val="20"/>
              </w:rPr>
              <w:t>1 0</w:t>
            </w:r>
            <w:r w:rsidR="00CB0E54" w:rsidRPr="008E4270">
              <w:rPr>
                <w:sz w:val="20"/>
                <w:szCs w:val="20"/>
              </w:rPr>
              <w:t>00 000 Kč</w:t>
            </w:r>
          </w:p>
        </w:tc>
        <w:tc>
          <w:tcPr>
            <w:tcW w:w="1276" w:type="dxa"/>
            <w:vAlign w:val="center"/>
          </w:tcPr>
          <w:p w14:paraId="4C51F151" w14:textId="04BD7BDF" w:rsidR="00CB0E54" w:rsidRPr="008E4270" w:rsidRDefault="00CB0E54" w:rsidP="00CB0E54">
            <w:pPr>
              <w:jc w:val="center"/>
              <w:rPr>
                <w:rFonts w:cs="Arial"/>
                <w:sz w:val="20"/>
                <w:szCs w:val="20"/>
              </w:rPr>
            </w:pPr>
            <w:r w:rsidRPr="008E4270">
              <w:rPr>
                <w:rFonts w:cs="Arial"/>
                <w:sz w:val="20"/>
                <w:szCs w:val="20"/>
              </w:rPr>
              <w:t>---</w:t>
            </w:r>
          </w:p>
        </w:tc>
      </w:tr>
      <w:tr w:rsidR="008E4270" w:rsidRPr="008E4270" w14:paraId="59A53525" w14:textId="77777777" w:rsidTr="00051005">
        <w:trPr>
          <w:trHeight w:val="537"/>
        </w:trPr>
        <w:tc>
          <w:tcPr>
            <w:tcW w:w="709" w:type="dxa"/>
            <w:vAlign w:val="center"/>
          </w:tcPr>
          <w:p w14:paraId="2660ABF5" w14:textId="4EB3573C" w:rsidR="00CB0E54" w:rsidRPr="008E4270" w:rsidRDefault="00CB0E54" w:rsidP="00CB0E54">
            <w:pPr>
              <w:jc w:val="center"/>
              <w:rPr>
                <w:sz w:val="20"/>
                <w:szCs w:val="20"/>
              </w:rPr>
            </w:pPr>
            <w:r w:rsidRPr="008E4270">
              <w:rPr>
                <w:sz w:val="20"/>
                <w:szCs w:val="20"/>
              </w:rPr>
              <w:t>3.</w:t>
            </w:r>
          </w:p>
        </w:tc>
        <w:tc>
          <w:tcPr>
            <w:tcW w:w="2126" w:type="dxa"/>
            <w:vAlign w:val="center"/>
          </w:tcPr>
          <w:p w14:paraId="65B1A87F" w14:textId="583763D2" w:rsidR="00CB0E54" w:rsidRPr="008E4270" w:rsidRDefault="00364EB0" w:rsidP="00CB0E54">
            <w:pPr>
              <w:rPr>
                <w:sz w:val="20"/>
                <w:szCs w:val="20"/>
              </w:rPr>
            </w:pPr>
            <w:r w:rsidRPr="008E4270">
              <w:rPr>
                <w:sz w:val="20"/>
                <w:szCs w:val="20"/>
              </w:rPr>
              <w:t>Soubor zásob</w:t>
            </w:r>
          </w:p>
        </w:tc>
        <w:tc>
          <w:tcPr>
            <w:tcW w:w="1701" w:type="dxa"/>
            <w:vAlign w:val="center"/>
          </w:tcPr>
          <w:p w14:paraId="6B9A0FD0" w14:textId="49AD6C43" w:rsidR="00CB0E54" w:rsidRPr="008E4270" w:rsidRDefault="00CB0E54" w:rsidP="00CB0E54">
            <w:pPr>
              <w:jc w:val="center"/>
              <w:rPr>
                <w:rFonts w:cs="Arial"/>
                <w:sz w:val="20"/>
                <w:szCs w:val="20"/>
              </w:rPr>
            </w:pPr>
            <w:r w:rsidRPr="008E4270">
              <w:rPr>
                <w:rFonts w:cs="Arial"/>
                <w:sz w:val="20"/>
                <w:szCs w:val="20"/>
              </w:rPr>
              <w:t>---</w:t>
            </w:r>
          </w:p>
        </w:tc>
        <w:tc>
          <w:tcPr>
            <w:tcW w:w="1276" w:type="dxa"/>
            <w:vAlign w:val="center"/>
          </w:tcPr>
          <w:p w14:paraId="105D8C30" w14:textId="50869430" w:rsidR="00CB0E54" w:rsidRPr="008E4270" w:rsidRDefault="009D2F82" w:rsidP="00CB0E54">
            <w:pPr>
              <w:jc w:val="center"/>
              <w:rPr>
                <w:sz w:val="20"/>
                <w:szCs w:val="20"/>
              </w:rPr>
            </w:pPr>
            <w:r w:rsidRPr="008E4270">
              <w:rPr>
                <w:sz w:val="20"/>
                <w:szCs w:val="20"/>
              </w:rPr>
              <w:t>1</w:t>
            </w:r>
            <w:r w:rsidR="00CB0E54" w:rsidRPr="008E4270">
              <w:rPr>
                <w:sz w:val="20"/>
                <w:szCs w:val="20"/>
              </w:rPr>
              <w:t> 000 Kč</w:t>
            </w:r>
          </w:p>
        </w:tc>
        <w:tc>
          <w:tcPr>
            <w:tcW w:w="1418" w:type="dxa"/>
            <w:vAlign w:val="center"/>
          </w:tcPr>
          <w:p w14:paraId="6FD7B705" w14:textId="6336C9A4" w:rsidR="00CB0E54" w:rsidRPr="008E4270" w:rsidRDefault="00CB0E54" w:rsidP="00CB0E54">
            <w:pPr>
              <w:jc w:val="center"/>
              <w:rPr>
                <w:sz w:val="20"/>
                <w:szCs w:val="20"/>
              </w:rPr>
            </w:pPr>
            <w:r w:rsidRPr="008E4270">
              <w:rPr>
                <w:sz w:val="20"/>
                <w:szCs w:val="20"/>
              </w:rPr>
              <w:t>*)</w:t>
            </w:r>
          </w:p>
        </w:tc>
        <w:tc>
          <w:tcPr>
            <w:tcW w:w="1559" w:type="dxa"/>
            <w:vAlign w:val="center"/>
          </w:tcPr>
          <w:p w14:paraId="419533C0" w14:textId="3A7C9DD6" w:rsidR="00CB0E54" w:rsidRPr="008E4270" w:rsidRDefault="00364EB0" w:rsidP="00CB0E54">
            <w:pPr>
              <w:jc w:val="center"/>
              <w:rPr>
                <w:sz w:val="20"/>
                <w:szCs w:val="20"/>
              </w:rPr>
            </w:pPr>
            <w:r w:rsidRPr="008E4270">
              <w:rPr>
                <w:sz w:val="20"/>
                <w:szCs w:val="20"/>
              </w:rPr>
              <w:t>1</w:t>
            </w:r>
            <w:r w:rsidR="00CB0E54" w:rsidRPr="008E4270">
              <w:rPr>
                <w:sz w:val="20"/>
                <w:szCs w:val="20"/>
              </w:rPr>
              <w:t>00 000 Kč</w:t>
            </w:r>
          </w:p>
        </w:tc>
        <w:tc>
          <w:tcPr>
            <w:tcW w:w="1276" w:type="dxa"/>
            <w:vAlign w:val="center"/>
          </w:tcPr>
          <w:p w14:paraId="13EF2D30" w14:textId="3687E0AF" w:rsidR="00CB0E54" w:rsidRPr="008E4270" w:rsidRDefault="00CB0E54" w:rsidP="00CB0E54">
            <w:pPr>
              <w:jc w:val="center"/>
              <w:rPr>
                <w:sz w:val="20"/>
                <w:szCs w:val="20"/>
              </w:rPr>
            </w:pPr>
            <w:r w:rsidRPr="008E4270">
              <w:rPr>
                <w:rFonts w:cs="Arial"/>
                <w:sz w:val="20"/>
                <w:szCs w:val="20"/>
              </w:rPr>
              <w:t>---</w:t>
            </w:r>
          </w:p>
        </w:tc>
      </w:tr>
      <w:tr w:rsidR="008E4270" w:rsidRPr="008E4270" w14:paraId="0590A113" w14:textId="77777777" w:rsidTr="00790510">
        <w:trPr>
          <w:trHeight w:val="354"/>
        </w:trPr>
        <w:tc>
          <w:tcPr>
            <w:tcW w:w="709" w:type="dxa"/>
            <w:vAlign w:val="center"/>
          </w:tcPr>
          <w:p w14:paraId="49BCA8F9" w14:textId="05903864" w:rsidR="00CB0E54" w:rsidRPr="008E4270" w:rsidRDefault="00CB0E54" w:rsidP="00CB0E54">
            <w:pPr>
              <w:jc w:val="center"/>
              <w:rPr>
                <w:sz w:val="20"/>
                <w:szCs w:val="20"/>
              </w:rPr>
            </w:pPr>
            <w:r w:rsidRPr="008E4270">
              <w:rPr>
                <w:sz w:val="20"/>
                <w:szCs w:val="20"/>
              </w:rPr>
              <w:lastRenderedPageBreak/>
              <w:t>4.</w:t>
            </w:r>
          </w:p>
        </w:tc>
        <w:tc>
          <w:tcPr>
            <w:tcW w:w="2126" w:type="dxa"/>
            <w:vAlign w:val="center"/>
          </w:tcPr>
          <w:p w14:paraId="65AB416E" w14:textId="09BA9D94" w:rsidR="00CB0E54" w:rsidRPr="008E4270" w:rsidRDefault="00CB0E54" w:rsidP="00364EB0">
            <w:pPr>
              <w:rPr>
                <w:sz w:val="20"/>
                <w:szCs w:val="20"/>
              </w:rPr>
            </w:pPr>
            <w:r w:rsidRPr="008E4270">
              <w:rPr>
                <w:sz w:val="20"/>
                <w:szCs w:val="20"/>
              </w:rPr>
              <w:t xml:space="preserve">Soubor </w:t>
            </w:r>
            <w:r w:rsidR="00364EB0" w:rsidRPr="008E4270">
              <w:rPr>
                <w:sz w:val="20"/>
                <w:szCs w:val="20"/>
              </w:rPr>
              <w:t>věcí na volném prostranství</w:t>
            </w:r>
          </w:p>
        </w:tc>
        <w:tc>
          <w:tcPr>
            <w:tcW w:w="1701" w:type="dxa"/>
            <w:vAlign w:val="center"/>
          </w:tcPr>
          <w:p w14:paraId="75FA0528" w14:textId="278EB119" w:rsidR="00CB0E54" w:rsidRPr="008E4270" w:rsidRDefault="00CB0E54" w:rsidP="00CB0E54">
            <w:pPr>
              <w:jc w:val="center"/>
              <w:rPr>
                <w:rFonts w:cs="Arial"/>
                <w:sz w:val="20"/>
                <w:szCs w:val="20"/>
              </w:rPr>
            </w:pPr>
            <w:r w:rsidRPr="008E4270">
              <w:rPr>
                <w:sz w:val="20"/>
                <w:szCs w:val="20"/>
              </w:rPr>
              <w:t>---</w:t>
            </w:r>
          </w:p>
        </w:tc>
        <w:tc>
          <w:tcPr>
            <w:tcW w:w="1276" w:type="dxa"/>
            <w:vAlign w:val="center"/>
          </w:tcPr>
          <w:p w14:paraId="13A4B476" w14:textId="0383DD60" w:rsidR="00CB0E54" w:rsidRPr="008E4270" w:rsidRDefault="00BB1694" w:rsidP="00CB0E54">
            <w:pPr>
              <w:jc w:val="center"/>
              <w:rPr>
                <w:sz w:val="20"/>
                <w:szCs w:val="20"/>
              </w:rPr>
            </w:pPr>
            <w:r w:rsidRPr="008E4270">
              <w:rPr>
                <w:sz w:val="20"/>
                <w:szCs w:val="20"/>
              </w:rPr>
              <w:t>1</w:t>
            </w:r>
            <w:r w:rsidR="00CB0E54" w:rsidRPr="008E4270">
              <w:rPr>
                <w:sz w:val="20"/>
                <w:szCs w:val="20"/>
              </w:rPr>
              <w:t> 000 Kč</w:t>
            </w:r>
          </w:p>
        </w:tc>
        <w:tc>
          <w:tcPr>
            <w:tcW w:w="1418" w:type="dxa"/>
            <w:vAlign w:val="center"/>
          </w:tcPr>
          <w:p w14:paraId="30ABE01F" w14:textId="1605B660" w:rsidR="00CB0E54" w:rsidRPr="008E4270" w:rsidRDefault="00CB0E54" w:rsidP="00CB0E54">
            <w:pPr>
              <w:jc w:val="center"/>
              <w:rPr>
                <w:sz w:val="20"/>
                <w:szCs w:val="20"/>
              </w:rPr>
            </w:pPr>
            <w:r w:rsidRPr="008E4270">
              <w:rPr>
                <w:sz w:val="20"/>
                <w:szCs w:val="20"/>
              </w:rPr>
              <w:t>*)</w:t>
            </w:r>
          </w:p>
        </w:tc>
        <w:tc>
          <w:tcPr>
            <w:tcW w:w="1559" w:type="dxa"/>
            <w:vAlign w:val="center"/>
          </w:tcPr>
          <w:p w14:paraId="4CC1C327" w14:textId="153E8F48" w:rsidR="00CB0E54" w:rsidRPr="008E4270" w:rsidRDefault="0002133B" w:rsidP="00CB0E54">
            <w:pPr>
              <w:jc w:val="center"/>
              <w:rPr>
                <w:sz w:val="20"/>
                <w:szCs w:val="20"/>
              </w:rPr>
            </w:pPr>
            <w:r w:rsidRPr="008E4270">
              <w:rPr>
                <w:sz w:val="20"/>
                <w:szCs w:val="20"/>
              </w:rPr>
              <w:t>200</w:t>
            </w:r>
            <w:r w:rsidR="00CB0E54" w:rsidRPr="008E4270">
              <w:rPr>
                <w:sz w:val="20"/>
                <w:szCs w:val="20"/>
              </w:rPr>
              <w:t> 000 Kč</w:t>
            </w:r>
          </w:p>
        </w:tc>
        <w:tc>
          <w:tcPr>
            <w:tcW w:w="1276" w:type="dxa"/>
            <w:vAlign w:val="center"/>
          </w:tcPr>
          <w:p w14:paraId="40688A5B" w14:textId="08B079EF" w:rsidR="00CB0E54" w:rsidRPr="008E4270" w:rsidRDefault="00CB0E54" w:rsidP="00CB0E54">
            <w:pPr>
              <w:jc w:val="center"/>
              <w:rPr>
                <w:sz w:val="20"/>
                <w:szCs w:val="20"/>
              </w:rPr>
            </w:pPr>
            <w:r w:rsidRPr="008E4270">
              <w:rPr>
                <w:rFonts w:cs="Arial"/>
                <w:sz w:val="20"/>
                <w:szCs w:val="20"/>
              </w:rPr>
              <w:t>---</w:t>
            </w:r>
          </w:p>
        </w:tc>
      </w:tr>
      <w:tr w:rsidR="008E4270" w:rsidRPr="008E4270" w14:paraId="1B4981C8" w14:textId="77777777" w:rsidTr="00630821">
        <w:trPr>
          <w:trHeight w:val="573"/>
        </w:trPr>
        <w:tc>
          <w:tcPr>
            <w:tcW w:w="10065" w:type="dxa"/>
            <w:gridSpan w:val="7"/>
            <w:vAlign w:val="center"/>
          </w:tcPr>
          <w:p w14:paraId="2AA1C684" w14:textId="4285032D" w:rsidR="00364EB0" w:rsidRPr="008E4270" w:rsidRDefault="00364EB0" w:rsidP="00364EB0">
            <w:pPr>
              <w:rPr>
                <w:rFonts w:cs="Arial"/>
                <w:sz w:val="20"/>
                <w:szCs w:val="20"/>
              </w:rPr>
            </w:pPr>
            <w:r w:rsidRPr="008E4270">
              <w:rPr>
                <w:rFonts w:cs="Arial"/>
                <w:bCs/>
                <w:snapToGrid w:val="0"/>
                <w:spacing w:val="-2"/>
                <w:sz w:val="20"/>
                <w:szCs w:val="20"/>
              </w:rPr>
              <w:t>Jedná se o věci na volném prostranství, lavičky, součásti dětských hřišť, kamerový systém, odpadkové koše, vánoční a vlajková výzdoba, součásti parkovacích automatů, informační tabule, elektronické inf</w:t>
            </w:r>
            <w:r w:rsidR="0002133B" w:rsidRPr="008E4270">
              <w:rPr>
                <w:rFonts w:cs="Arial"/>
                <w:bCs/>
                <w:snapToGrid w:val="0"/>
                <w:spacing w:val="-2"/>
                <w:sz w:val="20"/>
                <w:szCs w:val="20"/>
              </w:rPr>
              <w:t>or</w:t>
            </w:r>
            <w:r w:rsidRPr="008E4270">
              <w:rPr>
                <w:rFonts w:cs="Arial"/>
                <w:bCs/>
                <w:snapToGrid w:val="0"/>
                <w:spacing w:val="-2"/>
                <w:sz w:val="20"/>
                <w:szCs w:val="20"/>
              </w:rPr>
              <w:t xml:space="preserve">mační tabule a další </w:t>
            </w:r>
            <w:r w:rsidR="0002133B" w:rsidRPr="008E4270">
              <w:rPr>
                <w:rFonts w:cs="Arial"/>
                <w:bCs/>
                <w:snapToGrid w:val="0"/>
                <w:spacing w:val="-2"/>
                <w:sz w:val="20"/>
                <w:szCs w:val="20"/>
              </w:rPr>
              <w:t>movité zařízení a vybavení.</w:t>
            </w:r>
          </w:p>
        </w:tc>
      </w:tr>
      <w:tr w:rsidR="008E4270" w:rsidRPr="008E4270" w14:paraId="1D3E2D4B" w14:textId="77777777" w:rsidTr="00790510">
        <w:trPr>
          <w:trHeight w:val="569"/>
        </w:trPr>
        <w:tc>
          <w:tcPr>
            <w:tcW w:w="709" w:type="dxa"/>
            <w:vAlign w:val="center"/>
          </w:tcPr>
          <w:p w14:paraId="0E40AE9F" w14:textId="2DA05457" w:rsidR="0002133B" w:rsidRPr="008E4270" w:rsidRDefault="0002133B" w:rsidP="0002133B">
            <w:pPr>
              <w:jc w:val="center"/>
              <w:rPr>
                <w:sz w:val="20"/>
                <w:szCs w:val="20"/>
              </w:rPr>
            </w:pPr>
            <w:r w:rsidRPr="008E4270">
              <w:rPr>
                <w:sz w:val="20"/>
                <w:szCs w:val="20"/>
              </w:rPr>
              <w:t>5.</w:t>
            </w:r>
          </w:p>
        </w:tc>
        <w:tc>
          <w:tcPr>
            <w:tcW w:w="2126" w:type="dxa"/>
            <w:vAlign w:val="center"/>
          </w:tcPr>
          <w:p w14:paraId="6277CBB3" w14:textId="03043007" w:rsidR="0002133B" w:rsidRPr="008E4270" w:rsidRDefault="0002133B" w:rsidP="0002133B">
            <w:pPr>
              <w:rPr>
                <w:sz w:val="20"/>
                <w:szCs w:val="20"/>
              </w:rPr>
            </w:pPr>
            <w:r w:rsidRPr="008E4270">
              <w:rPr>
                <w:sz w:val="20"/>
                <w:szCs w:val="20"/>
              </w:rPr>
              <w:t xml:space="preserve">Soubor vlastních finančních prostředků </w:t>
            </w:r>
          </w:p>
        </w:tc>
        <w:tc>
          <w:tcPr>
            <w:tcW w:w="1701" w:type="dxa"/>
            <w:vAlign w:val="center"/>
          </w:tcPr>
          <w:p w14:paraId="28CE7CE0" w14:textId="4048B5DA" w:rsidR="0002133B" w:rsidRPr="008E4270" w:rsidRDefault="0002133B" w:rsidP="0002133B">
            <w:pPr>
              <w:jc w:val="center"/>
              <w:rPr>
                <w:rFonts w:cs="Arial"/>
                <w:sz w:val="20"/>
                <w:szCs w:val="20"/>
              </w:rPr>
            </w:pPr>
            <w:r w:rsidRPr="008E4270">
              <w:rPr>
                <w:rFonts w:cs="Arial"/>
                <w:sz w:val="20"/>
                <w:szCs w:val="20"/>
              </w:rPr>
              <w:t>---</w:t>
            </w:r>
          </w:p>
        </w:tc>
        <w:tc>
          <w:tcPr>
            <w:tcW w:w="1276" w:type="dxa"/>
            <w:vAlign w:val="center"/>
          </w:tcPr>
          <w:p w14:paraId="149977F7" w14:textId="7AB3F623" w:rsidR="0002133B" w:rsidRPr="008E4270" w:rsidRDefault="00E97D27" w:rsidP="0002133B">
            <w:pPr>
              <w:jc w:val="center"/>
              <w:rPr>
                <w:sz w:val="20"/>
                <w:szCs w:val="20"/>
              </w:rPr>
            </w:pPr>
            <w:r w:rsidRPr="008E4270">
              <w:rPr>
                <w:sz w:val="20"/>
                <w:szCs w:val="20"/>
              </w:rPr>
              <w:t>1</w:t>
            </w:r>
            <w:r w:rsidR="0002133B" w:rsidRPr="008E4270">
              <w:rPr>
                <w:sz w:val="20"/>
                <w:szCs w:val="20"/>
              </w:rPr>
              <w:t> 000 Kč</w:t>
            </w:r>
          </w:p>
        </w:tc>
        <w:tc>
          <w:tcPr>
            <w:tcW w:w="1418" w:type="dxa"/>
            <w:vAlign w:val="center"/>
          </w:tcPr>
          <w:p w14:paraId="5E9C095C" w14:textId="5560C976" w:rsidR="0002133B" w:rsidRPr="008E4270" w:rsidRDefault="0002133B" w:rsidP="0002133B">
            <w:pPr>
              <w:jc w:val="center"/>
              <w:rPr>
                <w:sz w:val="20"/>
                <w:szCs w:val="20"/>
              </w:rPr>
            </w:pPr>
            <w:r w:rsidRPr="008E4270">
              <w:rPr>
                <w:sz w:val="20"/>
                <w:szCs w:val="20"/>
              </w:rPr>
              <w:t>*)</w:t>
            </w:r>
          </w:p>
        </w:tc>
        <w:tc>
          <w:tcPr>
            <w:tcW w:w="1559" w:type="dxa"/>
            <w:vAlign w:val="center"/>
          </w:tcPr>
          <w:p w14:paraId="231FE4F7" w14:textId="7419B02B" w:rsidR="0002133B" w:rsidRPr="008E4270" w:rsidRDefault="0002133B" w:rsidP="0002133B">
            <w:pPr>
              <w:jc w:val="center"/>
              <w:rPr>
                <w:sz w:val="20"/>
                <w:szCs w:val="20"/>
              </w:rPr>
            </w:pPr>
            <w:r w:rsidRPr="008E4270">
              <w:rPr>
                <w:sz w:val="20"/>
                <w:szCs w:val="20"/>
              </w:rPr>
              <w:t>500 000 Kč</w:t>
            </w:r>
          </w:p>
        </w:tc>
        <w:tc>
          <w:tcPr>
            <w:tcW w:w="1276" w:type="dxa"/>
            <w:vAlign w:val="center"/>
          </w:tcPr>
          <w:p w14:paraId="199FA9B4" w14:textId="442BE13E" w:rsidR="0002133B" w:rsidRPr="008E4270" w:rsidRDefault="0002133B" w:rsidP="0002133B">
            <w:pPr>
              <w:jc w:val="center"/>
              <w:rPr>
                <w:sz w:val="20"/>
                <w:szCs w:val="20"/>
              </w:rPr>
            </w:pPr>
            <w:r w:rsidRPr="008E4270">
              <w:rPr>
                <w:rFonts w:cs="Arial"/>
                <w:sz w:val="20"/>
                <w:szCs w:val="20"/>
              </w:rPr>
              <w:t>---</w:t>
            </w:r>
          </w:p>
        </w:tc>
      </w:tr>
      <w:tr w:rsidR="008E4270" w:rsidRPr="008E4270" w14:paraId="3A50CC69" w14:textId="77777777" w:rsidTr="00051005">
        <w:trPr>
          <w:trHeight w:val="706"/>
        </w:trPr>
        <w:tc>
          <w:tcPr>
            <w:tcW w:w="709" w:type="dxa"/>
            <w:vAlign w:val="center"/>
          </w:tcPr>
          <w:p w14:paraId="372990C6" w14:textId="54BF393D" w:rsidR="0002133B" w:rsidRPr="008E4270" w:rsidRDefault="0002133B" w:rsidP="0002133B">
            <w:pPr>
              <w:jc w:val="center"/>
              <w:rPr>
                <w:sz w:val="20"/>
                <w:szCs w:val="20"/>
              </w:rPr>
            </w:pPr>
            <w:r w:rsidRPr="008E4270">
              <w:rPr>
                <w:sz w:val="20"/>
                <w:szCs w:val="20"/>
              </w:rPr>
              <w:t>6.</w:t>
            </w:r>
          </w:p>
        </w:tc>
        <w:tc>
          <w:tcPr>
            <w:tcW w:w="2126" w:type="dxa"/>
            <w:vAlign w:val="center"/>
          </w:tcPr>
          <w:p w14:paraId="210F626D" w14:textId="77777777" w:rsidR="0002133B" w:rsidRPr="008E4270" w:rsidRDefault="0002133B" w:rsidP="0002133B">
            <w:pPr>
              <w:rPr>
                <w:sz w:val="20"/>
                <w:szCs w:val="20"/>
              </w:rPr>
            </w:pPr>
            <w:r w:rsidRPr="008E4270">
              <w:rPr>
                <w:sz w:val="20"/>
                <w:szCs w:val="20"/>
              </w:rPr>
              <w:t xml:space="preserve">Vlastní a cizí věci umělecké, historické </w:t>
            </w:r>
          </w:p>
          <w:p w14:paraId="18333500" w14:textId="1214E91B" w:rsidR="0002133B" w:rsidRPr="008E4270" w:rsidRDefault="0002133B" w:rsidP="0002133B">
            <w:pPr>
              <w:rPr>
                <w:sz w:val="20"/>
                <w:szCs w:val="20"/>
              </w:rPr>
            </w:pPr>
            <w:r w:rsidRPr="008E4270">
              <w:rPr>
                <w:sz w:val="20"/>
                <w:szCs w:val="20"/>
              </w:rPr>
              <w:t>a sběratelské hodnoty včetně sousoší, památníků,</w:t>
            </w:r>
            <w:r w:rsidR="00790510" w:rsidRPr="008E4270">
              <w:rPr>
                <w:sz w:val="20"/>
                <w:szCs w:val="20"/>
              </w:rPr>
              <w:t xml:space="preserve"> </w:t>
            </w:r>
            <w:r w:rsidRPr="008E4270">
              <w:rPr>
                <w:sz w:val="20"/>
                <w:szCs w:val="20"/>
              </w:rPr>
              <w:t xml:space="preserve">pomníků, pamětních desek </w:t>
            </w:r>
          </w:p>
          <w:p w14:paraId="50A3DF6F" w14:textId="3223885D" w:rsidR="0002133B" w:rsidRPr="008E4270" w:rsidRDefault="0002133B" w:rsidP="0002133B">
            <w:pPr>
              <w:rPr>
                <w:sz w:val="20"/>
                <w:szCs w:val="20"/>
              </w:rPr>
            </w:pPr>
            <w:r w:rsidRPr="008E4270">
              <w:rPr>
                <w:sz w:val="20"/>
                <w:szCs w:val="20"/>
              </w:rPr>
              <w:t>a dalších</w:t>
            </w:r>
          </w:p>
        </w:tc>
        <w:tc>
          <w:tcPr>
            <w:tcW w:w="1701" w:type="dxa"/>
            <w:vAlign w:val="center"/>
          </w:tcPr>
          <w:p w14:paraId="39BF878E" w14:textId="1BCBD597" w:rsidR="0002133B" w:rsidRPr="008E4270" w:rsidRDefault="0002133B" w:rsidP="0002133B">
            <w:pPr>
              <w:jc w:val="center"/>
              <w:rPr>
                <w:sz w:val="20"/>
                <w:szCs w:val="20"/>
              </w:rPr>
            </w:pPr>
            <w:r w:rsidRPr="008E4270">
              <w:rPr>
                <w:rFonts w:cs="Arial"/>
                <w:sz w:val="20"/>
                <w:szCs w:val="20"/>
              </w:rPr>
              <w:t>---</w:t>
            </w:r>
          </w:p>
        </w:tc>
        <w:tc>
          <w:tcPr>
            <w:tcW w:w="1276" w:type="dxa"/>
            <w:vAlign w:val="center"/>
          </w:tcPr>
          <w:p w14:paraId="03C03173" w14:textId="75CDD2DA" w:rsidR="0002133B" w:rsidRPr="008E4270" w:rsidRDefault="0002133B" w:rsidP="0002133B">
            <w:pPr>
              <w:jc w:val="center"/>
              <w:rPr>
                <w:sz w:val="20"/>
                <w:szCs w:val="20"/>
              </w:rPr>
            </w:pPr>
            <w:r w:rsidRPr="008E4270">
              <w:rPr>
                <w:sz w:val="20"/>
                <w:szCs w:val="20"/>
              </w:rPr>
              <w:t>5 000 Kč</w:t>
            </w:r>
          </w:p>
        </w:tc>
        <w:tc>
          <w:tcPr>
            <w:tcW w:w="1418" w:type="dxa"/>
            <w:vAlign w:val="center"/>
          </w:tcPr>
          <w:p w14:paraId="7F35BA9A" w14:textId="741EDC98" w:rsidR="0002133B" w:rsidRPr="008E4270" w:rsidRDefault="0002133B" w:rsidP="0002133B">
            <w:pPr>
              <w:jc w:val="center"/>
              <w:rPr>
                <w:sz w:val="20"/>
                <w:szCs w:val="20"/>
              </w:rPr>
            </w:pPr>
            <w:r w:rsidRPr="008E4270">
              <w:rPr>
                <w:sz w:val="20"/>
                <w:szCs w:val="20"/>
              </w:rPr>
              <w:t>*)</w:t>
            </w:r>
          </w:p>
        </w:tc>
        <w:tc>
          <w:tcPr>
            <w:tcW w:w="1559" w:type="dxa"/>
            <w:vAlign w:val="center"/>
          </w:tcPr>
          <w:p w14:paraId="4B449E21" w14:textId="2E66A3BA" w:rsidR="0002133B" w:rsidRPr="008E4270" w:rsidRDefault="0002133B" w:rsidP="0002133B">
            <w:pPr>
              <w:jc w:val="center"/>
              <w:rPr>
                <w:sz w:val="20"/>
                <w:szCs w:val="20"/>
              </w:rPr>
            </w:pPr>
            <w:r w:rsidRPr="008E4270">
              <w:rPr>
                <w:sz w:val="20"/>
                <w:szCs w:val="20"/>
              </w:rPr>
              <w:t>2 500 000 Kč</w:t>
            </w:r>
          </w:p>
        </w:tc>
        <w:tc>
          <w:tcPr>
            <w:tcW w:w="1276" w:type="dxa"/>
            <w:vAlign w:val="center"/>
          </w:tcPr>
          <w:p w14:paraId="22733F51" w14:textId="5D5E9E39" w:rsidR="0002133B" w:rsidRPr="008E4270" w:rsidRDefault="0002133B" w:rsidP="0002133B">
            <w:pPr>
              <w:jc w:val="center"/>
              <w:rPr>
                <w:rFonts w:cs="Arial"/>
                <w:sz w:val="20"/>
                <w:szCs w:val="20"/>
              </w:rPr>
            </w:pPr>
            <w:r w:rsidRPr="008E4270">
              <w:rPr>
                <w:rFonts w:cs="Arial"/>
                <w:sz w:val="20"/>
                <w:szCs w:val="20"/>
              </w:rPr>
              <w:t>---</w:t>
            </w:r>
          </w:p>
        </w:tc>
      </w:tr>
      <w:tr w:rsidR="008E4270" w:rsidRPr="008E4270" w14:paraId="3F06FB64" w14:textId="77777777" w:rsidTr="004F43EE">
        <w:trPr>
          <w:trHeight w:val="257"/>
        </w:trPr>
        <w:tc>
          <w:tcPr>
            <w:tcW w:w="10065" w:type="dxa"/>
            <w:gridSpan w:val="7"/>
          </w:tcPr>
          <w:p w14:paraId="7AAC4CB0" w14:textId="6B70FD08" w:rsidR="0002133B" w:rsidRPr="008E4270" w:rsidRDefault="0002133B" w:rsidP="00EE6DB4">
            <w:pPr>
              <w:pStyle w:val="Prosttext"/>
              <w:tabs>
                <w:tab w:val="left" w:pos="284"/>
              </w:tabs>
              <w:jc w:val="both"/>
              <w:rPr>
                <w:rFonts w:ascii="Koop Office" w:hAnsi="Koop Office"/>
                <w:sz w:val="20"/>
                <w:szCs w:val="20"/>
              </w:rPr>
            </w:pPr>
            <w:r w:rsidRPr="008E4270">
              <w:rPr>
                <w:rFonts w:ascii="Koop Office" w:hAnsi="Koop Office"/>
                <w:sz w:val="20"/>
                <w:szCs w:val="20"/>
              </w:rPr>
              <w:t xml:space="preserve">Poznámky: </w:t>
            </w:r>
          </w:p>
        </w:tc>
      </w:tr>
    </w:tbl>
    <w:p w14:paraId="5C4EC201" w14:textId="05DE4F56" w:rsidR="005639FE" w:rsidRPr="008E4270" w:rsidRDefault="000F692E" w:rsidP="00514743">
      <w:pPr>
        <w:rPr>
          <w:sz w:val="16"/>
          <w:szCs w:val="16"/>
        </w:rPr>
      </w:pPr>
      <w:r w:rsidRPr="008E4270">
        <w:rPr>
          <w:sz w:val="16"/>
          <w:szCs w:val="16"/>
        </w:rPr>
        <w:t xml:space="preserve">*) není-li uvedeno, sjednává se pojištění s pojistnou hodnotou uvedenou v příslušných pojistných podmínkách </w:t>
      </w:r>
    </w:p>
    <w:p w14:paraId="4F707226" w14:textId="2ED98FDE" w:rsidR="00094CC9" w:rsidRPr="008E4270" w:rsidRDefault="00094CC9" w:rsidP="005639FE">
      <w:pPr>
        <w:pStyle w:val="slovn-rove2"/>
        <w:numPr>
          <w:ilvl w:val="1"/>
          <w:numId w:val="12"/>
        </w:numPr>
        <w:tabs>
          <w:tab w:val="clear" w:pos="454"/>
          <w:tab w:val="left" w:pos="426"/>
        </w:tabs>
        <w:spacing w:before="120" w:after="0"/>
        <w:ind w:left="425" w:hanging="425"/>
        <w:rPr>
          <w:szCs w:val="20"/>
        </w:rPr>
      </w:pPr>
      <w:r w:rsidRPr="008E4270">
        <w:t>Pojištění pro případ</w:t>
      </w:r>
      <w:r w:rsidR="003A0F73" w:rsidRPr="008E4270">
        <w:t xml:space="preserve"> odcizení </w:t>
      </w:r>
      <w:r w:rsidR="00EE6DB4" w:rsidRPr="008E4270">
        <w:t>-</w:t>
      </w:r>
      <w:r w:rsidR="003A0F73" w:rsidRPr="008E4270">
        <w:t xml:space="preserve"> loupež přepravovaných peněz nebo cenin</w:t>
      </w:r>
    </w:p>
    <w:p w14:paraId="27D8036F" w14:textId="0F598924" w:rsidR="00094CC9" w:rsidRPr="008E4270" w:rsidRDefault="00094CC9" w:rsidP="00094CC9">
      <w:pPr>
        <w:keepLines/>
        <w:jc w:val="both"/>
        <w:rPr>
          <w:sz w:val="20"/>
          <w:szCs w:val="20"/>
        </w:rPr>
      </w:pPr>
      <w:r w:rsidRPr="008E4270">
        <w:rPr>
          <w:sz w:val="20"/>
          <w:szCs w:val="20"/>
        </w:rPr>
        <w:t>Pojištění se sjednává pro předměty pojištění v rozsahu a na místech pojištění uvedených v následující tabulce/následujících tabulkách:</w:t>
      </w:r>
    </w:p>
    <w:p w14:paraId="3237D065" w14:textId="4BF20242" w:rsidR="00094CC9" w:rsidRPr="008E4270" w:rsidRDefault="005639FE" w:rsidP="001504EB">
      <w:pPr>
        <w:spacing w:before="60"/>
        <w:ind w:left="-284"/>
        <w:rPr>
          <w:b/>
          <w:sz w:val="20"/>
          <w:szCs w:val="20"/>
        </w:rPr>
      </w:pPr>
      <w:r w:rsidRPr="008E4270">
        <w:rPr>
          <w:b/>
          <w:sz w:val="20"/>
          <w:szCs w:val="20"/>
        </w:rPr>
        <w:t xml:space="preserve">      </w:t>
      </w:r>
      <w:r w:rsidR="00094CC9" w:rsidRPr="008E4270">
        <w:rPr>
          <w:b/>
          <w:sz w:val="20"/>
          <w:szCs w:val="20"/>
        </w:rPr>
        <w:t>2.3.1 Pojištění pro případ odcizení</w:t>
      </w:r>
      <w:r w:rsidR="00EE6DB4" w:rsidRPr="008E4270">
        <w:rPr>
          <w:b/>
          <w:sz w:val="20"/>
          <w:szCs w:val="20"/>
        </w:rPr>
        <w:t xml:space="preserve"> - loupež přepravovaných peněz nebo cenin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1276"/>
        <w:gridCol w:w="1418"/>
        <w:gridCol w:w="1559"/>
        <w:gridCol w:w="1276"/>
      </w:tblGrid>
      <w:tr w:rsidR="008E4270" w:rsidRPr="008E4270" w14:paraId="6A89B7F1" w14:textId="77777777" w:rsidTr="005639FE">
        <w:tc>
          <w:tcPr>
            <w:tcW w:w="10065" w:type="dxa"/>
            <w:gridSpan w:val="7"/>
          </w:tcPr>
          <w:p w14:paraId="224274DB" w14:textId="76347D40" w:rsidR="00094CC9" w:rsidRPr="008E4270" w:rsidRDefault="00094CC9" w:rsidP="00630821">
            <w:pPr>
              <w:rPr>
                <w:rFonts w:cs="Arial"/>
                <w:sz w:val="20"/>
                <w:szCs w:val="20"/>
              </w:rPr>
            </w:pPr>
            <w:r w:rsidRPr="008E4270">
              <w:rPr>
                <w:b/>
                <w:sz w:val="20"/>
                <w:szCs w:val="20"/>
              </w:rPr>
              <w:t>Místo pojištění:</w:t>
            </w:r>
            <w:r w:rsidRPr="008E4270">
              <w:rPr>
                <w:rFonts w:cs="Arial"/>
                <w:sz w:val="20"/>
                <w:szCs w:val="20"/>
              </w:rPr>
              <w:t xml:space="preserve"> </w:t>
            </w:r>
            <w:r w:rsidR="00EE6DB4" w:rsidRPr="008E4270">
              <w:rPr>
                <w:sz w:val="20"/>
                <w:szCs w:val="20"/>
              </w:rPr>
              <w:t>území České republiky</w:t>
            </w:r>
          </w:p>
        </w:tc>
      </w:tr>
      <w:tr w:rsidR="008E4270" w:rsidRPr="008E4270" w14:paraId="21293A2F" w14:textId="77777777" w:rsidTr="005639FE">
        <w:tc>
          <w:tcPr>
            <w:tcW w:w="10065" w:type="dxa"/>
            <w:gridSpan w:val="7"/>
          </w:tcPr>
          <w:p w14:paraId="40629635" w14:textId="78CB2DFE" w:rsidR="00094CC9" w:rsidRPr="008E4270" w:rsidRDefault="00094CC9" w:rsidP="00630821">
            <w:pPr>
              <w:rPr>
                <w:b/>
                <w:sz w:val="20"/>
                <w:szCs w:val="20"/>
              </w:rPr>
            </w:pPr>
            <w:r w:rsidRPr="008E4270">
              <w:rPr>
                <w:b/>
                <w:sz w:val="20"/>
                <w:szCs w:val="20"/>
              </w:rPr>
              <w:t xml:space="preserve">Rozsah pojištění: </w:t>
            </w:r>
            <w:r w:rsidRPr="008E4270">
              <w:rPr>
                <w:sz w:val="20"/>
                <w:szCs w:val="20"/>
              </w:rPr>
              <w:t xml:space="preserve">pojištění pro případ odcizení </w:t>
            </w:r>
            <w:r w:rsidR="00EE6DB4" w:rsidRPr="008E4270">
              <w:rPr>
                <w:sz w:val="20"/>
                <w:szCs w:val="20"/>
              </w:rPr>
              <w:t>-</w:t>
            </w:r>
            <w:r w:rsidRPr="008E4270">
              <w:rPr>
                <w:sz w:val="20"/>
                <w:szCs w:val="20"/>
              </w:rPr>
              <w:t xml:space="preserve"> loupež přepravovaných peněz nebo cenin</w:t>
            </w:r>
          </w:p>
        </w:tc>
      </w:tr>
      <w:tr w:rsidR="008E4270" w:rsidRPr="008E4270" w14:paraId="2261587A" w14:textId="77777777" w:rsidTr="005639FE">
        <w:tc>
          <w:tcPr>
            <w:tcW w:w="10065" w:type="dxa"/>
            <w:gridSpan w:val="7"/>
          </w:tcPr>
          <w:p w14:paraId="45A9E920" w14:textId="3DB2E2EC" w:rsidR="00094CC9" w:rsidRPr="008E4270" w:rsidRDefault="00094CC9" w:rsidP="00630821">
            <w:pPr>
              <w:rPr>
                <w:sz w:val="20"/>
                <w:szCs w:val="20"/>
              </w:rPr>
            </w:pPr>
            <w:r w:rsidRPr="008E4270">
              <w:rPr>
                <w:b/>
                <w:sz w:val="20"/>
                <w:szCs w:val="20"/>
              </w:rPr>
              <w:t>Pojištění se řídí:</w:t>
            </w:r>
            <w:r w:rsidRPr="008E4270">
              <w:rPr>
                <w:sz w:val="20"/>
                <w:szCs w:val="20"/>
              </w:rPr>
              <w:t xml:space="preserve"> VPP P-100/14, ZPP P-200/14 a doložkami DOZ10</w:t>
            </w:r>
            <w:r w:rsidR="00EE6DB4" w:rsidRPr="008E4270">
              <w:rPr>
                <w:sz w:val="20"/>
                <w:szCs w:val="20"/>
              </w:rPr>
              <w:t>4</w:t>
            </w:r>
            <w:r w:rsidRPr="008E4270">
              <w:rPr>
                <w:sz w:val="20"/>
                <w:szCs w:val="20"/>
              </w:rPr>
              <w:t>, DOZ105, DOB101, DOB103</w:t>
            </w:r>
          </w:p>
        </w:tc>
      </w:tr>
      <w:tr w:rsidR="008E4270" w:rsidRPr="008E4270" w14:paraId="78C4958D" w14:textId="77777777" w:rsidTr="00E57BA0">
        <w:tc>
          <w:tcPr>
            <w:tcW w:w="709" w:type="dxa"/>
            <w:vAlign w:val="center"/>
          </w:tcPr>
          <w:p w14:paraId="0B8C10B9" w14:textId="77777777" w:rsidR="00094CC9" w:rsidRPr="008E4270" w:rsidRDefault="00094CC9" w:rsidP="00630821">
            <w:pPr>
              <w:jc w:val="center"/>
              <w:rPr>
                <w:b/>
                <w:sz w:val="20"/>
                <w:szCs w:val="20"/>
              </w:rPr>
            </w:pPr>
            <w:r w:rsidRPr="008E4270">
              <w:rPr>
                <w:b/>
                <w:sz w:val="20"/>
                <w:szCs w:val="20"/>
              </w:rPr>
              <w:t>Poř. číslo</w:t>
            </w:r>
          </w:p>
        </w:tc>
        <w:tc>
          <w:tcPr>
            <w:tcW w:w="1985" w:type="dxa"/>
            <w:vAlign w:val="center"/>
          </w:tcPr>
          <w:p w14:paraId="176A38DD" w14:textId="77777777" w:rsidR="00094CC9" w:rsidRPr="008E4270" w:rsidRDefault="00094CC9" w:rsidP="00630821">
            <w:pPr>
              <w:jc w:val="center"/>
              <w:rPr>
                <w:b/>
                <w:sz w:val="20"/>
                <w:szCs w:val="20"/>
              </w:rPr>
            </w:pPr>
            <w:r w:rsidRPr="008E4270">
              <w:rPr>
                <w:b/>
                <w:sz w:val="20"/>
                <w:szCs w:val="20"/>
              </w:rPr>
              <w:t>Předmět pojištění</w:t>
            </w:r>
          </w:p>
        </w:tc>
        <w:tc>
          <w:tcPr>
            <w:tcW w:w="1842" w:type="dxa"/>
            <w:vAlign w:val="center"/>
          </w:tcPr>
          <w:p w14:paraId="61143DD7" w14:textId="77777777" w:rsidR="00094CC9" w:rsidRPr="008E4270" w:rsidRDefault="00094CC9" w:rsidP="00630821">
            <w:pPr>
              <w:jc w:val="center"/>
              <w:rPr>
                <w:b/>
                <w:sz w:val="20"/>
                <w:szCs w:val="20"/>
              </w:rPr>
            </w:pPr>
            <w:r w:rsidRPr="008E4270">
              <w:rPr>
                <w:b/>
                <w:sz w:val="20"/>
                <w:szCs w:val="20"/>
              </w:rPr>
              <w:t>Pojistná částka</w:t>
            </w:r>
            <w:r w:rsidRPr="008E4270">
              <w:rPr>
                <w:b/>
                <w:sz w:val="20"/>
                <w:szCs w:val="20"/>
                <w:vertAlign w:val="superscript"/>
              </w:rPr>
              <w:t>10)</w:t>
            </w:r>
          </w:p>
        </w:tc>
        <w:tc>
          <w:tcPr>
            <w:tcW w:w="1276" w:type="dxa"/>
            <w:vAlign w:val="center"/>
          </w:tcPr>
          <w:p w14:paraId="60954CDA" w14:textId="77777777" w:rsidR="00094CC9" w:rsidRPr="008E4270" w:rsidRDefault="00094CC9" w:rsidP="00630821">
            <w:pPr>
              <w:jc w:val="center"/>
              <w:rPr>
                <w:b/>
                <w:sz w:val="20"/>
                <w:szCs w:val="20"/>
              </w:rPr>
            </w:pPr>
            <w:r w:rsidRPr="008E4270">
              <w:rPr>
                <w:b/>
                <w:sz w:val="20"/>
                <w:szCs w:val="20"/>
              </w:rPr>
              <w:t xml:space="preserve">Spoluúčast </w:t>
            </w:r>
            <w:r w:rsidRPr="008E4270">
              <w:rPr>
                <w:b/>
                <w:sz w:val="20"/>
                <w:szCs w:val="20"/>
                <w:vertAlign w:val="superscript"/>
              </w:rPr>
              <w:t>5)</w:t>
            </w:r>
          </w:p>
        </w:tc>
        <w:tc>
          <w:tcPr>
            <w:tcW w:w="1418" w:type="dxa"/>
            <w:vAlign w:val="center"/>
          </w:tcPr>
          <w:p w14:paraId="5AB228AD" w14:textId="77777777" w:rsidR="00094CC9" w:rsidRPr="008E4270" w:rsidRDefault="00094CC9" w:rsidP="00630821">
            <w:pPr>
              <w:jc w:val="center"/>
              <w:rPr>
                <w:b/>
                <w:sz w:val="20"/>
                <w:szCs w:val="20"/>
              </w:rPr>
            </w:pPr>
            <w:r w:rsidRPr="008E4270">
              <w:rPr>
                <w:b/>
                <w:sz w:val="20"/>
                <w:szCs w:val="20"/>
              </w:rPr>
              <w:t>Pojištění se sjednává na cenu</w:t>
            </w:r>
            <w:r w:rsidRPr="008E4270">
              <w:rPr>
                <w:b/>
                <w:sz w:val="20"/>
                <w:szCs w:val="20"/>
                <w:vertAlign w:val="superscript"/>
              </w:rPr>
              <w:t>*1)</w:t>
            </w:r>
          </w:p>
        </w:tc>
        <w:tc>
          <w:tcPr>
            <w:tcW w:w="1559" w:type="dxa"/>
            <w:vAlign w:val="center"/>
          </w:tcPr>
          <w:p w14:paraId="7FCF5ABF" w14:textId="77777777" w:rsidR="00094CC9" w:rsidRPr="008E4270" w:rsidRDefault="00094CC9" w:rsidP="00630821">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p w14:paraId="50D952CA" w14:textId="77777777" w:rsidR="00094CC9" w:rsidRPr="008E4270" w:rsidRDefault="00094CC9" w:rsidP="00630821">
            <w:pPr>
              <w:jc w:val="center"/>
              <w:rPr>
                <w:b/>
                <w:sz w:val="20"/>
                <w:szCs w:val="20"/>
              </w:rPr>
            </w:pPr>
            <w:r w:rsidRPr="008E4270">
              <w:rPr>
                <w:b/>
                <w:sz w:val="20"/>
                <w:szCs w:val="20"/>
              </w:rPr>
              <w:t>První riziko</w:t>
            </w:r>
            <w:r w:rsidRPr="008E4270">
              <w:rPr>
                <w:b/>
                <w:sz w:val="20"/>
                <w:szCs w:val="20"/>
                <w:vertAlign w:val="superscript"/>
              </w:rPr>
              <w:t>2)</w:t>
            </w:r>
          </w:p>
        </w:tc>
        <w:tc>
          <w:tcPr>
            <w:tcW w:w="1276" w:type="dxa"/>
            <w:vAlign w:val="center"/>
          </w:tcPr>
          <w:p w14:paraId="3C49DD89" w14:textId="77777777" w:rsidR="00094CC9" w:rsidRPr="008E4270" w:rsidRDefault="00094CC9" w:rsidP="00630821">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tc>
      </w:tr>
      <w:tr w:rsidR="008E4270" w:rsidRPr="008E4270" w14:paraId="43063380" w14:textId="77777777" w:rsidTr="00E57BA0">
        <w:trPr>
          <w:trHeight w:val="447"/>
        </w:trPr>
        <w:tc>
          <w:tcPr>
            <w:tcW w:w="709" w:type="dxa"/>
            <w:vAlign w:val="center"/>
          </w:tcPr>
          <w:p w14:paraId="28AA38B0" w14:textId="77777777" w:rsidR="00094CC9" w:rsidRPr="008E4270" w:rsidRDefault="00094CC9" w:rsidP="00630821">
            <w:pPr>
              <w:jc w:val="center"/>
              <w:rPr>
                <w:sz w:val="20"/>
                <w:szCs w:val="20"/>
              </w:rPr>
            </w:pPr>
            <w:r w:rsidRPr="008E4270">
              <w:rPr>
                <w:sz w:val="20"/>
                <w:szCs w:val="20"/>
              </w:rPr>
              <w:t>1.</w:t>
            </w:r>
          </w:p>
        </w:tc>
        <w:tc>
          <w:tcPr>
            <w:tcW w:w="1985" w:type="dxa"/>
            <w:vAlign w:val="center"/>
          </w:tcPr>
          <w:p w14:paraId="254D7229" w14:textId="3E89BDE7" w:rsidR="00094CC9" w:rsidRPr="008E4270" w:rsidRDefault="00552B01" w:rsidP="00630821">
            <w:pPr>
              <w:rPr>
                <w:sz w:val="20"/>
                <w:szCs w:val="20"/>
              </w:rPr>
            </w:pPr>
            <w:r w:rsidRPr="008E4270">
              <w:rPr>
                <w:sz w:val="20"/>
                <w:szCs w:val="20"/>
              </w:rPr>
              <w:t>Přepravované peníze a ceniny</w:t>
            </w:r>
          </w:p>
        </w:tc>
        <w:tc>
          <w:tcPr>
            <w:tcW w:w="1842" w:type="dxa"/>
            <w:vAlign w:val="center"/>
          </w:tcPr>
          <w:p w14:paraId="2721478B" w14:textId="77777777" w:rsidR="00094CC9" w:rsidRPr="008E4270" w:rsidRDefault="00094CC9" w:rsidP="00630821">
            <w:pPr>
              <w:jc w:val="center"/>
              <w:rPr>
                <w:rFonts w:cs="Arial"/>
                <w:sz w:val="20"/>
                <w:szCs w:val="20"/>
              </w:rPr>
            </w:pPr>
            <w:r w:rsidRPr="008E4270">
              <w:rPr>
                <w:rFonts w:cs="Arial"/>
                <w:sz w:val="20"/>
                <w:szCs w:val="20"/>
              </w:rPr>
              <w:t>---</w:t>
            </w:r>
          </w:p>
        </w:tc>
        <w:tc>
          <w:tcPr>
            <w:tcW w:w="1276" w:type="dxa"/>
            <w:vAlign w:val="center"/>
          </w:tcPr>
          <w:p w14:paraId="42C25F43" w14:textId="1AA9FD7B" w:rsidR="00094CC9" w:rsidRPr="008E4270" w:rsidRDefault="00515B99" w:rsidP="00630821">
            <w:pPr>
              <w:jc w:val="center"/>
              <w:rPr>
                <w:sz w:val="20"/>
                <w:szCs w:val="20"/>
              </w:rPr>
            </w:pPr>
            <w:r w:rsidRPr="008E4270">
              <w:rPr>
                <w:sz w:val="20"/>
                <w:szCs w:val="20"/>
              </w:rPr>
              <w:t>1</w:t>
            </w:r>
            <w:r w:rsidR="00094CC9" w:rsidRPr="008E4270">
              <w:rPr>
                <w:sz w:val="20"/>
                <w:szCs w:val="20"/>
              </w:rPr>
              <w:t> 000 Kč</w:t>
            </w:r>
          </w:p>
        </w:tc>
        <w:tc>
          <w:tcPr>
            <w:tcW w:w="1418" w:type="dxa"/>
            <w:vAlign w:val="center"/>
          </w:tcPr>
          <w:p w14:paraId="35CD56EC" w14:textId="77777777" w:rsidR="00094CC9" w:rsidRPr="008E4270" w:rsidRDefault="00094CC9" w:rsidP="00630821">
            <w:pPr>
              <w:jc w:val="center"/>
              <w:rPr>
                <w:sz w:val="20"/>
                <w:szCs w:val="20"/>
              </w:rPr>
            </w:pPr>
            <w:r w:rsidRPr="008E4270">
              <w:rPr>
                <w:sz w:val="20"/>
                <w:szCs w:val="20"/>
              </w:rPr>
              <w:t>*)</w:t>
            </w:r>
          </w:p>
        </w:tc>
        <w:tc>
          <w:tcPr>
            <w:tcW w:w="1559" w:type="dxa"/>
            <w:vAlign w:val="center"/>
          </w:tcPr>
          <w:p w14:paraId="218C5D73" w14:textId="0DBE3B7C" w:rsidR="00094CC9" w:rsidRPr="008E4270" w:rsidRDefault="00094CC9" w:rsidP="00630821">
            <w:pPr>
              <w:jc w:val="center"/>
              <w:rPr>
                <w:sz w:val="20"/>
                <w:szCs w:val="20"/>
              </w:rPr>
            </w:pPr>
            <w:r w:rsidRPr="008E4270">
              <w:rPr>
                <w:sz w:val="20"/>
                <w:szCs w:val="20"/>
              </w:rPr>
              <w:t>2</w:t>
            </w:r>
            <w:r w:rsidR="00552B01" w:rsidRPr="008E4270">
              <w:rPr>
                <w:sz w:val="20"/>
                <w:szCs w:val="20"/>
              </w:rPr>
              <w:t>0</w:t>
            </w:r>
            <w:r w:rsidRPr="008E4270">
              <w:rPr>
                <w:sz w:val="20"/>
                <w:szCs w:val="20"/>
              </w:rPr>
              <w:t>0 000 Kč</w:t>
            </w:r>
          </w:p>
        </w:tc>
        <w:tc>
          <w:tcPr>
            <w:tcW w:w="1276" w:type="dxa"/>
            <w:vAlign w:val="center"/>
          </w:tcPr>
          <w:p w14:paraId="20E9C3B8" w14:textId="77777777" w:rsidR="00094CC9" w:rsidRPr="008E4270" w:rsidRDefault="00094CC9" w:rsidP="00630821">
            <w:pPr>
              <w:jc w:val="center"/>
              <w:rPr>
                <w:sz w:val="20"/>
                <w:szCs w:val="20"/>
              </w:rPr>
            </w:pPr>
            <w:r w:rsidRPr="008E4270">
              <w:rPr>
                <w:rFonts w:cs="Arial"/>
                <w:sz w:val="20"/>
                <w:szCs w:val="20"/>
              </w:rPr>
              <w:t>---</w:t>
            </w:r>
          </w:p>
        </w:tc>
      </w:tr>
      <w:tr w:rsidR="008E4270" w:rsidRPr="008E4270" w14:paraId="5D649932" w14:textId="77777777" w:rsidTr="005639FE">
        <w:trPr>
          <w:trHeight w:val="257"/>
        </w:trPr>
        <w:tc>
          <w:tcPr>
            <w:tcW w:w="10065" w:type="dxa"/>
            <w:gridSpan w:val="7"/>
          </w:tcPr>
          <w:p w14:paraId="77E9BF80" w14:textId="4C15E879" w:rsidR="00094CC9" w:rsidRPr="008E4270" w:rsidRDefault="00094CC9" w:rsidP="00EE6DB4">
            <w:pPr>
              <w:pStyle w:val="Prosttext"/>
              <w:tabs>
                <w:tab w:val="left" w:pos="284"/>
              </w:tabs>
              <w:jc w:val="both"/>
              <w:rPr>
                <w:rFonts w:ascii="Koop Office" w:hAnsi="Koop Office"/>
                <w:sz w:val="20"/>
                <w:szCs w:val="20"/>
              </w:rPr>
            </w:pPr>
            <w:r w:rsidRPr="008E4270">
              <w:rPr>
                <w:rFonts w:ascii="Koop Office" w:hAnsi="Koop Office"/>
                <w:sz w:val="20"/>
                <w:szCs w:val="20"/>
              </w:rPr>
              <w:t xml:space="preserve">Poznámky: </w:t>
            </w:r>
          </w:p>
        </w:tc>
      </w:tr>
    </w:tbl>
    <w:p w14:paraId="573CB81F" w14:textId="7F843AA7" w:rsidR="00094CC9" w:rsidRPr="008E4270" w:rsidRDefault="00094CC9" w:rsidP="00514743">
      <w:pPr>
        <w:rPr>
          <w:sz w:val="16"/>
          <w:szCs w:val="16"/>
        </w:rPr>
      </w:pPr>
      <w:r w:rsidRPr="008E4270">
        <w:rPr>
          <w:sz w:val="16"/>
          <w:szCs w:val="16"/>
        </w:rPr>
        <w:t xml:space="preserve">*) není-li uvedeno, sjednává se pojištění s pojistnou hodnotou uvedenou v příslušných pojistných podmínkách </w:t>
      </w:r>
    </w:p>
    <w:p w14:paraId="04C27DA3" w14:textId="77777777" w:rsidR="00093B9D" w:rsidRPr="008E4270" w:rsidRDefault="00093B9D" w:rsidP="00093B9D">
      <w:pPr>
        <w:pStyle w:val="slovn-rove2"/>
        <w:numPr>
          <w:ilvl w:val="1"/>
          <w:numId w:val="12"/>
        </w:numPr>
        <w:tabs>
          <w:tab w:val="clear" w:pos="454"/>
          <w:tab w:val="left" w:pos="426"/>
        </w:tabs>
        <w:spacing w:before="120" w:after="0"/>
        <w:ind w:left="425" w:hanging="425"/>
        <w:rPr>
          <w:szCs w:val="20"/>
        </w:rPr>
      </w:pPr>
      <w:r w:rsidRPr="008E4270">
        <w:t>Pojištění pro případ vandalismu</w:t>
      </w:r>
    </w:p>
    <w:p w14:paraId="345A9109" w14:textId="77777777" w:rsidR="00093B9D" w:rsidRPr="008E4270" w:rsidRDefault="00093B9D" w:rsidP="00093B9D">
      <w:pPr>
        <w:keepLines/>
        <w:jc w:val="both"/>
        <w:rPr>
          <w:sz w:val="20"/>
          <w:szCs w:val="20"/>
        </w:rPr>
      </w:pPr>
      <w:r w:rsidRPr="008E4270">
        <w:rPr>
          <w:sz w:val="20"/>
          <w:szCs w:val="20"/>
        </w:rPr>
        <w:t>Pojištění se sjednává pro předměty pojištění v rozsahu a na místech pojištění uvedených v následující tabulce/následujících tabulkách:</w:t>
      </w:r>
    </w:p>
    <w:p w14:paraId="117AD04D" w14:textId="1CA87855" w:rsidR="00093B9D" w:rsidRPr="008E4270" w:rsidRDefault="00093B9D" w:rsidP="00D0647F">
      <w:pPr>
        <w:spacing w:before="60"/>
        <w:rPr>
          <w:b/>
          <w:sz w:val="20"/>
          <w:szCs w:val="20"/>
        </w:rPr>
      </w:pPr>
      <w:r w:rsidRPr="008E4270">
        <w:rPr>
          <w:b/>
          <w:sz w:val="20"/>
          <w:szCs w:val="20"/>
        </w:rPr>
        <w:t>2.4.1 Pojištění pro případ vandalismu</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1276"/>
        <w:gridCol w:w="1418"/>
        <w:gridCol w:w="1559"/>
        <w:gridCol w:w="1276"/>
      </w:tblGrid>
      <w:tr w:rsidR="008E4270" w:rsidRPr="008E4270" w14:paraId="239DE7EE" w14:textId="77777777" w:rsidTr="00630821">
        <w:tc>
          <w:tcPr>
            <w:tcW w:w="10065" w:type="dxa"/>
            <w:gridSpan w:val="7"/>
          </w:tcPr>
          <w:p w14:paraId="2F95DF22" w14:textId="77777777" w:rsidR="00093B9D" w:rsidRPr="008E4270" w:rsidRDefault="00093B9D" w:rsidP="00630821">
            <w:pPr>
              <w:rPr>
                <w:rFonts w:cs="Arial"/>
                <w:sz w:val="20"/>
                <w:szCs w:val="20"/>
              </w:rPr>
            </w:pPr>
            <w:r w:rsidRPr="008E4270">
              <w:rPr>
                <w:b/>
                <w:sz w:val="20"/>
                <w:szCs w:val="20"/>
              </w:rPr>
              <w:t>Místo pojištění:</w:t>
            </w:r>
            <w:r w:rsidRPr="008E4270">
              <w:rPr>
                <w:rFonts w:cs="Arial"/>
                <w:sz w:val="20"/>
                <w:szCs w:val="20"/>
              </w:rPr>
              <w:t xml:space="preserve"> </w:t>
            </w:r>
            <w:r w:rsidRPr="008E4270">
              <w:rPr>
                <w:sz w:val="20"/>
                <w:szCs w:val="20"/>
              </w:rPr>
              <w:t>dle bodu 1.2., odst. 1., Čl. II. této pojistné smlouvy</w:t>
            </w:r>
          </w:p>
        </w:tc>
      </w:tr>
      <w:tr w:rsidR="008E4270" w:rsidRPr="008E4270" w14:paraId="10BF06B4" w14:textId="77777777" w:rsidTr="00630821">
        <w:tc>
          <w:tcPr>
            <w:tcW w:w="10065" w:type="dxa"/>
            <w:gridSpan w:val="7"/>
          </w:tcPr>
          <w:p w14:paraId="7BD7615C" w14:textId="77777777" w:rsidR="00093B9D" w:rsidRPr="008E4270" w:rsidRDefault="00093B9D" w:rsidP="00630821">
            <w:pPr>
              <w:rPr>
                <w:b/>
                <w:sz w:val="20"/>
                <w:szCs w:val="20"/>
              </w:rPr>
            </w:pPr>
            <w:r w:rsidRPr="008E4270">
              <w:rPr>
                <w:b/>
                <w:sz w:val="20"/>
                <w:szCs w:val="20"/>
              </w:rPr>
              <w:t xml:space="preserve">Rozsah pojištění: </w:t>
            </w:r>
            <w:r w:rsidRPr="008E4270">
              <w:rPr>
                <w:sz w:val="20"/>
                <w:szCs w:val="20"/>
              </w:rPr>
              <w:t>pojištění pro případ vandalismu</w:t>
            </w:r>
          </w:p>
        </w:tc>
      </w:tr>
      <w:tr w:rsidR="008E4270" w:rsidRPr="008E4270" w14:paraId="035B4A65" w14:textId="77777777" w:rsidTr="00630821">
        <w:tc>
          <w:tcPr>
            <w:tcW w:w="10065" w:type="dxa"/>
            <w:gridSpan w:val="7"/>
          </w:tcPr>
          <w:p w14:paraId="0B70D9AC" w14:textId="77777777" w:rsidR="00093B9D" w:rsidRPr="008E4270" w:rsidRDefault="00093B9D" w:rsidP="00630821">
            <w:pPr>
              <w:rPr>
                <w:sz w:val="20"/>
                <w:szCs w:val="20"/>
              </w:rPr>
            </w:pPr>
            <w:r w:rsidRPr="008E4270">
              <w:rPr>
                <w:b/>
                <w:sz w:val="20"/>
                <w:szCs w:val="20"/>
              </w:rPr>
              <w:t>Pojištění se řídí:</w:t>
            </w:r>
            <w:r w:rsidRPr="008E4270">
              <w:rPr>
                <w:sz w:val="20"/>
                <w:szCs w:val="20"/>
              </w:rPr>
              <w:t xml:space="preserve"> VPP P-100/14, ZPP P-200/14 a doložkami DOB101, DOB103</w:t>
            </w:r>
          </w:p>
        </w:tc>
      </w:tr>
      <w:tr w:rsidR="008E4270" w:rsidRPr="008E4270" w14:paraId="547ED1E1" w14:textId="77777777" w:rsidTr="00E57BA0">
        <w:tc>
          <w:tcPr>
            <w:tcW w:w="709" w:type="dxa"/>
            <w:vAlign w:val="center"/>
          </w:tcPr>
          <w:p w14:paraId="6041ACED" w14:textId="77777777" w:rsidR="00093B9D" w:rsidRPr="008E4270" w:rsidRDefault="00093B9D" w:rsidP="00630821">
            <w:pPr>
              <w:jc w:val="center"/>
              <w:rPr>
                <w:b/>
                <w:sz w:val="20"/>
                <w:szCs w:val="20"/>
              </w:rPr>
            </w:pPr>
            <w:r w:rsidRPr="008E4270">
              <w:rPr>
                <w:b/>
                <w:sz w:val="20"/>
                <w:szCs w:val="20"/>
              </w:rPr>
              <w:t>Poř. číslo</w:t>
            </w:r>
          </w:p>
        </w:tc>
        <w:tc>
          <w:tcPr>
            <w:tcW w:w="1985" w:type="dxa"/>
            <w:vAlign w:val="center"/>
          </w:tcPr>
          <w:p w14:paraId="5293EEB1" w14:textId="77777777" w:rsidR="00093B9D" w:rsidRPr="008E4270" w:rsidRDefault="00093B9D" w:rsidP="00630821">
            <w:pPr>
              <w:jc w:val="center"/>
              <w:rPr>
                <w:b/>
                <w:sz w:val="20"/>
                <w:szCs w:val="20"/>
              </w:rPr>
            </w:pPr>
            <w:r w:rsidRPr="008E4270">
              <w:rPr>
                <w:b/>
                <w:sz w:val="20"/>
                <w:szCs w:val="20"/>
              </w:rPr>
              <w:t>Předmět pojištění</w:t>
            </w:r>
          </w:p>
        </w:tc>
        <w:tc>
          <w:tcPr>
            <w:tcW w:w="1842" w:type="dxa"/>
            <w:vAlign w:val="center"/>
          </w:tcPr>
          <w:p w14:paraId="1038DA0A" w14:textId="77777777" w:rsidR="00093B9D" w:rsidRPr="008E4270" w:rsidRDefault="00093B9D" w:rsidP="00630821">
            <w:pPr>
              <w:jc w:val="center"/>
              <w:rPr>
                <w:b/>
                <w:sz w:val="20"/>
                <w:szCs w:val="20"/>
              </w:rPr>
            </w:pPr>
            <w:r w:rsidRPr="008E4270">
              <w:rPr>
                <w:b/>
                <w:sz w:val="20"/>
                <w:szCs w:val="20"/>
              </w:rPr>
              <w:t>Pojistná částka</w:t>
            </w:r>
            <w:r w:rsidRPr="008E4270">
              <w:rPr>
                <w:b/>
                <w:sz w:val="20"/>
                <w:szCs w:val="20"/>
                <w:vertAlign w:val="superscript"/>
              </w:rPr>
              <w:t>10)</w:t>
            </w:r>
          </w:p>
        </w:tc>
        <w:tc>
          <w:tcPr>
            <w:tcW w:w="1276" w:type="dxa"/>
            <w:vAlign w:val="center"/>
          </w:tcPr>
          <w:p w14:paraId="70116E06" w14:textId="77777777" w:rsidR="00093B9D" w:rsidRPr="008E4270" w:rsidRDefault="00093B9D" w:rsidP="00630821">
            <w:pPr>
              <w:jc w:val="center"/>
              <w:rPr>
                <w:b/>
                <w:sz w:val="20"/>
                <w:szCs w:val="20"/>
              </w:rPr>
            </w:pPr>
            <w:r w:rsidRPr="008E4270">
              <w:rPr>
                <w:b/>
                <w:sz w:val="20"/>
                <w:szCs w:val="20"/>
              </w:rPr>
              <w:t>Spoluúčast</w:t>
            </w:r>
          </w:p>
          <w:p w14:paraId="67B6C574" w14:textId="77777777" w:rsidR="00093B9D" w:rsidRPr="008E4270" w:rsidRDefault="00093B9D" w:rsidP="00630821">
            <w:pPr>
              <w:jc w:val="center"/>
              <w:rPr>
                <w:b/>
                <w:sz w:val="20"/>
                <w:szCs w:val="20"/>
              </w:rPr>
            </w:pPr>
            <w:r w:rsidRPr="008E4270">
              <w:rPr>
                <w:b/>
                <w:sz w:val="20"/>
                <w:szCs w:val="20"/>
                <w:vertAlign w:val="superscript"/>
              </w:rPr>
              <w:t>5)</w:t>
            </w:r>
          </w:p>
        </w:tc>
        <w:tc>
          <w:tcPr>
            <w:tcW w:w="1418" w:type="dxa"/>
            <w:vAlign w:val="center"/>
          </w:tcPr>
          <w:p w14:paraId="69C1D4EB" w14:textId="77777777" w:rsidR="00093B9D" w:rsidRPr="008E4270" w:rsidRDefault="00093B9D" w:rsidP="00630821">
            <w:pPr>
              <w:jc w:val="center"/>
              <w:rPr>
                <w:b/>
                <w:sz w:val="20"/>
                <w:szCs w:val="20"/>
              </w:rPr>
            </w:pPr>
            <w:r w:rsidRPr="008E4270">
              <w:rPr>
                <w:b/>
                <w:sz w:val="20"/>
                <w:szCs w:val="20"/>
              </w:rPr>
              <w:t>Pojištění se sjednává na cenu</w:t>
            </w:r>
            <w:r w:rsidRPr="008E4270">
              <w:rPr>
                <w:b/>
                <w:sz w:val="20"/>
                <w:szCs w:val="20"/>
                <w:vertAlign w:val="superscript"/>
              </w:rPr>
              <w:t>*1)</w:t>
            </w:r>
          </w:p>
        </w:tc>
        <w:tc>
          <w:tcPr>
            <w:tcW w:w="1559" w:type="dxa"/>
            <w:vAlign w:val="center"/>
          </w:tcPr>
          <w:p w14:paraId="4C123D25" w14:textId="77777777" w:rsidR="00093B9D" w:rsidRPr="008E4270" w:rsidRDefault="00093B9D" w:rsidP="00630821">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p w14:paraId="72C0A55B" w14:textId="77777777" w:rsidR="00093B9D" w:rsidRPr="008E4270" w:rsidRDefault="00093B9D" w:rsidP="00630821">
            <w:pPr>
              <w:jc w:val="center"/>
              <w:rPr>
                <w:b/>
                <w:sz w:val="20"/>
                <w:szCs w:val="20"/>
              </w:rPr>
            </w:pPr>
            <w:r w:rsidRPr="008E4270">
              <w:rPr>
                <w:b/>
                <w:sz w:val="20"/>
                <w:szCs w:val="20"/>
              </w:rPr>
              <w:t>První riziko</w:t>
            </w:r>
            <w:r w:rsidRPr="008E4270">
              <w:rPr>
                <w:b/>
                <w:sz w:val="20"/>
                <w:szCs w:val="20"/>
                <w:vertAlign w:val="superscript"/>
              </w:rPr>
              <w:t>2)</w:t>
            </w:r>
          </w:p>
        </w:tc>
        <w:tc>
          <w:tcPr>
            <w:tcW w:w="1276" w:type="dxa"/>
            <w:vAlign w:val="center"/>
          </w:tcPr>
          <w:p w14:paraId="639489FE" w14:textId="77777777" w:rsidR="00093B9D" w:rsidRPr="008E4270" w:rsidRDefault="00093B9D" w:rsidP="00630821">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tc>
      </w:tr>
      <w:tr w:rsidR="008E4270" w:rsidRPr="008E4270" w14:paraId="01ECDFDC" w14:textId="77777777" w:rsidTr="00E57BA0">
        <w:trPr>
          <w:trHeight w:val="974"/>
        </w:trPr>
        <w:tc>
          <w:tcPr>
            <w:tcW w:w="709" w:type="dxa"/>
            <w:vAlign w:val="center"/>
          </w:tcPr>
          <w:p w14:paraId="20468134" w14:textId="77777777" w:rsidR="00093B9D" w:rsidRPr="008E4270" w:rsidRDefault="00093B9D" w:rsidP="00630821">
            <w:pPr>
              <w:jc w:val="center"/>
              <w:rPr>
                <w:sz w:val="20"/>
                <w:szCs w:val="20"/>
              </w:rPr>
            </w:pPr>
            <w:r w:rsidRPr="008E4270">
              <w:rPr>
                <w:sz w:val="20"/>
                <w:szCs w:val="20"/>
              </w:rPr>
              <w:t>1.</w:t>
            </w:r>
          </w:p>
        </w:tc>
        <w:tc>
          <w:tcPr>
            <w:tcW w:w="1985" w:type="dxa"/>
            <w:vAlign w:val="center"/>
          </w:tcPr>
          <w:p w14:paraId="4BD760E9" w14:textId="77777777" w:rsidR="00093B9D" w:rsidRPr="008E4270" w:rsidRDefault="00093B9D" w:rsidP="00630821">
            <w:pPr>
              <w:rPr>
                <w:sz w:val="20"/>
                <w:szCs w:val="20"/>
              </w:rPr>
            </w:pPr>
            <w:r w:rsidRPr="008E4270">
              <w:rPr>
                <w:sz w:val="20"/>
                <w:szCs w:val="20"/>
              </w:rPr>
              <w:t>Soubor všech předmětů pojištění, které jsou pojištěny tabulkou č. 2.1.1.</w:t>
            </w:r>
          </w:p>
        </w:tc>
        <w:tc>
          <w:tcPr>
            <w:tcW w:w="1842" w:type="dxa"/>
            <w:vAlign w:val="center"/>
          </w:tcPr>
          <w:p w14:paraId="20ADAD41" w14:textId="77777777" w:rsidR="00093B9D" w:rsidRPr="008E4270" w:rsidRDefault="00093B9D" w:rsidP="00630821">
            <w:pPr>
              <w:jc w:val="center"/>
              <w:rPr>
                <w:rFonts w:cs="Arial"/>
                <w:sz w:val="20"/>
                <w:szCs w:val="20"/>
              </w:rPr>
            </w:pPr>
            <w:r w:rsidRPr="008E4270">
              <w:rPr>
                <w:rFonts w:cs="Arial"/>
                <w:sz w:val="20"/>
                <w:szCs w:val="20"/>
              </w:rPr>
              <w:t>---</w:t>
            </w:r>
          </w:p>
        </w:tc>
        <w:tc>
          <w:tcPr>
            <w:tcW w:w="1276" w:type="dxa"/>
            <w:vAlign w:val="center"/>
          </w:tcPr>
          <w:p w14:paraId="41DC4B96" w14:textId="77777777" w:rsidR="00093B9D" w:rsidRPr="008E4270" w:rsidRDefault="00093B9D" w:rsidP="00630821">
            <w:pPr>
              <w:jc w:val="center"/>
              <w:rPr>
                <w:sz w:val="20"/>
                <w:szCs w:val="20"/>
              </w:rPr>
            </w:pPr>
            <w:r w:rsidRPr="008E4270">
              <w:rPr>
                <w:sz w:val="20"/>
                <w:szCs w:val="20"/>
              </w:rPr>
              <w:t>5 000 Kč</w:t>
            </w:r>
          </w:p>
        </w:tc>
        <w:tc>
          <w:tcPr>
            <w:tcW w:w="1418" w:type="dxa"/>
            <w:vAlign w:val="center"/>
          </w:tcPr>
          <w:p w14:paraId="3B4CA371" w14:textId="77777777" w:rsidR="00093B9D" w:rsidRPr="008E4270" w:rsidRDefault="00093B9D" w:rsidP="00630821">
            <w:pPr>
              <w:jc w:val="center"/>
              <w:rPr>
                <w:sz w:val="20"/>
                <w:szCs w:val="20"/>
              </w:rPr>
            </w:pPr>
            <w:r w:rsidRPr="008E4270">
              <w:rPr>
                <w:sz w:val="20"/>
                <w:szCs w:val="20"/>
              </w:rPr>
              <w:t>*)</w:t>
            </w:r>
          </w:p>
        </w:tc>
        <w:tc>
          <w:tcPr>
            <w:tcW w:w="1559" w:type="dxa"/>
            <w:vAlign w:val="center"/>
          </w:tcPr>
          <w:p w14:paraId="0626F9C0" w14:textId="77777777" w:rsidR="00093B9D" w:rsidRPr="008E4270" w:rsidRDefault="00093B9D" w:rsidP="00630821">
            <w:pPr>
              <w:jc w:val="center"/>
              <w:rPr>
                <w:sz w:val="20"/>
                <w:szCs w:val="20"/>
              </w:rPr>
            </w:pPr>
            <w:r w:rsidRPr="008E4270">
              <w:rPr>
                <w:sz w:val="20"/>
                <w:szCs w:val="20"/>
              </w:rPr>
              <w:t>1 000 000 Kč</w:t>
            </w:r>
          </w:p>
        </w:tc>
        <w:tc>
          <w:tcPr>
            <w:tcW w:w="1276" w:type="dxa"/>
            <w:vAlign w:val="center"/>
          </w:tcPr>
          <w:p w14:paraId="2047EA1B" w14:textId="77777777" w:rsidR="00093B9D" w:rsidRPr="008E4270" w:rsidRDefault="00093B9D" w:rsidP="00630821">
            <w:pPr>
              <w:jc w:val="center"/>
              <w:rPr>
                <w:sz w:val="20"/>
                <w:szCs w:val="20"/>
              </w:rPr>
            </w:pPr>
            <w:r w:rsidRPr="008E4270">
              <w:rPr>
                <w:rFonts w:cs="Arial"/>
                <w:sz w:val="20"/>
                <w:szCs w:val="20"/>
              </w:rPr>
              <w:t>---</w:t>
            </w:r>
          </w:p>
        </w:tc>
      </w:tr>
      <w:tr w:rsidR="008E4270" w:rsidRPr="008E4270" w14:paraId="061AF796" w14:textId="77777777" w:rsidTr="00630821">
        <w:trPr>
          <w:trHeight w:val="257"/>
        </w:trPr>
        <w:tc>
          <w:tcPr>
            <w:tcW w:w="10065" w:type="dxa"/>
            <w:gridSpan w:val="7"/>
          </w:tcPr>
          <w:p w14:paraId="7754AA6C" w14:textId="77777777" w:rsidR="00093B9D" w:rsidRPr="008E4270" w:rsidRDefault="00093B9D" w:rsidP="00D0647F">
            <w:pPr>
              <w:pStyle w:val="Prosttext"/>
              <w:tabs>
                <w:tab w:val="left" w:pos="284"/>
              </w:tabs>
              <w:jc w:val="both"/>
              <w:rPr>
                <w:rFonts w:ascii="Koop Office" w:hAnsi="Koop Office"/>
                <w:sz w:val="20"/>
                <w:szCs w:val="20"/>
              </w:rPr>
            </w:pPr>
            <w:r w:rsidRPr="008E4270">
              <w:rPr>
                <w:rFonts w:ascii="Koop Office" w:hAnsi="Koop Office"/>
                <w:sz w:val="20"/>
                <w:szCs w:val="20"/>
              </w:rPr>
              <w:t xml:space="preserve">Poznámky: </w:t>
            </w:r>
          </w:p>
        </w:tc>
      </w:tr>
    </w:tbl>
    <w:p w14:paraId="5398F3C2" w14:textId="77777777" w:rsidR="00093B9D" w:rsidRPr="008E4270" w:rsidRDefault="00093B9D" w:rsidP="00D0647F">
      <w:pPr>
        <w:rPr>
          <w:sz w:val="16"/>
          <w:szCs w:val="16"/>
        </w:rPr>
      </w:pPr>
      <w:r w:rsidRPr="008E4270">
        <w:rPr>
          <w:sz w:val="16"/>
          <w:szCs w:val="16"/>
        </w:rPr>
        <w:t xml:space="preserve">*) není-li uvedeno, sjednává se pojištění s pojistnou hodnotou uvedenou v příslušných pojistných podmínkách </w:t>
      </w:r>
    </w:p>
    <w:p w14:paraId="0D5882FE" w14:textId="77777777" w:rsidR="004267FA" w:rsidRPr="008E4270" w:rsidRDefault="004267FA" w:rsidP="00D0647F">
      <w:pPr>
        <w:rPr>
          <w:sz w:val="16"/>
          <w:szCs w:val="16"/>
        </w:rPr>
      </w:pPr>
    </w:p>
    <w:p w14:paraId="5418F689" w14:textId="77777777" w:rsidR="004267FA" w:rsidRPr="008E4270" w:rsidRDefault="004267FA" w:rsidP="00D0647F">
      <w:pPr>
        <w:rPr>
          <w:sz w:val="16"/>
          <w:szCs w:val="16"/>
        </w:rPr>
      </w:pPr>
    </w:p>
    <w:p w14:paraId="6BEF9DAD" w14:textId="77777777" w:rsidR="004267FA" w:rsidRPr="008E4270" w:rsidRDefault="004267FA" w:rsidP="00D0647F">
      <w:pPr>
        <w:rPr>
          <w:sz w:val="16"/>
          <w:szCs w:val="16"/>
        </w:rPr>
      </w:pPr>
    </w:p>
    <w:p w14:paraId="04922EC2" w14:textId="77777777" w:rsidR="004267FA" w:rsidRPr="008E4270" w:rsidRDefault="004267FA" w:rsidP="00D0647F">
      <w:pPr>
        <w:rPr>
          <w:sz w:val="16"/>
          <w:szCs w:val="16"/>
        </w:rPr>
      </w:pPr>
    </w:p>
    <w:p w14:paraId="0063BC4F" w14:textId="77777777" w:rsidR="004267FA" w:rsidRPr="008E4270" w:rsidRDefault="004267FA" w:rsidP="00D0647F">
      <w:pPr>
        <w:rPr>
          <w:sz w:val="16"/>
          <w:szCs w:val="16"/>
        </w:rPr>
      </w:pPr>
    </w:p>
    <w:p w14:paraId="4C468601" w14:textId="77777777" w:rsidR="004267FA" w:rsidRPr="008E4270" w:rsidRDefault="004267FA" w:rsidP="00D0647F">
      <w:pPr>
        <w:rPr>
          <w:sz w:val="16"/>
          <w:szCs w:val="16"/>
        </w:rPr>
      </w:pPr>
    </w:p>
    <w:p w14:paraId="49658A35" w14:textId="77777777" w:rsidR="004267FA" w:rsidRPr="008E4270" w:rsidRDefault="004267FA" w:rsidP="00D0647F">
      <w:pPr>
        <w:rPr>
          <w:sz w:val="16"/>
          <w:szCs w:val="16"/>
        </w:rPr>
      </w:pPr>
    </w:p>
    <w:p w14:paraId="5466A7C4" w14:textId="77777777" w:rsidR="000832CA" w:rsidRPr="008E4270" w:rsidRDefault="000832CA" w:rsidP="00D0647F">
      <w:pPr>
        <w:pStyle w:val="slovn-rove2"/>
        <w:numPr>
          <w:ilvl w:val="1"/>
          <w:numId w:val="12"/>
        </w:numPr>
        <w:tabs>
          <w:tab w:val="clear" w:pos="454"/>
          <w:tab w:val="left" w:pos="426"/>
        </w:tabs>
        <w:spacing w:before="120" w:after="0"/>
        <w:ind w:left="425" w:hanging="425"/>
        <w:rPr>
          <w:szCs w:val="20"/>
        </w:rPr>
      </w:pPr>
      <w:r w:rsidRPr="008E4270">
        <w:lastRenderedPageBreak/>
        <w:t>Pojištění skla</w:t>
      </w:r>
    </w:p>
    <w:p w14:paraId="013EF86D" w14:textId="77777777" w:rsidR="000832CA" w:rsidRPr="008E4270" w:rsidRDefault="000832CA" w:rsidP="00D0647F">
      <w:pPr>
        <w:keepNext/>
        <w:jc w:val="both"/>
        <w:rPr>
          <w:sz w:val="20"/>
          <w:szCs w:val="20"/>
        </w:rPr>
      </w:pPr>
      <w:r w:rsidRPr="008E4270">
        <w:rPr>
          <w:sz w:val="20"/>
          <w:szCs w:val="20"/>
        </w:rPr>
        <w:t>Pojištění se sjednává pro předměty pojištění v rozsahu a na místech pojištění uvedených v následující tabulce/následujících tabulkách:</w:t>
      </w:r>
    </w:p>
    <w:p w14:paraId="6A70DB68" w14:textId="77777777" w:rsidR="00060DA6" w:rsidRPr="008E4270" w:rsidRDefault="00060DA6" w:rsidP="00180F5B">
      <w:pPr>
        <w:spacing w:before="60"/>
        <w:rPr>
          <w:b/>
          <w:sz w:val="20"/>
          <w:szCs w:val="20"/>
        </w:rPr>
      </w:pPr>
      <w:r w:rsidRPr="008E4270">
        <w:rPr>
          <w:b/>
          <w:sz w:val="20"/>
          <w:szCs w:val="20"/>
        </w:rPr>
        <w:t>2.5.1 Pojištění skla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1276"/>
        <w:gridCol w:w="1276"/>
        <w:gridCol w:w="1559"/>
        <w:gridCol w:w="1418"/>
      </w:tblGrid>
      <w:tr w:rsidR="008E4270" w:rsidRPr="008E4270" w14:paraId="78D5ED8E" w14:textId="77777777" w:rsidTr="005B747D">
        <w:tc>
          <w:tcPr>
            <w:tcW w:w="10065" w:type="dxa"/>
            <w:gridSpan w:val="7"/>
          </w:tcPr>
          <w:p w14:paraId="069E0FEF" w14:textId="77777777" w:rsidR="00060DA6" w:rsidRPr="008E4270" w:rsidRDefault="00060DA6" w:rsidP="005B747D">
            <w:pPr>
              <w:rPr>
                <w:rFonts w:cs="Arial"/>
                <w:sz w:val="20"/>
                <w:szCs w:val="20"/>
              </w:rPr>
            </w:pPr>
            <w:r w:rsidRPr="008E4270">
              <w:rPr>
                <w:b/>
                <w:sz w:val="20"/>
                <w:szCs w:val="20"/>
              </w:rPr>
              <w:t>Místo pojištění:</w:t>
            </w:r>
            <w:r w:rsidRPr="008E4270">
              <w:rPr>
                <w:rFonts w:cs="Arial"/>
                <w:sz w:val="20"/>
                <w:szCs w:val="20"/>
              </w:rPr>
              <w:t xml:space="preserve"> </w:t>
            </w:r>
            <w:r w:rsidRPr="008E4270">
              <w:rPr>
                <w:sz w:val="20"/>
                <w:szCs w:val="20"/>
              </w:rPr>
              <w:t>dle bodu 1.2., odst. 1., Čl. II. této pojistné smlouvy</w:t>
            </w:r>
          </w:p>
        </w:tc>
      </w:tr>
      <w:tr w:rsidR="008E4270" w:rsidRPr="008E4270" w14:paraId="3118CB8C" w14:textId="77777777" w:rsidTr="005B747D">
        <w:tc>
          <w:tcPr>
            <w:tcW w:w="10065" w:type="dxa"/>
            <w:gridSpan w:val="7"/>
          </w:tcPr>
          <w:p w14:paraId="42076775" w14:textId="77777777" w:rsidR="00060DA6" w:rsidRPr="008E4270" w:rsidRDefault="00060DA6" w:rsidP="005B747D">
            <w:pPr>
              <w:rPr>
                <w:sz w:val="20"/>
                <w:szCs w:val="20"/>
              </w:rPr>
            </w:pPr>
            <w:r w:rsidRPr="008E4270">
              <w:rPr>
                <w:b/>
                <w:sz w:val="20"/>
                <w:szCs w:val="20"/>
              </w:rPr>
              <w:t>Pojištění se řídí:</w:t>
            </w:r>
            <w:r w:rsidRPr="008E4270">
              <w:rPr>
                <w:sz w:val="20"/>
                <w:szCs w:val="20"/>
              </w:rPr>
              <w:t xml:space="preserve"> VPP P-100/14, ZPP P-250/14 a doložkami DOB101, DOB103</w:t>
            </w:r>
          </w:p>
        </w:tc>
      </w:tr>
      <w:tr w:rsidR="008E4270" w:rsidRPr="008E4270" w14:paraId="3229B3EF" w14:textId="77777777" w:rsidTr="005B747D">
        <w:tc>
          <w:tcPr>
            <w:tcW w:w="709" w:type="dxa"/>
            <w:vAlign w:val="center"/>
          </w:tcPr>
          <w:p w14:paraId="1F457DBF" w14:textId="77777777" w:rsidR="00060DA6" w:rsidRPr="008E4270" w:rsidRDefault="00060DA6" w:rsidP="005B747D">
            <w:pPr>
              <w:jc w:val="center"/>
              <w:rPr>
                <w:b/>
                <w:sz w:val="20"/>
                <w:szCs w:val="20"/>
              </w:rPr>
            </w:pPr>
            <w:r w:rsidRPr="008E4270">
              <w:rPr>
                <w:b/>
                <w:sz w:val="20"/>
                <w:szCs w:val="20"/>
              </w:rPr>
              <w:t>Poř. číslo</w:t>
            </w:r>
          </w:p>
        </w:tc>
        <w:tc>
          <w:tcPr>
            <w:tcW w:w="1985" w:type="dxa"/>
            <w:vAlign w:val="center"/>
          </w:tcPr>
          <w:p w14:paraId="47F5D197" w14:textId="77777777" w:rsidR="00060DA6" w:rsidRPr="008E4270" w:rsidRDefault="00060DA6" w:rsidP="005B747D">
            <w:pPr>
              <w:jc w:val="center"/>
              <w:rPr>
                <w:b/>
                <w:sz w:val="20"/>
                <w:szCs w:val="20"/>
              </w:rPr>
            </w:pPr>
            <w:r w:rsidRPr="008E4270">
              <w:rPr>
                <w:b/>
                <w:sz w:val="20"/>
                <w:szCs w:val="20"/>
              </w:rPr>
              <w:t>Předmět pojištění</w:t>
            </w:r>
          </w:p>
        </w:tc>
        <w:tc>
          <w:tcPr>
            <w:tcW w:w="1842" w:type="dxa"/>
            <w:vAlign w:val="center"/>
          </w:tcPr>
          <w:p w14:paraId="3C767974" w14:textId="77777777" w:rsidR="00060DA6" w:rsidRPr="008E4270" w:rsidRDefault="00060DA6" w:rsidP="005B747D">
            <w:pPr>
              <w:jc w:val="center"/>
              <w:rPr>
                <w:b/>
                <w:sz w:val="20"/>
                <w:szCs w:val="20"/>
              </w:rPr>
            </w:pPr>
            <w:r w:rsidRPr="008E4270">
              <w:rPr>
                <w:b/>
                <w:sz w:val="20"/>
                <w:szCs w:val="20"/>
              </w:rPr>
              <w:t>Pojistná částka</w:t>
            </w:r>
            <w:r w:rsidRPr="008E4270">
              <w:rPr>
                <w:b/>
                <w:sz w:val="20"/>
                <w:szCs w:val="20"/>
                <w:vertAlign w:val="superscript"/>
              </w:rPr>
              <w:t>10)</w:t>
            </w:r>
          </w:p>
        </w:tc>
        <w:tc>
          <w:tcPr>
            <w:tcW w:w="1276" w:type="dxa"/>
            <w:vAlign w:val="center"/>
          </w:tcPr>
          <w:p w14:paraId="281E2AB0" w14:textId="77777777" w:rsidR="00060DA6" w:rsidRPr="008E4270" w:rsidRDefault="00060DA6" w:rsidP="005B747D">
            <w:pPr>
              <w:jc w:val="center"/>
              <w:rPr>
                <w:b/>
                <w:sz w:val="20"/>
                <w:szCs w:val="20"/>
              </w:rPr>
            </w:pPr>
            <w:r w:rsidRPr="008E4270">
              <w:rPr>
                <w:b/>
                <w:sz w:val="20"/>
                <w:szCs w:val="20"/>
              </w:rPr>
              <w:t>Spoluúčast</w:t>
            </w:r>
          </w:p>
          <w:p w14:paraId="285869B8" w14:textId="77777777" w:rsidR="00060DA6" w:rsidRPr="008E4270" w:rsidRDefault="00060DA6" w:rsidP="005B747D">
            <w:pPr>
              <w:jc w:val="center"/>
              <w:rPr>
                <w:b/>
                <w:sz w:val="20"/>
                <w:szCs w:val="20"/>
              </w:rPr>
            </w:pPr>
            <w:r w:rsidRPr="008E4270">
              <w:rPr>
                <w:b/>
                <w:sz w:val="20"/>
                <w:szCs w:val="20"/>
                <w:vertAlign w:val="superscript"/>
              </w:rPr>
              <w:t>5)</w:t>
            </w:r>
          </w:p>
        </w:tc>
        <w:tc>
          <w:tcPr>
            <w:tcW w:w="1276" w:type="dxa"/>
            <w:vAlign w:val="center"/>
          </w:tcPr>
          <w:p w14:paraId="62DC9221" w14:textId="77777777" w:rsidR="00060DA6" w:rsidRPr="008E4270" w:rsidRDefault="00060DA6" w:rsidP="005B747D">
            <w:pPr>
              <w:jc w:val="center"/>
              <w:rPr>
                <w:b/>
                <w:sz w:val="20"/>
                <w:szCs w:val="20"/>
              </w:rPr>
            </w:pPr>
            <w:r w:rsidRPr="008E4270">
              <w:rPr>
                <w:b/>
                <w:sz w:val="20"/>
                <w:szCs w:val="20"/>
              </w:rPr>
              <w:t>Pojištění se sjednává na cenu</w:t>
            </w:r>
            <w:r w:rsidRPr="008E4270">
              <w:rPr>
                <w:b/>
                <w:sz w:val="20"/>
                <w:szCs w:val="20"/>
                <w:vertAlign w:val="superscript"/>
              </w:rPr>
              <w:t>*1)</w:t>
            </w:r>
          </w:p>
        </w:tc>
        <w:tc>
          <w:tcPr>
            <w:tcW w:w="1559" w:type="dxa"/>
            <w:vAlign w:val="center"/>
          </w:tcPr>
          <w:p w14:paraId="42DEF778" w14:textId="77777777" w:rsidR="00060DA6" w:rsidRPr="008E4270" w:rsidRDefault="00060DA6" w:rsidP="005B747D">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p w14:paraId="7EC89D9E" w14:textId="77777777" w:rsidR="00060DA6" w:rsidRPr="008E4270" w:rsidRDefault="00060DA6" w:rsidP="005B747D">
            <w:pPr>
              <w:jc w:val="center"/>
              <w:rPr>
                <w:b/>
                <w:sz w:val="20"/>
                <w:szCs w:val="20"/>
              </w:rPr>
            </w:pPr>
            <w:r w:rsidRPr="008E4270">
              <w:rPr>
                <w:b/>
                <w:sz w:val="20"/>
                <w:szCs w:val="20"/>
              </w:rPr>
              <w:t>První riziko</w:t>
            </w:r>
            <w:r w:rsidRPr="008E4270">
              <w:rPr>
                <w:b/>
                <w:sz w:val="20"/>
                <w:szCs w:val="20"/>
                <w:vertAlign w:val="superscript"/>
              </w:rPr>
              <w:t>2)</w:t>
            </w:r>
          </w:p>
        </w:tc>
        <w:tc>
          <w:tcPr>
            <w:tcW w:w="1418" w:type="dxa"/>
            <w:vAlign w:val="center"/>
          </w:tcPr>
          <w:p w14:paraId="7153AD3B" w14:textId="77777777" w:rsidR="00060DA6" w:rsidRPr="008E4270" w:rsidRDefault="00060DA6" w:rsidP="005B747D">
            <w:pPr>
              <w:jc w:val="center"/>
              <w:rPr>
                <w:b/>
                <w:sz w:val="20"/>
                <w:szCs w:val="20"/>
              </w:rPr>
            </w:pPr>
            <w:r w:rsidRPr="008E4270">
              <w:rPr>
                <w:b/>
                <w:sz w:val="20"/>
                <w:szCs w:val="20"/>
              </w:rPr>
              <w:t>MRLP</w:t>
            </w:r>
            <w:r w:rsidRPr="008E4270">
              <w:rPr>
                <w:b/>
                <w:sz w:val="20"/>
                <w:szCs w:val="20"/>
                <w:vertAlign w:val="superscript"/>
              </w:rPr>
              <w:t>3)</w:t>
            </w:r>
            <w:r w:rsidRPr="008E4270">
              <w:rPr>
                <w:b/>
                <w:sz w:val="20"/>
                <w:szCs w:val="20"/>
              </w:rPr>
              <w:t xml:space="preserve"> </w:t>
            </w:r>
          </w:p>
        </w:tc>
      </w:tr>
      <w:tr w:rsidR="008E4270" w:rsidRPr="008E4270" w14:paraId="542B69A1" w14:textId="77777777" w:rsidTr="005B747D">
        <w:trPr>
          <w:trHeight w:val="445"/>
        </w:trPr>
        <w:tc>
          <w:tcPr>
            <w:tcW w:w="709" w:type="dxa"/>
            <w:vAlign w:val="center"/>
          </w:tcPr>
          <w:p w14:paraId="04E8A946" w14:textId="77777777" w:rsidR="00060DA6" w:rsidRPr="008E4270" w:rsidRDefault="00060DA6" w:rsidP="005B747D">
            <w:pPr>
              <w:jc w:val="center"/>
              <w:rPr>
                <w:sz w:val="20"/>
                <w:szCs w:val="20"/>
              </w:rPr>
            </w:pPr>
            <w:r w:rsidRPr="008E4270">
              <w:rPr>
                <w:sz w:val="20"/>
                <w:szCs w:val="20"/>
              </w:rPr>
              <w:t>1.</w:t>
            </w:r>
          </w:p>
        </w:tc>
        <w:tc>
          <w:tcPr>
            <w:tcW w:w="1985" w:type="dxa"/>
            <w:vAlign w:val="center"/>
          </w:tcPr>
          <w:p w14:paraId="6CB2A6E9" w14:textId="77777777" w:rsidR="00060DA6" w:rsidRPr="008E4270" w:rsidRDefault="00060DA6" w:rsidP="005B747D">
            <w:pPr>
              <w:rPr>
                <w:sz w:val="20"/>
                <w:szCs w:val="20"/>
              </w:rPr>
            </w:pPr>
            <w:r w:rsidRPr="008E4270">
              <w:rPr>
                <w:sz w:val="20"/>
                <w:szCs w:val="20"/>
              </w:rPr>
              <w:t xml:space="preserve">Soubor vlastních </w:t>
            </w:r>
          </w:p>
          <w:p w14:paraId="1CBA3999" w14:textId="5BDAEB27" w:rsidR="00060DA6" w:rsidRPr="008E4270" w:rsidRDefault="00E60BBD" w:rsidP="005B747D">
            <w:pPr>
              <w:rPr>
                <w:sz w:val="20"/>
                <w:szCs w:val="20"/>
              </w:rPr>
            </w:pPr>
            <w:r w:rsidRPr="008E4270">
              <w:rPr>
                <w:sz w:val="20"/>
                <w:szCs w:val="20"/>
              </w:rPr>
              <w:t>a</w:t>
            </w:r>
            <w:r w:rsidR="00060DA6" w:rsidRPr="008E4270">
              <w:rPr>
                <w:sz w:val="20"/>
                <w:szCs w:val="20"/>
              </w:rPr>
              <w:t xml:space="preserve"> cizích skel</w:t>
            </w:r>
          </w:p>
        </w:tc>
        <w:tc>
          <w:tcPr>
            <w:tcW w:w="1842" w:type="dxa"/>
            <w:vAlign w:val="center"/>
          </w:tcPr>
          <w:p w14:paraId="2F406D49" w14:textId="77777777" w:rsidR="00060DA6" w:rsidRPr="008E4270" w:rsidRDefault="00060DA6" w:rsidP="005B747D">
            <w:pPr>
              <w:jc w:val="center"/>
              <w:rPr>
                <w:rFonts w:cs="Arial"/>
                <w:sz w:val="20"/>
                <w:szCs w:val="20"/>
              </w:rPr>
            </w:pPr>
            <w:r w:rsidRPr="008E4270">
              <w:rPr>
                <w:rFonts w:cs="Arial"/>
                <w:sz w:val="20"/>
                <w:szCs w:val="20"/>
              </w:rPr>
              <w:t>---</w:t>
            </w:r>
          </w:p>
        </w:tc>
        <w:tc>
          <w:tcPr>
            <w:tcW w:w="1276" w:type="dxa"/>
            <w:vAlign w:val="center"/>
          </w:tcPr>
          <w:p w14:paraId="55AD6707" w14:textId="77777777" w:rsidR="00060DA6" w:rsidRPr="008E4270" w:rsidRDefault="00060DA6" w:rsidP="005B747D">
            <w:pPr>
              <w:jc w:val="center"/>
              <w:rPr>
                <w:sz w:val="20"/>
                <w:szCs w:val="20"/>
              </w:rPr>
            </w:pPr>
            <w:r w:rsidRPr="008E4270">
              <w:rPr>
                <w:sz w:val="20"/>
                <w:szCs w:val="20"/>
              </w:rPr>
              <w:t>1 000 Kč</w:t>
            </w:r>
          </w:p>
        </w:tc>
        <w:tc>
          <w:tcPr>
            <w:tcW w:w="1276" w:type="dxa"/>
            <w:vAlign w:val="center"/>
          </w:tcPr>
          <w:p w14:paraId="78566BC1" w14:textId="77777777" w:rsidR="00060DA6" w:rsidRPr="008E4270" w:rsidRDefault="00060DA6" w:rsidP="005B747D">
            <w:pPr>
              <w:jc w:val="center"/>
              <w:rPr>
                <w:sz w:val="20"/>
                <w:szCs w:val="20"/>
              </w:rPr>
            </w:pPr>
            <w:r w:rsidRPr="008E4270">
              <w:rPr>
                <w:sz w:val="20"/>
                <w:szCs w:val="20"/>
              </w:rPr>
              <w:t>*)</w:t>
            </w:r>
          </w:p>
        </w:tc>
        <w:tc>
          <w:tcPr>
            <w:tcW w:w="1559" w:type="dxa"/>
            <w:vAlign w:val="center"/>
          </w:tcPr>
          <w:p w14:paraId="2670C0C1" w14:textId="77777777" w:rsidR="00060DA6" w:rsidRPr="008E4270" w:rsidRDefault="00060DA6" w:rsidP="005B747D">
            <w:pPr>
              <w:jc w:val="center"/>
              <w:rPr>
                <w:sz w:val="20"/>
                <w:szCs w:val="20"/>
              </w:rPr>
            </w:pPr>
            <w:r w:rsidRPr="008E4270">
              <w:rPr>
                <w:sz w:val="20"/>
                <w:szCs w:val="20"/>
              </w:rPr>
              <w:t>500 000 Kč</w:t>
            </w:r>
          </w:p>
        </w:tc>
        <w:tc>
          <w:tcPr>
            <w:tcW w:w="1418" w:type="dxa"/>
            <w:vAlign w:val="center"/>
          </w:tcPr>
          <w:p w14:paraId="4E9F667B" w14:textId="77777777" w:rsidR="00060DA6" w:rsidRPr="008E4270" w:rsidRDefault="00060DA6" w:rsidP="005B747D">
            <w:pPr>
              <w:jc w:val="center"/>
              <w:rPr>
                <w:sz w:val="20"/>
                <w:szCs w:val="20"/>
              </w:rPr>
            </w:pPr>
            <w:r w:rsidRPr="008E4270">
              <w:rPr>
                <w:rFonts w:cs="Arial"/>
                <w:sz w:val="20"/>
                <w:szCs w:val="20"/>
              </w:rPr>
              <w:t>---</w:t>
            </w:r>
          </w:p>
        </w:tc>
      </w:tr>
      <w:tr w:rsidR="008E4270" w:rsidRPr="008E4270" w14:paraId="6ED9E434" w14:textId="77777777" w:rsidTr="005B747D">
        <w:trPr>
          <w:trHeight w:val="257"/>
        </w:trPr>
        <w:tc>
          <w:tcPr>
            <w:tcW w:w="10065" w:type="dxa"/>
            <w:gridSpan w:val="7"/>
          </w:tcPr>
          <w:p w14:paraId="20802360" w14:textId="77777777" w:rsidR="00060DA6" w:rsidRPr="008E4270" w:rsidRDefault="00060DA6" w:rsidP="005B747D">
            <w:pPr>
              <w:pStyle w:val="Prosttext"/>
              <w:tabs>
                <w:tab w:val="left" w:pos="284"/>
              </w:tabs>
              <w:jc w:val="both"/>
              <w:rPr>
                <w:rFonts w:ascii="Koop Office" w:hAnsi="Koop Office"/>
                <w:sz w:val="20"/>
                <w:szCs w:val="20"/>
              </w:rPr>
            </w:pPr>
            <w:r w:rsidRPr="008E4270">
              <w:rPr>
                <w:rFonts w:ascii="Koop Office" w:hAnsi="Koop Office"/>
                <w:sz w:val="20"/>
                <w:szCs w:val="20"/>
              </w:rPr>
              <w:t xml:space="preserve">Poznámky: </w:t>
            </w:r>
          </w:p>
        </w:tc>
      </w:tr>
    </w:tbl>
    <w:p w14:paraId="67A66270" w14:textId="08A8A652" w:rsidR="00190C30" w:rsidRPr="008E4270" w:rsidRDefault="00060DA6" w:rsidP="00190C30">
      <w:pPr>
        <w:suppressAutoHyphens/>
        <w:rPr>
          <w:sz w:val="16"/>
          <w:szCs w:val="16"/>
        </w:rPr>
      </w:pPr>
      <w:r w:rsidRPr="008E4270">
        <w:rPr>
          <w:sz w:val="16"/>
          <w:szCs w:val="16"/>
        </w:rPr>
        <w:t xml:space="preserve">*) není-li uvedeno, sjednává se pojištění s pojistnou hodnotou uvedenou v příslušných pojistných podmínkách </w:t>
      </w:r>
    </w:p>
    <w:p w14:paraId="1B2F647F" w14:textId="17C95EB6" w:rsidR="00F82783" w:rsidRPr="008E4270" w:rsidRDefault="00F82783" w:rsidP="00190C30">
      <w:pPr>
        <w:pStyle w:val="slovn-rove2"/>
        <w:keepNext w:val="0"/>
        <w:numPr>
          <w:ilvl w:val="1"/>
          <w:numId w:val="12"/>
        </w:numPr>
        <w:tabs>
          <w:tab w:val="clear" w:pos="454"/>
          <w:tab w:val="left" w:pos="426"/>
        </w:tabs>
        <w:suppressAutoHyphens/>
        <w:spacing w:before="120" w:after="0"/>
        <w:ind w:left="425" w:hanging="425"/>
        <w:rPr>
          <w:szCs w:val="20"/>
        </w:rPr>
      </w:pPr>
      <w:r w:rsidRPr="008E4270">
        <w:t xml:space="preserve">Pojištění </w:t>
      </w:r>
      <w:r w:rsidR="00CD7E0E" w:rsidRPr="008E4270">
        <w:t>strojů</w:t>
      </w:r>
    </w:p>
    <w:p w14:paraId="042F1E74" w14:textId="77777777" w:rsidR="00F82783" w:rsidRPr="008E4270" w:rsidRDefault="00F82783" w:rsidP="00190C30">
      <w:pPr>
        <w:suppressAutoHyphens/>
        <w:jc w:val="both"/>
        <w:rPr>
          <w:sz w:val="20"/>
          <w:szCs w:val="20"/>
        </w:rPr>
      </w:pPr>
      <w:r w:rsidRPr="008E4270">
        <w:rPr>
          <w:sz w:val="20"/>
          <w:szCs w:val="20"/>
        </w:rPr>
        <w:t>Pojištění se sjednává pro předměty pojištění v rozsahu a na místech pojištění uvedených v následující tabulce/následujících tabulkách:</w:t>
      </w:r>
    </w:p>
    <w:p w14:paraId="1EAFF21A" w14:textId="2509C362" w:rsidR="000F692E" w:rsidRPr="008E4270" w:rsidRDefault="000F692E" w:rsidP="00EF1B25">
      <w:pPr>
        <w:suppressAutoHyphens/>
        <w:spacing w:before="60"/>
        <w:rPr>
          <w:b/>
          <w:sz w:val="20"/>
          <w:szCs w:val="20"/>
        </w:rPr>
      </w:pPr>
      <w:r w:rsidRPr="008E4270">
        <w:rPr>
          <w:b/>
          <w:sz w:val="20"/>
          <w:szCs w:val="20"/>
        </w:rPr>
        <w:t>2.</w:t>
      </w:r>
      <w:r w:rsidR="00732C17" w:rsidRPr="008E4270">
        <w:rPr>
          <w:b/>
          <w:sz w:val="20"/>
          <w:szCs w:val="20"/>
        </w:rPr>
        <w:t>6</w:t>
      </w:r>
      <w:r w:rsidRPr="008E4270">
        <w:rPr>
          <w:b/>
          <w:sz w:val="20"/>
          <w:szCs w:val="20"/>
        </w:rPr>
        <w:t xml:space="preserve">.1 Pojištění </w:t>
      </w:r>
      <w:r w:rsidR="00EE48F8" w:rsidRPr="008E4270">
        <w:rPr>
          <w:b/>
          <w:sz w:val="20"/>
          <w:szCs w:val="20"/>
        </w:rPr>
        <w:t>s</w:t>
      </w:r>
      <w:r w:rsidR="00CD7E0E" w:rsidRPr="008E4270">
        <w:rPr>
          <w:b/>
          <w:sz w:val="20"/>
          <w:szCs w:val="20"/>
        </w:rPr>
        <w:t>trojů</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1843"/>
        <w:gridCol w:w="1276"/>
        <w:gridCol w:w="1275"/>
        <w:gridCol w:w="1560"/>
      </w:tblGrid>
      <w:tr w:rsidR="008E4270" w:rsidRPr="008E4270" w14:paraId="76B839D0" w14:textId="77777777" w:rsidTr="00CB45C7">
        <w:tc>
          <w:tcPr>
            <w:tcW w:w="10065" w:type="dxa"/>
            <w:gridSpan w:val="6"/>
          </w:tcPr>
          <w:p w14:paraId="5EE79E7E" w14:textId="56B9F200" w:rsidR="00B83EFE" w:rsidRPr="008E4270" w:rsidRDefault="000F692E" w:rsidP="00190C30">
            <w:pPr>
              <w:tabs>
                <w:tab w:val="right" w:leader="dot" w:pos="9809"/>
              </w:tabs>
              <w:suppressAutoHyphens/>
              <w:jc w:val="both"/>
              <w:rPr>
                <w:rFonts w:cs="Arial"/>
                <w:snapToGrid w:val="0"/>
                <w:sz w:val="20"/>
                <w:szCs w:val="20"/>
              </w:rPr>
            </w:pPr>
            <w:r w:rsidRPr="008E4270">
              <w:rPr>
                <w:b/>
                <w:sz w:val="20"/>
                <w:szCs w:val="20"/>
              </w:rPr>
              <w:t>Místo pojištění:</w:t>
            </w:r>
            <w:r w:rsidRPr="008E4270">
              <w:rPr>
                <w:rFonts w:cs="Arial"/>
                <w:sz w:val="20"/>
                <w:szCs w:val="20"/>
              </w:rPr>
              <w:t xml:space="preserve"> </w:t>
            </w:r>
            <w:r w:rsidR="00CB45C7" w:rsidRPr="008E4270">
              <w:rPr>
                <w:sz w:val="20"/>
                <w:szCs w:val="20"/>
              </w:rPr>
              <w:t>dle bodu 1.2., odst. 1., Čl. II. této pojistné smlouvy</w:t>
            </w:r>
          </w:p>
        </w:tc>
      </w:tr>
      <w:tr w:rsidR="008E4270" w:rsidRPr="008E4270" w14:paraId="453274E7" w14:textId="77777777" w:rsidTr="00CB45C7">
        <w:tc>
          <w:tcPr>
            <w:tcW w:w="10065" w:type="dxa"/>
            <w:gridSpan w:val="6"/>
          </w:tcPr>
          <w:p w14:paraId="148ECBF0" w14:textId="031D3EEC" w:rsidR="000F692E" w:rsidRPr="008E4270" w:rsidRDefault="000F692E" w:rsidP="00190C30">
            <w:pPr>
              <w:suppressAutoHyphens/>
              <w:rPr>
                <w:sz w:val="20"/>
                <w:szCs w:val="20"/>
              </w:rPr>
            </w:pPr>
            <w:r w:rsidRPr="008E4270">
              <w:rPr>
                <w:b/>
                <w:sz w:val="20"/>
                <w:szCs w:val="20"/>
              </w:rPr>
              <w:t xml:space="preserve">Pojištění se řídí: </w:t>
            </w:r>
            <w:r w:rsidRPr="008E4270">
              <w:rPr>
                <w:sz w:val="20"/>
                <w:szCs w:val="20"/>
              </w:rPr>
              <w:t>VPP P-100/14, ZPP P-</w:t>
            </w:r>
            <w:r w:rsidR="00871AD8" w:rsidRPr="008E4270">
              <w:rPr>
                <w:sz w:val="20"/>
                <w:szCs w:val="20"/>
              </w:rPr>
              <w:t>25</w:t>
            </w:r>
            <w:r w:rsidRPr="008E4270">
              <w:rPr>
                <w:sz w:val="20"/>
                <w:szCs w:val="20"/>
              </w:rPr>
              <w:t xml:space="preserve">0/14 a doložkami </w:t>
            </w:r>
            <w:r w:rsidR="000C0562" w:rsidRPr="008E4270">
              <w:rPr>
                <w:sz w:val="20"/>
                <w:szCs w:val="20"/>
              </w:rPr>
              <w:t xml:space="preserve">DST111, </w:t>
            </w:r>
            <w:r w:rsidR="00871AD8" w:rsidRPr="008E4270">
              <w:rPr>
                <w:sz w:val="20"/>
                <w:szCs w:val="20"/>
              </w:rPr>
              <w:t>DOB103</w:t>
            </w:r>
          </w:p>
        </w:tc>
      </w:tr>
      <w:tr w:rsidR="008E4270" w:rsidRPr="008E4270" w14:paraId="1FDDA0D2" w14:textId="77777777" w:rsidTr="000E2707">
        <w:tc>
          <w:tcPr>
            <w:tcW w:w="709" w:type="dxa"/>
            <w:vAlign w:val="center"/>
          </w:tcPr>
          <w:p w14:paraId="3BBB9D08" w14:textId="77777777" w:rsidR="002C2AA8" w:rsidRPr="008E4270" w:rsidRDefault="002C2AA8" w:rsidP="00190C30">
            <w:pPr>
              <w:suppressAutoHyphens/>
              <w:jc w:val="center"/>
              <w:rPr>
                <w:b/>
                <w:sz w:val="20"/>
                <w:szCs w:val="20"/>
              </w:rPr>
            </w:pPr>
            <w:r w:rsidRPr="008E4270">
              <w:rPr>
                <w:b/>
                <w:sz w:val="20"/>
                <w:szCs w:val="20"/>
              </w:rPr>
              <w:t>Poř. číslo</w:t>
            </w:r>
          </w:p>
        </w:tc>
        <w:tc>
          <w:tcPr>
            <w:tcW w:w="3402" w:type="dxa"/>
            <w:vAlign w:val="center"/>
          </w:tcPr>
          <w:p w14:paraId="278410F4" w14:textId="77777777" w:rsidR="002C2AA8" w:rsidRPr="008E4270" w:rsidRDefault="002C2AA8" w:rsidP="00190C30">
            <w:pPr>
              <w:suppressAutoHyphens/>
              <w:jc w:val="center"/>
              <w:rPr>
                <w:b/>
                <w:sz w:val="20"/>
                <w:szCs w:val="20"/>
              </w:rPr>
            </w:pPr>
            <w:r w:rsidRPr="008E4270">
              <w:rPr>
                <w:b/>
                <w:sz w:val="20"/>
                <w:szCs w:val="20"/>
              </w:rPr>
              <w:t>Předmět pojištění</w:t>
            </w:r>
          </w:p>
        </w:tc>
        <w:tc>
          <w:tcPr>
            <w:tcW w:w="1843" w:type="dxa"/>
            <w:vAlign w:val="center"/>
          </w:tcPr>
          <w:p w14:paraId="108B1A57" w14:textId="77777777" w:rsidR="002C2AA8" w:rsidRPr="008E4270" w:rsidRDefault="002C2AA8" w:rsidP="00190C30">
            <w:pPr>
              <w:suppressAutoHyphens/>
              <w:jc w:val="center"/>
              <w:rPr>
                <w:b/>
                <w:sz w:val="20"/>
                <w:szCs w:val="20"/>
              </w:rPr>
            </w:pPr>
            <w:r w:rsidRPr="008E4270">
              <w:rPr>
                <w:b/>
                <w:sz w:val="20"/>
                <w:szCs w:val="20"/>
              </w:rPr>
              <w:t>Pojistná částka</w:t>
            </w:r>
            <w:r w:rsidRPr="008E4270">
              <w:rPr>
                <w:b/>
                <w:sz w:val="20"/>
                <w:szCs w:val="20"/>
                <w:vertAlign w:val="superscript"/>
              </w:rPr>
              <w:t>10)</w:t>
            </w:r>
          </w:p>
        </w:tc>
        <w:tc>
          <w:tcPr>
            <w:tcW w:w="1276" w:type="dxa"/>
            <w:vAlign w:val="center"/>
          </w:tcPr>
          <w:p w14:paraId="675CB924" w14:textId="77777777" w:rsidR="000E2707" w:rsidRPr="008E4270" w:rsidRDefault="002C2AA8" w:rsidP="00190C30">
            <w:pPr>
              <w:suppressAutoHyphens/>
              <w:jc w:val="center"/>
              <w:rPr>
                <w:b/>
                <w:sz w:val="20"/>
                <w:szCs w:val="20"/>
              </w:rPr>
            </w:pPr>
            <w:r w:rsidRPr="008E4270">
              <w:rPr>
                <w:b/>
                <w:sz w:val="20"/>
                <w:szCs w:val="20"/>
              </w:rPr>
              <w:t>Spoluúčast</w:t>
            </w:r>
          </w:p>
          <w:p w14:paraId="437E29D6" w14:textId="63CDC072" w:rsidR="002C2AA8" w:rsidRPr="008E4270" w:rsidRDefault="002C2AA8" w:rsidP="00190C30">
            <w:pPr>
              <w:suppressAutoHyphens/>
              <w:jc w:val="center"/>
              <w:rPr>
                <w:b/>
                <w:sz w:val="20"/>
                <w:szCs w:val="20"/>
              </w:rPr>
            </w:pPr>
            <w:r w:rsidRPr="008E4270">
              <w:rPr>
                <w:b/>
                <w:sz w:val="20"/>
                <w:szCs w:val="20"/>
                <w:vertAlign w:val="superscript"/>
              </w:rPr>
              <w:t>5)</w:t>
            </w:r>
          </w:p>
        </w:tc>
        <w:tc>
          <w:tcPr>
            <w:tcW w:w="1275" w:type="dxa"/>
            <w:vAlign w:val="center"/>
          </w:tcPr>
          <w:p w14:paraId="5A17D35A" w14:textId="77777777" w:rsidR="002C2AA8" w:rsidRPr="008E4270" w:rsidRDefault="002C2AA8" w:rsidP="00190C30">
            <w:pPr>
              <w:suppressAutoHyphens/>
              <w:jc w:val="center"/>
              <w:rPr>
                <w:b/>
                <w:sz w:val="20"/>
                <w:szCs w:val="20"/>
              </w:rPr>
            </w:pPr>
            <w:r w:rsidRPr="008E4270">
              <w:rPr>
                <w:b/>
                <w:sz w:val="20"/>
                <w:szCs w:val="20"/>
              </w:rPr>
              <w:t>Pojištění se sjednává na cenu</w:t>
            </w:r>
            <w:r w:rsidRPr="008E4270">
              <w:rPr>
                <w:b/>
                <w:sz w:val="20"/>
                <w:szCs w:val="20"/>
                <w:vertAlign w:val="superscript"/>
              </w:rPr>
              <w:t>*1)</w:t>
            </w:r>
          </w:p>
        </w:tc>
        <w:tc>
          <w:tcPr>
            <w:tcW w:w="1560" w:type="dxa"/>
            <w:vAlign w:val="center"/>
          </w:tcPr>
          <w:p w14:paraId="5F141104" w14:textId="77777777" w:rsidR="002C2AA8" w:rsidRPr="008E4270" w:rsidRDefault="002C2AA8" w:rsidP="00190C30">
            <w:pPr>
              <w:suppressAutoHyphens/>
              <w:jc w:val="center"/>
              <w:rPr>
                <w:b/>
                <w:sz w:val="20"/>
                <w:szCs w:val="20"/>
                <w:vertAlign w:val="superscript"/>
              </w:rPr>
            </w:pPr>
            <w:r w:rsidRPr="008E4270">
              <w:rPr>
                <w:b/>
                <w:sz w:val="20"/>
                <w:szCs w:val="20"/>
              </w:rPr>
              <w:t>MRLP</w:t>
            </w:r>
            <w:r w:rsidRPr="008E4270">
              <w:rPr>
                <w:b/>
                <w:sz w:val="20"/>
                <w:szCs w:val="20"/>
                <w:vertAlign w:val="superscript"/>
              </w:rPr>
              <w:t>3)</w:t>
            </w:r>
          </w:p>
        </w:tc>
      </w:tr>
      <w:tr w:rsidR="008E4270" w:rsidRPr="008E4270" w14:paraId="11833306" w14:textId="77777777" w:rsidTr="000E2707">
        <w:trPr>
          <w:trHeight w:val="454"/>
        </w:trPr>
        <w:tc>
          <w:tcPr>
            <w:tcW w:w="709" w:type="dxa"/>
            <w:vAlign w:val="center"/>
          </w:tcPr>
          <w:p w14:paraId="146F4E04" w14:textId="089DFB0B" w:rsidR="004F5CB5" w:rsidRPr="008E4270" w:rsidRDefault="004F5CB5" w:rsidP="00190C30">
            <w:pPr>
              <w:suppressAutoHyphens/>
              <w:jc w:val="center"/>
              <w:rPr>
                <w:sz w:val="20"/>
                <w:szCs w:val="20"/>
              </w:rPr>
            </w:pPr>
            <w:r w:rsidRPr="008E4270">
              <w:rPr>
                <w:sz w:val="20"/>
                <w:szCs w:val="20"/>
              </w:rPr>
              <w:t>1.</w:t>
            </w:r>
          </w:p>
        </w:tc>
        <w:tc>
          <w:tcPr>
            <w:tcW w:w="3402" w:type="dxa"/>
            <w:vAlign w:val="center"/>
          </w:tcPr>
          <w:p w14:paraId="0D10AC00" w14:textId="35B7B520" w:rsidR="004F5CB5" w:rsidRPr="008E4270" w:rsidRDefault="000C0562" w:rsidP="00190C30">
            <w:pPr>
              <w:suppressAutoHyphens/>
              <w:rPr>
                <w:sz w:val="20"/>
                <w:szCs w:val="20"/>
              </w:rPr>
            </w:pPr>
            <w:r w:rsidRPr="008E4270">
              <w:rPr>
                <w:sz w:val="20"/>
                <w:szCs w:val="20"/>
              </w:rPr>
              <w:t xml:space="preserve">Soubor vlastních </w:t>
            </w:r>
            <w:r w:rsidR="00732C17" w:rsidRPr="008E4270">
              <w:rPr>
                <w:sz w:val="20"/>
                <w:szCs w:val="20"/>
              </w:rPr>
              <w:t xml:space="preserve">a cizích </w:t>
            </w:r>
            <w:r w:rsidRPr="008E4270">
              <w:rPr>
                <w:sz w:val="20"/>
                <w:szCs w:val="20"/>
              </w:rPr>
              <w:t xml:space="preserve">strojů </w:t>
            </w:r>
            <w:r w:rsidR="00732C17" w:rsidRPr="008E4270">
              <w:rPr>
                <w:sz w:val="20"/>
                <w:szCs w:val="20"/>
              </w:rPr>
              <w:t>k užívání budov a dalších, např. chla</w:t>
            </w:r>
            <w:r w:rsidR="00711F3C" w:rsidRPr="008E4270">
              <w:rPr>
                <w:sz w:val="20"/>
                <w:szCs w:val="20"/>
              </w:rPr>
              <w:t>dících zařízení zimního stadionu, technologie provozu plaveckého bazénu a další</w:t>
            </w:r>
          </w:p>
        </w:tc>
        <w:tc>
          <w:tcPr>
            <w:tcW w:w="1843" w:type="dxa"/>
            <w:vAlign w:val="center"/>
          </w:tcPr>
          <w:p w14:paraId="53A3267C" w14:textId="0205BB6E" w:rsidR="004F5CB5" w:rsidRPr="008E4270" w:rsidRDefault="00711F3C" w:rsidP="00190C30">
            <w:pPr>
              <w:suppressAutoHyphens/>
              <w:jc w:val="center"/>
              <w:rPr>
                <w:sz w:val="20"/>
                <w:szCs w:val="20"/>
              </w:rPr>
            </w:pPr>
            <w:r w:rsidRPr="008E4270">
              <w:rPr>
                <w:sz w:val="20"/>
                <w:szCs w:val="20"/>
              </w:rPr>
              <w:t>---</w:t>
            </w:r>
          </w:p>
        </w:tc>
        <w:tc>
          <w:tcPr>
            <w:tcW w:w="1276" w:type="dxa"/>
            <w:vAlign w:val="center"/>
          </w:tcPr>
          <w:p w14:paraId="35083C83" w14:textId="6A1BD35A" w:rsidR="004F5CB5" w:rsidRPr="008E4270" w:rsidRDefault="000C0562" w:rsidP="00190C30">
            <w:pPr>
              <w:suppressAutoHyphens/>
              <w:jc w:val="center"/>
              <w:rPr>
                <w:sz w:val="20"/>
                <w:szCs w:val="20"/>
              </w:rPr>
            </w:pPr>
            <w:r w:rsidRPr="008E4270">
              <w:rPr>
                <w:sz w:val="20"/>
                <w:szCs w:val="20"/>
              </w:rPr>
              <w:t>5</w:t>
            </w:r>
            <w:r w:rsidR="004F5CB5" w:rsidRPr="008E4270">
              <w:rPr>
                <w:sz w:val="20"/>
                <w:szCs w:val="20"/>
              </w:rPr>
              <w:t xml:space="preserve"> 000 Kč</w:t>
            </w:r>
          </w:p>
        </w:tc>
        <w:tc>
          <w:tcPr>
            <w:tcW w:w="1275" w:type="dxa"/>
            <w:vAlign w:val="center"/>
          </w:tcPr>
          <w:p w14:paraId="180642C9" w14:textId="4C3642F2" w:rsidR="004F5CB5" w:rsidRPr="008E4270" w:rsidRDefault="000C0562" w:rsidP="00190C30">
            <w:pPr>
              <w:suppressAutoHyphens/>
              <w:jc w:val="center"/>
              <w:rPr>
                <w:sz w:val="20"/>
                <w:szCs w:val="20"/>
              </w:rPr>
            </w:pPr>
            <w:r w:rsidRPr="008E4270">
              <w:rPr>
                <w:sz w:val="20"/>
                <w:szCs w:val="20"/>
              </w:rPr>
              <w:t>*)</w:t>
            </w:r>
          </w:p>
        </w:tc>
        <w:tc>
          <w:tcPr>
            <w:tcW w:w="1560" w:type="dxa"/>
            <w:vAlign w:val="center"/>
          </w:tcPr>
          <w:p w14:paraId="433CE0A7" w14:textId="07773FC1" w:rsidR="0025567D" w:rsidRPr="008E4270" w:rsidRDefault="00D750E9" w:rsidP="00190C30">
            <w:pPr>
              <w:suppressAutoHyphens/>
              <w:jc w:val="center"/>
              <w:rPr>
                <w:sz w:val="20"/>
                <w:szCs w:val="20"/>
              </w:rPr>
            </w:pPr>
            <w:r w:rsidRPr="008E4270">
              <w:rPr>
                <w:rFonts w:cs="Arial"/>
                <w:sz w:val="20"/>
                <w:szCs w:val="20"/>
              </w:rPr>
              <w:t>10</w:t>
            </w:r>
            <w:r w:rsidR="00711F3C" w:rsidRPr="008E4270">
              <w:rPr>
                <w:rFonts w:cs="Arial"/>
                <w:sz w:val="20"/>
                <w:szCs w:val="20"/>
              </w:rPr>
              <w:t> 000 000 Kč</w:t>
            </w:r>
          </w:p>
        </w:tc>
      </w:tr>
      <w:tr w:rsidR="008E4270" w:rsidRPr="008E4270" w14:paraId="4E6719CD" w14:textId="77777777" w:rsidTr="00C50767">
        <w:trPr>
          <w:trHeight w:val="294"/>
        </w:trPr>
        <w:tc>
          <w:tcPr>
            <w:tcW w:w="10065" w:type="dxa"/>
            <w:gridSpan w:val="6"/>
          </w:tcPr>
          <w:p w14:paraId="3927FECF" w14:textId="0BA6432E" w:rsidR="00EB703D" w:rsidRPr="008E4270" w:rsidRDefault="00B83EFE" w:rsidP="00CA6902">
            <w:pPr>
              <w:rPr>
                <w:sz w:val="20"/>
                <w:szCs w:val="20"/>
              </w:rPr>
            </w:pPr>
            <w:r w:rsidRPr="008E4270">
              <w:rPr>
                <w:sz w:val="20"/>
                <w:szCs w:val="20"/>
              </w:rPr>
              <w:t xml:space="preserve">Poznámky: </w:t>
            </w:r>
          </w:p>
        </w:tc>
      </w:tr>
    </w:tbl>
    <w:p w14:paraId="42FF5A1C" w14:textId="162B5F5D" w:rsidR="00663B50" w:rsidRPr="008E4270" w:rsidRDefault="000F692E" w:rsidP="00CA6902">
      <w:pPr>
        <w:keepNext/>
        <w:rPr>
          <w:sz w:val="16"/>
          <w:szCs w:val="16"/>
        </w:rPr>
      </w:pPr>
      <w:r w:rsidRPr="008E4270">
        <w:rPr>
          <w:sz w:val="16"/>
          <w:szCs w:val="16"/>
        </w:rPr>
        <w:t xml:space="preserve">*) není-li uvedeno, sjednává se pojištění s pojistnou hodnotou uvedenou v příslušných pojistných podmínkách </w:t>
      </w:r>
    </w:p>
    <w:p w14:paraId="0A3C27D5" w14:textId="522CEF3E" w:rsidR="00454C1E" w:rsidRPr="008E4270" w:rsidRDefault="00454C1E" w:rsidP="009B79FC">
      <w:pPr>
        <w:pStyle w:val="slovn-rove2"/>
        <w:numPr>
          <w:ilvl w:val="1"/>
          <w:numId w:val="12"/>
        </w:numPr>
        <w:tabs>
          <w:tab w:val="clear" w:pos="454"/>
          <w:tab w:val="left" w:pos="426"/>
        </w:tabs>
        <w:spacing w:before="120" w:after="0"/>
        <w:ind w:left="425" w:hanging="425"/>
        <w:rPr>
          <w:szCs w:val="20"/>
        </w:rPr>
      </w:pPr>
      <w:r w:rsidRPr="008E4270">
        <w:t xml:space="preserve">Pojištění </w:t>
      </w:r>
      <w:r w:rsidR="00EE48F8" w:rsidRPr="008E4270">
        <w:t>elektronických zařízení</w:t>
      </w:r>
    </w:p>
    <w:p w14:paraId="40D0CECD" w14:textId="77777777" w:rsidR="00454C1E" w:rsidRPr="008E4270" w:rsidRDefault="00454C1E" w:rsidP="00582184">
      <w:pPr>
        <w:keepLines/>
        <w:jc w:val="both"/>
        <w:rPr>
          <w:sz w:val="20"/>
          <w:szCs w:val="20"/>
        </w:rPr>
      </w:pPr>
      <w:r w:rsidRPr="008E4270">
        <w:rPr>
          <w:sz w:val="20"/>
          <w:szCs w:val="20"/>
        </w:rPr>
        <w:t>Pojištění se sjednává pro předměty pojištění v rozsahu a na místech pojištění uvedených v následující tabulce/následujících tabulkách:</w:t>
      </w:r>
    </w:p>
    <w:p w14:paraId="259A5FB2" w14:textId="02995DE6" w:rsidR="00454C1E" w:rsidRPr="008E4270" w:rsidRDefault="00454C1E" w:rsidP="00A76164">
      <w:pPr>
        <w:spacing w:before="60"/>
        <w:rPr>
          <w:b/>
          <w:sz w:val="20"/>
          <w:szCs w:val="20"/>
        </w:rPr>
      </w:pPr>
      <w:r w:rsidRPr="008E4270">
        <w:rPr>
          <w:b/>
          <w:sz w:val="20"/>
          <w:szCs w:val="20"/>
        </w:rPr>
        <w:t>2.</w:t>
      </w:r>
      <w:r w:rsidR="00126732" w:rsidRPr="008E4270">
        <w:rPr>
          <w:b/>
          <w:sz w:val="20"/>
          <w:szCs w:val="20"/>
        </w:rPr>
        <w:t>7</w:t>
      </w:r>
      <w:r w:rsidRPr="008E4270">
        <w:rPr>
          <w:b/>
          <w:sz w:val="20"/>
          <w:szCs w:val="20"/>
        </w:rPr>
        <w:t>.1 Pojištění</w:t>
      </w:r>
      <w:r w:rsidR="00EE48F8" w:rsidRPr="008E4270">
        <w:rPr>
          <w:b/>
          <w:sz w:val="20"/>
          <w:szCs w:val="20"/>
        </w:rPr>
        <w:t xml:space="preserve"> elektronických zařízení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0"/>
        <w:gridCol w:w="1985"/>
        <w:gridCol w:w="1276"/>
        <w:gridCol w:w="1275"/>
        <w:gridCol w:w="1560"/>
      </w:tblGrid>
      <w:tr w:rsidR="008E4270" w:rsidRPr="008E4270" w14:paraId="3521F243" w14:textId="77777777" w:rsidTr="00911101">
        <w:tc>
          <w:tcPr>
            <w:tcW w:w="10065" w:type="dxa"/>
            <w:gridSpan w:val="6"/>
          </w:tcPr>
          <w:p w14:paraId="2E56059C" w14:textId="3C8C373B" w:rsidR="00454C1E" w:rsidRPr="008E4270" w:rsidRDefault="00454C1E" w:rsidP="00FC4C8E">
            <w:pPr>
              <w:rPr>
                <w:rFonts w:cs="Arial"/>
                <w:sz w:val="20"/>
                <w:szCs w:val="20"/>
              </w:rPr>
            </w:pPr>
            <w:r w:rsidRPr="008E4270">
              <w:rPr>
                <w:b/>
                <w:sz w:val="20"/>
                <w:szCs w:val="20"/>
              </w:rPr>
              <w:t>Místo pojištění:</w:t>
            </w:r>
            <w:r w:rsidR="00126732" w:rsidRPr="008E4270">
              <w:rPr>
                <w:sz w:val="20"/>
                <w:szCs w:val="20"/>
              </w:rPr>
              <w:t xml:space="preserve"> dle bodu 1.2., odst. 1., Čl. II. této pojistné smlouvy</w:t>
            </w:r>
          </w:p>
        </w:tc>
      </w:tr>
      <w:tr w:rsidR="008E4270" w:rsidRPr="008E4270" w14:paraId="2B1AE894" w14:textId="77777777" w:rsidTr="00911101">
        <w:tc>
          <w:tcPr>
            <w:tcW w:w="10065" w:type="dxa"/>
            <w:gridSpan w:val="6"/>
          </w:tcPr>
          <w:p w14:paraId="7257BDD7" w14:textId="060FD3D6" w:rsidR="00454C1E" w:rsidRPr="008E4270" w:rsidRDefault="00454C1E" w:rsidP="00254378">
            <w:pPr>
              <w:rPr>
                <w:sz w:val="20"/>
                <w:szCs w:val="20"/>
              </w:rPr>
            </w:pPr>
            <w:r w:rsidRPr="008E4270">
              <w:rPr>
                <w:b/>
                <w:sz w:val="20"/>
                <w:szCs w:val="20"/>
              </w:rPr>
              <w:t xml:space="preserve">Pojištění se řídí: </w:t>
            </w:r>
            <w:r w:rsidRPr="008E4270">
              <w:rPr>
                <w:sz w:val="20"/>
                <w:szCs w:val="20"/>
              </w:rPr>
              <w:t>VPP P-100/14, ZPP P-320/14</w:t>
            </w:r>
            <w:r w:rsidR="005E7DC2" w:rsidRPr="008E4270">
              <w:rPr>
                <w:sz w:val="20"/>
                <w:szCs w:val="20"/>
              </w:rPr>
              <w:t xml:space="preserve"> </w:t>
            </w:r>
            <w:r w:rsidRPr="008E4270">
              <w:rPr>
                <w:sz w:val="20"/>
                <w:szCs w:val="20"/>
              </w:rPr>
              <w:t>a doložk</w:t>
            </w:r>
            <w:r w:rsidR="009E501B" w:rsidRPr="008E4270">
              <w:rPr>
                <w:sz w:val="20"/>
                <w:szCs w:val="20"/>
              </w:rPr>
              <w:t xml:space="preserve">ou </w:t>
            </w:r>
            <w:r w:rsidRPr="008E4270">
              <w:rPr>
                <w:sz w:val="20"/>
                <w:szCs w:val="20"/>
              </w:rPr>
              <w:t>DOB103</w:t>
            </w:r>
          </w:p>
        </w:tc>
      </w:tr>
      <w:tr w:rsidR="008E4270" w:rsidRPr="008E4270" w14:paraId="7168DFA1" w14:textId="77777777" w:rsidTr="00D62FA4">
        <w:tc>
          <w:tcPr>
            <w:tcW w:w="709" w:type="dxa"/>
            <w:vAlign w:val="center"/>
          </w:tcPr>
          <w:p w14:paraId="425938D4" w14:textId="77777777" w:rsidR="00454C1E" w:rsidRPr="008E4270" w:rsidRDefault="00454C1E" w:rsidP="00FC4C8E">
            <w:pPr>
              <w:jc w:val="center"/>
              <w:rPr>
                <w:b/>
                <w:sz w:val="20"/>
                <w:szCs w:val="20"/>
              </w:rPr>
            </w:pPr>
            <w:r w:rsidRPr="008E4270">
              <w:rPr>
                <w:b/>
                <w:sz w:val="20"/>
                <w:szCs w:val="20"/>
              </w:rPr>
              <w:t>Poř. číslo</w:t>
            </w:r>
          </w:p>
        </w:tc>
        <w:tc>
          <w:tcPr>
            <w:tcW w:w="3260" w:type="dxa"/>
            <w:vAlign w:val="center"/>
          </w:tcPr>
          <w:p w14:paraId="73E5E64B" w14:textId="77777777" w:rsidR="00454C1E" w:rsidRPr="008E4270" w:rsidRDefault="00454C1E" w:rsidP="00FC4C8E">
            <w:pPr>
              <w:jc w:val="center"/>
              <w:rPr>
                <w:b/>
                <w:sz w:val="20"/>
                <w:szCs w:val="20"/>
              </w:rPr>
            </w:pPr>
            <w:r w:rsidRPr="008E4270">
              <w:rPr>
                <w:b/>
                <w:sz w:val="20"/>
                <w:szCs w:val="20"/>
              </w:rPr>
              <w:t>Předmět pojištění</w:t>
            </w:r>
          </w:p>
        </w:tc>
        <w:tc>
          <w:tcPr>
            <w:tcW w:w="1985" w:type="dxa"/>
            <w:vAlign w:val="center"/>
          </w:tcPr>
          <w:p w14:paraId="55C0BDCF" w14:textId="77777777" w:rsidR="00454C1E" w:rsidRPr="008E4270" w:rsidRDefault="00454C1E" w:rsidP="00FC4C8E">
            <w:pPr>
              <w:jc w:val="center"/>
              <w:rPr>
                <w:b/>
                <w:sz w:val="20"/>
                <w:szCs w:val="20"/>
              </w:rPr>
            </w:pPr>
            <w:r w:rsidRPr="008E4270">
              <w:rPr>
                <w:b/>
                <w:sz w:val="20"/>
                <w:szCs w:val="20"/>
              </w:rPr>
              <w:t>Pojistná částka</w:t>
            </w:r>
            <w:r w:rsidRPr="008E4270">
              <w:rPr>
                <w:b/>
                <w:sz w:val="20"/>
                <w:szCs w:val="20"/>
                <w:vertAlign w:val="superscript"/>
              </w:rPr>
              <w:t>10)</w:t>
            </w:r>
          </w:p>
        </w:tc>
        <w:tc>
          <w:tcPr>
            <w:tcW w:w="1276" w:type="dxa"/>
            <w:vAlign w:val="center"/>
          </w:tcPr>
          <w:p w14:paraId="662B08FE" w14:textId="77777777" w:rsidR="00D62FA4" w:rsidRPr="008E4270" w:rsidRDefault="00454C1E" w:rsidP="00FC4C8E">
            <w:pPr>
              <w:jc w:val="center"/>
              <w:rPr>
                <w:b/>
                <w:sz w:val="20"/>
                <w:szCs w:val="20"/>
              </w:rPr>
            </w:pPr>
            <w:r w:rsidRPr="008E4270">
              <w:rPr>
                <w:b/>
                <w:sz w:val="20"/>
                <w:szCs w:val="20"/>
              </w:rPr>
              <w:t>Spoluúčast</w:t>
            </w:r>
          </w:p>
          <w:p w14:paraId="5E3EA40F" w14:textId="2BDA0628" w:rsidR="00454C1E" w:rsidRPr="008E4270" w:rsidRDefault="00454C1E" w:rsidP="00FC4C8E">
            <w:pPr>
              <w:jc w:val="center"/>
              <w:rPr>
                <w:b/>
                <w:sz w:val="20"/>
                <w:szCs w:val="20"/>
              </w:rPr>
            </w:pPr>
            <w:r w:rsidRPr="008E4270">
              <w:rPr>
                <w:b/>
                <w:sz w:val="20"/>
                <w:szCs w:val="20"/>
                <w:vertAlign w:val="superscript"/>
              </w:rPr>
              <w:t>5)</w:t>
            </w:r>
          </w:p>
        </w:tc>
        <w:tc>
          <w:tcPr>
            <w:tcW w:w="1275" w:type="dxa"/>
            <w:vAlign w:val="center"/>
          </w:tcPr>
          <w:p w14:paraId="2428C8F0" w14:textId="77777777" w:rsidR="00454C1E" w:rsidRPr="008E4270" w:rsidRDefault="00454C1E" w:rsidP="00FC4C8E">
            <w:pPr>
              <w:jc w:val="center"/>
              <w:rPr>
                <w:b/>
                <w:sz w:val="20"/>
                <w:szCs w:val="20"/>
              </w:rPr>
            </w:pPr>
            <w:r w:rsidRPr="008E4270">
              <w:rPr>
                <w:b/>
                <w:sz w:val="20"/>
                <w:szCs w:val="20"/>
              </w:rPr>
              <w:t>Pojištění se sjednává na cenu</w:t>
            </w:r>
            <w:r w:rsidRPr="008E4270">
              <w:rPr>
                <w:b/>
                <w:sz w:val="20"/>
                <w:szCs w:val="20"/>
                <w:vertAlign w:val="superscript"/>
              </w:rPr>
              <w:t>*1)</w:t>
            </w:r>
          </w:p>
        </w:tc>
        <w:tc>
          <w:tcPr>
            <w:tcW w:w="1560" w:type="dxa"/>
            <w:vAlign w:val="center"/>
          </w:tcPr>
          <w:p w14:paraId="4BB171D5" w14:textId="77777777" w:rsidR="00454C1E" w:rsidRPr="008E4270" w:rsidRDefault="00454C1E" w:rsidP="00FC4C8E">
            <w:pPr>
              <w:jc w:val="center"/>
              <w:rPr>
                <w:b/>
                <w:sz w:val="20"/>
                <w:szCs w:val="20"/>
                <w:vertAlign w:val="superscript"/>
              </w:rPr>
            </w:pPr>
            <w:r w:rsidRPr="008E4270">
              <w:rPr>
                <w:b/>
                <w:sz w:val="20"/>
                <w:szCs w:val="20"/>
              </w:rPr>
              <w:t>MRLP</w:t>
            </w:r>
            <w:r w:rsidRPr="008E4270">
              <w:rPr>
                <w:b/>
                <w:sz w:val="20"/>
                <w:szCs w:val="20"/>
                <w:vertAlign w:val="superscript"/>
              </w:rPr>
              <w:t>3)</w:t>
            </w:r>
          </w:p>
        </w:tc>
      </w:tr>
      <w:tr w:rsidR="008E4270" w:rsidRPr="008E4270" w14:paraId="58C4E024" w14:textId="77777777" w:rsidTr="00D62FA4">
        <w:trPr>
          <w:trHeight w:val="524"/>
        </w:trPr>
        <w:tc>
          <w:tcPr>
            <w:tcW w:w="709" w:type="dxa"/>
            <w:vAlign w:val="center"/>
          </w:tcPr>
          <w:p w14:paraId="5F5808DD" w14:textId="77777777" w:rsidR="00EB703D" w:rsidRPr="008E4270" w:rsidRDefault="00EB703D" w:rsidP="00EB703D">
            <w:pPr>
              <w:jc w:val="center"/>
              <w:rPr>
                <w:sz w:val="20"/>
                <w:szCs w:val="20"/>
              </w:rPr>
            </w:pPr>
            <w:r w:rsidRPr="008E4270">
              <w:rPr>
                <w:sz w:val="20"/>
                <w:szCs w:val="20"/>
              </w:rPr>
              <w:t>1.</w:t>
            </w:r>
          </w:p>
        </w:tc>
        <w:tc>
          <w:tcPr>
            <w:tcW w:w="3260" w:type="dxa"/>
            <w:vAlign w:val="center"/>
          </w:tcPr>
          <w:p w14:paraId="4F58FD58" w14:textId="78662BDE" w:rsidR="00EB703D" w:rsidRPr="008E4270" w:rsidRDefault="00EB703D" w:rsidP="00417AAC">
            <w:pPr>
              <w:rPr>
                <w:sz w:val="20"/>
                <w:szCs w:val="20"/>
              </w:rPr>
            </w:pPr>
            <w:r w:rsidRPr="008E4270">
              <w:rPr>
                <w:rFonts w:cs="Arial"/>
                <w:bCs/>
                <w:snapToGrid w:val="0"/>
                <w:spacing w:val="-2"/>
                <w:sz w:val="20"/>
                <w:szCs w:val="20"/>
              </w:rPr>
              <w:t xml:space="preserve">Soubor vlastních </w:t>
            </w:r>
            <w:r w:rsidR="00126732" w:rsidRPr="008E4270">
              <w:rPr>
                <w:rFonts w:cs="Arial"/>
                <w:bCs/>
                <w:snapToGrid w:val="0"/>
                <w:spacing w:val="-2"/>
                <w:sz w:val="20"/>
                <w:szCs w:val="20"/>
              </w:rPr>
              <w:t>a cizích</w:t>
            </w:r>
            <w:r w:rsidR="00417AAC" w:rsidRPr="008E4270">
              <w:rPr>
                <w:rFonts w:cs="Arial"/>
                <w:bCs/>
                <w:snapToGrid w:val="0"/>
                <w:spacing w:val="-2"/>
                <w:sz w:val="20"/>
                <w:szCs w:val="20"/>
              </w:rPr>
              <w:t xml:space="preserve"> zařízení </w:t>
            </w:r>
          </w:p>
        </w:tc>
        <w:tc>
          <w:tcPr>
            <w:tcW w:w="1985" w:type="dxa"/>
            <w:vAlign w:val="center"/>
          </w:tcPr>
          <w:p w14:paraId="23FC0ADD" w14:textId="716EF75F" w:rsidR="00EB703D" w:rsidRPr="008E4270" w:rsidRDefault="00126732" w:rsidP="00EB703D">
            <w:pPr>
              <w:jc w:val="center"/>
              <w:rPr>
                <w:sz w:val="20"/>
                <w:szCs w:val="20"/>
              </w:rPr>
            </w:pPr>
            <w:r w:rsidRPr="008E4270">
              <w:rPr>
                <w:rFonts w:cs="Arial"/>
                <w:sz w:val="20"/>
                <w:szCs w:val="20"/>
              </w:rPr>
              <w:t>---</w:t>
            </w:r>
          </w:p>
        </w:tc>
        <w:tc>
          <w:tcPr>
            <w:tcW w:w="1276" w:type="dxa"/>
            <w:vAlign w:val="center"/>
          </w:tcPr>
          <w:p w14:paraId="1739775C" w14:textId="276F8DC9" w:rsidR="00EB703D" w:rsidRPr="008E4270" w:rsidRDefault="00EB703D" w:rsidP="00EB703D">
            <w:pPr>
              <w:jc w:val="center"/>
              <w:rPr>
                <w:sz w:val="20"/>
                <w:szCs w:val="20"/>
              </w:rPr>
            </w:pPr>
            <w:r w:rsidRPr="008E4270">
              <w:rPr>
                <w:sz w:val="20"/>
                <w:szCs w:val="20"/>
              </w:rPr>
              <w:t>5 000 Kč</w:t>
            </w:r>
          </w:p>
        </w:tc>
        <w:tc>
          <w:tcPr>
            <w:tcW w:w="1275" w:type="dxa"/>
            <w:vAlign w:val="center"/>
          </w:tcPr>
          <w:p w14:paraId="12A4CB4F" w14:textId="5248A143" w:rsidR="00EB703D" w:rsidRPr="008E4270" w:rsidRDefault="00EB703D" w:rsidP="00EB703D">
            <w:pPr>
              <w:jc w:val="center"/>
              <w:rPr>
                <w:sz w:val="20"/>
                <w:szCs w:val="20"/>
              </w:rPr>
            </w:pPr>
            <w:r w:rsidRPr="008E4270">
              <w:rPr>
                <w:sz w:val="20"/>
                <w:szCs w:val="20"/>
              </w:rPr>
              <w:t>*)</w:t>
            </w:r>
          </w:p>
        </w:tc>
        <w:tc>
          <w:tcPr>
            <w:tcW w:w="1560" w:type="dxa"/>
            <w:vAlign w:val="center"/>
          </w:tcPr>
          <w:p w14:paraId="571842BB" w14:textId="341DD970" w:rsidR="00EB703D" w:rsidRPr="008E4270" w:rsidRDefault="00126732" w:rsidP="00EB703D">
            <w:pPr>
              <w:jc w:val="center"/>
              <w:rPr>
                <w:sz w:val="20"/>
                <w:szCs w:val="20"/>
              </w:rPr>
            </w:pPr>
            <w:r w:rsidRPr="008E4270">
              <w:rPr>
                <w:rFonts w:cs="Arial"/>
                <w:sz w:val="20"/>
                <w:szCs w:val="20"/>
              </w:rPr>
              <w:t>10 000 000 Kč</w:t>
            </w:r>
          </w:p>
        </w:tc>
      </w:tr>
      <w:tr w:rsidR="008E4270" w:rsidRPr="008E4270" w14:paraId="60DB1C20" w14:textId="77777777" w:rsidTr="00911101">
        <w:tc>
          <w:tcPr>
            <w:tcW w:w="10065" w:type="dxa"/>
            <w:gridSpan w:val="6"/>
          </w:tcPr>
          <w:p w14:paraId="36F6B5E8" w14:textId="77777777" w:rsidR="00977A9A" w:rsidRPr="008E4270" w:rsidRDefault="00977A9A" w:rsidP="00977A9A">
            <w:pPr>
              <w:rPr>
                <w:sz w:val="20"/>
                <w:szCs w:val="20"/>
              </w:rPr>
            </w:pPr>
            <w:r w:rsidRPr="008E4270">
              <w:rPr>
                <w:sz w:val="20"/>
                <w:szCs w:val="20"/>
              </w:rPr>
              <w:t xml:space="preserve">Poznámky: </w:t>
            </w:r>
          </w:p>
          <w:p w14:paraId="31AD5229" w14:textId="673708E9" w:rsidR="00977A9A" w:rsidRPr="008E4270" w:rsidRDefault="00977A9A" w:rsidP="00977A9A">
            <w:pPr>
              <w:jc w:val="both"/>
              <w:rPr>
                <w:sz w:val="20"/>
                <w:szCs w:val="20"/>
              </w:rPr>
            </w:pPr>
            <w:r w:rsidRPr="008E4270">
              <w:rPr>
                <w:sz w:val="20"/>
                <w:szCs w:val="20"/>
              </w:rPr>
              <w:t>Ujednává se, že se ustanovení čl. 3 odst. 2) písm. h) ZPP P-320/14 a čl. 3 odst. 3) ZPP P-150/14 ruší a nově zní:</w:t>
            </w:r>
          </w:p>
          <w:p w14:paraId="63B99021" w14:textId="431BBDA7" w:rsidR="00EB703D" w:rsidRPr="008E4270" w:rsidRDefault="00977A9A" w:rsidP="00126732">
            <w:pPr>
              <w:jc w:val="both"/>
              <w:rPr>
                <w:sz w:val="20"/>
                <w:szCs w:val="20"/>
              </w:rPr>
            </w:pPr>
            <w:r w:rsidRPr="008E4270">
              <w:rPr>
                <w:sz w:val="20"/>
                <w:szCs w:val="20"/>
              </w:rPr>
              <w:t>„Z pojištění nevzniká právo na plnění pojistitele za škody vzniklé na pojištěném zařízení během jeho přepravy jako nákladu.“</w:t>
            </w:r>
          </w:p>
        </w:tc>
      </w:tr>
    </w:tbl>
    <w:p w14:paraId="5EDB4DBF" w14:textId="3685DD8A" w:rsidR="00BA1F29" w:rsidRPr="008E4270" w:rsidRDefault="00454C1E" w:rsidP="00433B3A">
      <w:pPr>
        <w:rPr>
          <w:sz w:val="16"/>
          <w:szCs w:val="16"/>
        </w:rPr>
      </w:pPr>
      <w:r w:rsidRPr="008E4270">
        <w:rPr>
          <w:sz w:val="16"/>
          <w:szCs w:val="16"/>
        </w:rPr>
        <w:t xml:space="preserve">*) není-li uvedeno, sjednává se pojištění s pojistnou hodnotou uvedenou v příslušných pojistných podmínkách </w:t>
      </w:r>
    </w:p>
    <w:p w14:paraId="769C90E1" w14:textId="77777777" w:rsidR="00BE4DA5" w:rsidRPr="008E4270" w:rsidRDefault="00BE4DA5" w:rsidP="00433B3A">
      <w:pPr>
        <w:rPr>
          <w:sz w:val="16"/>
          <w:szCs w:val="16"/>
        </w:rPr>
      </w:pPr>
    </w:p>
    <w:p w14:paraId="77CB3F58" w14:textId="77777777" w:rsidR="00BE4DA5" w:rsidRPr="008E4270" w:rsidRDefault="00BE4DA5" w:rsidP="00433B3A">
      <w:pPr>
        <w:rPr>
          <w:sz w:val="16"/>
          <w:szCs w:val="16"/>
        </w:rPr>
      </w:pPr>
    </w:p>
    <w:p w14:paraId="71952A56" w14:textId="77777777" w:rsidR="00BE4DA5" w:rsidRPr="008E4270" w:rsidRDefault="00BE4DA5" w:rsidP="00433B3A">
      <w:pPr>
        <w:rPr>
          <w:sz w:val="16"/>
          <w:szCs w:val="16"/>
        </w:rPr>
      </w:pPr>
    </w:p>
    <w:p w14:paraId="6C1E5D33" w14:textId="77777777" w:rsidR="00BE4DA5" w:rsidRPr="008E4270" w:rsidRDefault="00BE4DA5" w:rsidP="00433B3A">
      <w:pPr>
        <w:rPr>
          <w:sz w:val="16"/>
          <w:szCs w:val="16"/>
        </w:rPr>
      </w:pPr>
    </w:p>
    <w:p w14:paraId="327533B6" w14:textId="77777777" w:rsidR="00BE4DA5" w:rsidRPr="008E4270" w:rsidRDefault="00BE4DA5" w:rsidP="00433B3A">
      <w:pPr>
        <w:rPr>
          <w:sz w:val="16"/>
          <w:szCs w:val="16"/>
        </w:rPr>
      </w:pPr>
    </w:p>
    <w:p w14:paraId="1E9ABBB9" w14:textId="77777777" w:rsidR="00BE4DA5" w:rsidRPr="008E4270" w:rsidRDefault="00BE4DA5" w:rsidP="00433B3A">
      <w:pPr>
        <w:rPr>
          <w:sz w:val="16"/>
          <w:szCs w:val="16"/>
        </w:rPr>
      </w:pPr>
    </w:p>
    <w:p w14:paraId="426FAE7A" w14:textId="77777777" w:rsidR="00BE4DA5" w:rsidRPr="008E4270" w:rsidRDefault="00BE4DA5" w:rsidP="00433B3A">
      <w:pPr>
        <w:rPr>
          <w:sz w:val="16"/>
          <w:szCs w:val="16"/>
        </w:rPr>
      </w:pPr>
    </w:p>
    <w:p w14:paraId="04CD4079" w14:textId="77777777" w:rsidR="00BE4DA5" w:rsidRPr="008E4270" w:rsidRDefault="00BE4DA5" w:rsidP="00433B3A">
      <w:pPr>
        <w:rPr>
          <w:sz w:val="16"/>
          <w:szCs w:val="16"/>
        </w:rPr>
      </w:pPr>
    </w:p>
    <w:p w14:paraId="17F12281" w14:textId="77777777" w:rsidR="00BE4DA5" w:rsidRPr="008E4270" w:rsidRDefault="00BE4DA5" w:rsidP="00433B3A">
      <w:pPr>
        <w:rPr>
          <w:sz w:val="16"/>
          <w:szCs w:val="16"/>
        </w:rPr>
      </w:pPr>
    </w:p>
    <w:p w14:paraId="6AF52BC3" w14:textId="77777777" w:rsidR="00BE4DA5" w:rsidRPr="008E4270" w:rsidRDefault="00BE4DA5" w:rsidP="00433B3A">
      <w:pPr>
        <w:rPr>
          <w:sz w:val="16"/>
          <w:szCs w:val="16"/>
        </w:rPr>
      </w:pPr>
    </w:p>
    <w:p w14:paraId="4B41B089" w14:textId="77777777" w:rsidR="00BE4DA5" w:rsidRPr="008E4270" w:rsidRDefault="00BE4DA5" w:rsidP="00433B3A">
      <w:pPr>
        <w:rPr>
          <w:sz w:val="16"/>
          <w:szCs w:val="16"/>
        </w:rPr>
      </w:pPr>
    </w:p>
    <w:p w14:paraId="53389C4C" w14:textId="77777777" w:rsidR="00BE4DA5" w:rsidRPr="008E4270" w:rsidRDefault="00BE4DA5" w:rsidP="00433B3A">
      <w:pPr>
        <w:rPr>
          <w:sz w:val="16"/>
          <w:szCs w:val="16"/>
        </w:rPr>
      </w:pPr>
    </w:p>
    <w:p w14:paraId="11E39A9A" w14:textId="77777777" w:rsidR="00BE4DA5" w:rsidRPr="008E4270" w:rsidRDefault="00BE4DA5" w:rsidP="00433B3A">
      <w:pPr>
        <w:rPr>
          <w:sz w:val="16"/>
          <w:szCs w:val="16"/>
        </w:rPr>
      </w:pPr>
    </w:p>
    <w:p w14:paraId="45CF706C" w14:textId="77777777" w:rsidR="00BC79E2" w:rsidRPr="008E4270" w:rsidRDefault="00BC79E2" w:rsidP="009B79FC">
      <w:pPr>
        <w:pStyle w:val="slovn-rove2"/>
        <w:widowControl w:val="0"/>
        <w:numPr>
          <w:ilvl w:val="1"/>
          <w:numId w:val="12"/>
        </w:numPr>
        <w:tabs>
          <w:tab w:val="clear" w:pos="454"/>
          <w:tab w:val="left" w:pos="426"/>
        </w:tabs>
        <w:spacing w:before="120" w:after="0"/>
        <w:ind w:left="425" w:hanging="425"/>
        <w:rPr>
          <w:szCs w:val="20"/>
        </w:rPr>
      </w:pPr>
      <w:r w:rsidRPr="008E4270">
        <w:lastRenderedPageBreak/>
        <w:t>Pojištění odpovědnosti za újmu</w:t>
      </w:r>
    </w:p>
    <w:p w14:paraId="1DA70900" w14:textId="26203BBD" w:rsidR="00DF7B4C" w:rsidRPr="008E4270" w:rsidRDefault="00BC79E2" w:rsidP="00E510EC">
      <w:pPr>
        <w:jc w:val="both"/>
        <w:rPr>
          <w:sz w:val="20"/>
          <w:szCs w:val="20"/>
        </w:rPr>
      </w:pPr>
      <w:r w:rsidRPr="008E4270">
        <w:rPr>
          <w:sz w:val="20"/>
          <w:szCs w:val="20"/>
        </w:rPr>
        <w:t xml:space="preserve">Pojištění se sjednává v rozsahu a </w:t>
      </w:r>
      <w:r w:rsidR="00907609" w:rsidRPr="008E4270">
        <w:rPr>
          <w:sz w:val="20"/>
          <w:szCs w:val="20"/>
        </w:rPr>
        <w:t>za podmínek</w:t>
      </w:r>
      <w:r w:rsidRPr="008E4270">
        <w:rPr>
          <w:sz w:val="20"/>
          <w:szCs w:val="20"/>
        </w:rPr>
        <w:t xml:space="preserve"> uvedených v následující tabulce/následujících tabulkách:</w:t>
      </w:r>
    </w:p>
    <w:p w14:paraId="185F56AA" w14:textId="2440B0AC" w:rsidR="007A5ADC" w:rsidRDefault="000F692E" w:rsidP="00DA0448">
      <w:pPr>
        <w:keepNext/>
        <w:spacing w:before="60"/>
        <w:rPr>
          <w:b/>
          <w:sz w:val="20"/>
          <w:szCs w:val="20"/>
        </w:rPr>
      </w:pPr>
      <w:r w:rsidRPr="008E4270">
        <w:rPr>
          <w:b/>
          <w:sz w:val="20"/>
          <w:szCs w:val="20"/>
        </w:rPr>
        <w:t>2.</w:t>
      </w:r>
      <w:r w:rsidR="006E4681" w:rsidRPr="008E4270">
        <w:rPr>
          <w:b/>
          <w:sz w:val="20"/>
          <w:szCs w:val="20"/>
        </w:rPr>
        <w:t>8</w:t>
      </w:r>
      <w:r w:rsidRPr="008E4270">
        <w:rPr>
          <w:b/>
          <w:sz w:val="20"/>
          <w:szCs w:val="20"/>
        </w:rPr>
        <w:t>.1 Pojištění odpovědnosti za újmu</w:t>
      </w:r>
    </w:p>
    <w:p w14:paraId="7389DC05" w14:textId="5143D782" w:rsidR="003C332E" w:rsidRPr="00CC6B98" w:rsidRDefault="00CC6B98" w:rsidP="00DA0448">
      <w:pPr>
        <w:keepNext/>
        <w:spacing w:before="60"/>
        <w:rPr>
          <w:b/>
          <w:sz w:val="20"/>
          <w:szCs w:val="20"/>
        </w:rPr>
      </w:pPr>
      <w:r w:rsidRPr="00CC6B98">
        <w:rPr>
          <w:b/>
          <w:bCs/>
          <w:sz w:val="20"/>
          <w:szCs w:val="20"/>
        </w:rPr>
        <w:t xml:space="preserve">Pojištění se řídí: </w:t>
      </w:r>
      <w:r w:rsidRPr="00CC6B98">
        <w:rPr>
          <w:sz w:val="20"/>
          <w:szCs w:val="20"/>
        </w:rPr>
        <w:t>VPP P-100/14, ZPP P</w:t>
      </w:r>
      <w:r w:rsidRPr="00CC6B98">
        <w:rPr>
          <w:sz w:val="20"/>
          <w:szCs w:val="20"/>
        </w:rPr>
        <w:noBreakHyphen/>
        <w:t>6000/21 a v tabulkách níže uvedenými doložkami</w:t>
      </w:r>
    </w:p>
    <w:tbl>
      <w:tblPr>
        <w:tblW w:w="4895" w:type="pct"/>
        <w:tblInd w:w="108" w:type="dxa"/>
        <w:tblLayout w:type="fixed"/>
        <w:tblLook w:val="04A0" w:firstRow="1" w:lastRow="0" w:firstColumn="1" w:lastColumn="0" w:noHBand="0" w:noVBand="1"/>
      </w:tblPr>
      <w:tblGrid>
        <w:gridCol w:w="634"/>
        <w:gridCol w:w="2059"/>
        <w:gridCol w:w="1560"/>
        <w:gridCol w:w="1558"/>
        <w:gridCol w:w="1274"/>
        <w:gridCol w:w="1560"/>
        <w:gridCol w:w="1419"/>
      </w:tblGrid>
      <w:tr w:rsidR="008E4270" w14:paraId="51D83005" w14:textId="77777777">
        <w:tc>
          <w:tcPr>
            <w:tcW w:w="5000" w:type="pct"/>
            <w:gridSpan w:val="7"/>
            <w:tcBorders>
              <w:top w:val="single" w:sz="12" w:space="0" w:color="auto"/>
              <w:left w:val="single" w:sz="12" w:space="0" w:color="auto"/>
              <w:bottom w:val="single" w:sz="12" w:space="0" w:color="auto"/>
              <w:right w:val="single" w:sz="12" w:space="0" w:color="auto"/>
            </w:tcBorders>
            <w:shd w:val="clear" w:color="auto" w:fill="auto"/>
          </w:tcPr>
          <w:p w14:paraId="1C8C6A56" w14:textId="3B1AC35C" w:rsidR="007A5ADC" w:rsidRDefault="007A5ADC" w:rsidP="00D060A6">
            <w:pPr>
              <w:rPr>
                <w:b/>
                <w:bCs/>
                <w:sz w:val="20"/>
                <w:szCs w:val="20"/>
              </w:rPr>
            </w:pPr>
            <w:r>
              <w:rPr>
                <w:b/>
                <w:bCs/>
                <w:sz w:val="20"/>
                <w:szCs w:val="20"/>
              </w:rPr>
              <w:t>Tabulka k Oddílu I. Části 2. ZPP P-6000/21</w:t>
            </w:r>
          </w:p>
        </w:tc>
      </w:tr>
      <w:tr w:rsidR="00E34C61" w14:paraId="153D0E60" w14:textId="77777777">
        <w:tc>
          <w:tcPr>
            <w:tcW w:w="315" w:type="pct"/>
            <w:tcBorders>
              <w:top w:val="single" w:sz="12" w:space="0" w:color="auto"/>
              <w:left w:val="single" w:sz="12" w:space="0" w:color="auto"/>
              <w:bottom w:val="single" w:sz="4" w:space="0" w:color="auto"/>
              <w:right w:val="single" w:sz="4" w:space="0" w:color="auto"/>
            </w:tcBorders>
            <w:shd w:val="clear" w:color="auto" w:fill="auto"/>
            <w:vAlign w:val="center"/>
          </w:tcPr>
          <w:p w14:paraId="6DB7144B" w14:textId="77777777" w:rsidR="007A5ADC" w:rsidRDefault="007A5ADC">
            <w:pPr>
              <w:ind w:right="-113"/>
              <w:rPr>
                <w:b/>
                <w:bCs/>
                <w:sz w:val="20"/>
                <w:szCs w:val="20"/>
              </w:rPr>
            </w:pPr>
            <w:r>
              <w:rPr>
                <w:b/>
                <w:bCs/>
                <w:sz w:val="20"/>
                <w:szCs w:val="20"/>
              </w:rPr>
              <w:t>Poř.</w:t>
            </w:r>
          </w:p>
          <w:p w14:paraId="23927157" w14:textId="77777777" w:rsidR="007A5ADC" w:rsidRDefault="007A5ADC" w:rsidP="00D060A6">
            <w:pPr>
              <w:rPr>
                <w:sz w:val="20"/>
                <w:szCs w:val="20"/>
              </w:rPr>
            </w:pPr>
            <w:r>
              <w:rPr>
                <w:b/>
                <w:bCs/>
                <w:sz w:val="20"/>
                <w:szCs w:val="20"/>
              </w:rPr>
              <w:t>číslo</w:t>
            </w:r>
          </w:p>
        </w:tc>
        <w:tc>
          <w:tcPr>
            <w:tcW w:w="1023" w:type="pct"/>
            <w:tcBorders>
              <w:top w:val="single" w:sz="12" w:space="0" w:color="auto"/>
              <w:left w:val="single" w:sz="4" w:space="0" w:color="auto"/>
              <w:bottom w:val="single" w:sz="4" w:space="0" w:color="auto"/>
              <w:right w:val="single" w:sz="4" w:space="0" w:color="auto"/>
            </w:tcBorders>
            <w:shd w:val="clear" w:color="auto" w:fill="auto"/>
            <w:vAlign w:val="center"/>
          </w:tcPr>
          <w:p w14:paraId="4412E641" w14:textId="77777777" w:rsidR="007A5ADC" w:rsidRDefault="007A5ADC">
            <w:pPr>
              <w:jc w:val="center"/>
              <w:rPr>
                <w:sz w:val="20"/>
                <w:szCs w:val="20"/>
              </w:rPr>
            </w:pPr>
            <w:r>
              <w:rPr>
                <w:b/>
                <w:bCs/>
                <w:sz w:val="20"/>
                <w:szCs w:val="20"/>
              </w:rPr>
              <w:t>Rozsah pojištění</w:t>
            </w:r>
          </w:p>
        </w:tc>
        <w:tc>
          <w:tcPr>
            <w:tcW w:w="775" w:type="pct"/>
            <w:tcBorders>
              <w:top w:val="single" w:sz="12" w:space="0" w:color="auto"/>
              <w:left w:val="single" w:sz="4" w:space="0" w:color="auto"/>
              <w:bottom w:val="single" w:sz="4" w:space="0" w:color="auto"/>
              <w:right w:val="single" w:sz="4" w:space="0" w:color="auto"/>
            </w:tcBorders>
            <w:shd w:val="clear" w:color="auto" w:fill="auto"/>
            <w:vAlign w:val="center"/>
          </w:tcPr>
          <w:p w14:paraId="241828AD" w14:textId="77777777" w:rsidR="007A5ADC" w:rsidRDefault="007A5ADC">
            <w:pPr>
              <w:jc w:val="center"/>
              <w:rPr>
                <w:b/>
                <w:bCs/>
                <w:sz w:val="20"/>
                <w:szCs w:val="20"/>
              </w:rPr>
            </w:pPr>
            <w:r>
              <w:rPr>
                <w:b/>
                <w:bCs/>
                <w:sz w:val="20"/>
                <w:szCs w:val="20"/>
              </w:rPr>
              <w:t>Limit pojistného plnění</w:t>
            </w:r>
          </w:p>
        </w:tc>
        <w:tc>
          <w:tcPr>
            <w:tcW w:w="774" w:type="pct"/>
            <w:tcBorders>
              <w:top w:val="single" w:sz="12" w:space="0" w:color="auto"/>
              <w:left w:val="single" w:sz="4" w:space="0" w:color="auto"/>
              <w:bottom w:val="single" w:sz="4" w:space="0" w:color="auto"/>
              <w:right w:val="single" w:sz="4" w:space="0" w:color="auto"/>
            </w:tcBorders>
            <w:shd w:val="clear" w:color="auto" w:fill="auto"/>
            <w:vAlign w:val="center"/>
          </w:tcPr>
          <w:p w14:paraId="4DDD3F40" w14:textId="361E60EE" w:rsidR="007A5ADC" w:rsidRDefault="007A5ADC">
            <w:pPr>
              <w:jc w:val="center"/>
              <w:rPr>
                <w:sz w:val="20"/>
                <w:szCs w:val="20"/>
              </w:rPr>
            </w:pPr>
            <w:r>
              <w:rPr>
                <w:b/>
                <w:bCs/>
                <w:sz w:val="20"/>
                <w:szCs w:val="20"/>
              </w:rPr>
              <w:t>Sublimit v rámci limitu pojistného plnění sjednaného pro poř. číslo 1.</w:t>
            </w:r>
          </w:p>
        </w:tc>
        <w:tc>
          <w:tcPr>
            <w:tcW w:w="633" w:type="pct"/>
            <w:tcBorders>
              <w:top w:val="single" w:sz="12" w:space="0" w:color="auto"/>
              <w:left w:val="single" w:sz="4" w:space="0" w:color="auto"/>
              <w:bottom w:val="single" w:sz="4" w:space="0" w:color="auto"/>
              <w:right w:val="single" w:sz="4" w:space="0" w:color="auto"/>
            </w:tcBorders>
            <w:shd w:val="clear" w:color="auto" w:fill="auto"/>
            <w:vAlign w:val="center"/>
          </w:tcPr>
          <w:p w14:paraId="3BD06240" w14:textId="77777777" w:rsidR="007A5ADC" w:rsidRDefault="007A5ADC">
            <w:pPr>
              <w:jc w:val="center"/>
              <w:rPr>
                <w:sz w:val="20"/>
                <w:szCs w:val="20"/>
              </w:rPr>
            </w:pPr>
            <w:r>
              <w:rPr>
                <w:b/>
                <w:bCs/>
                <w:sz w:val="20"/>
                <w:szCs w:val="20"/>
              </w:rPr>
              <w:t>Spoluúčast</w:t>
            </w:r>
          </w:p>
        </w:tc>
        <w:tc>
          <w:tcPr>
            <w:tcW w:w="775" w:type="pct"/>
            <w:tcBorders>
              <w:top w:val="single" w:sz="12" w:space="0" w:color="auto"/>
              <w:left w:val="single" w:sz="4" w:space="0" w:color="auto"/>
              <w:bottom w:val="single" w:sz="4" w:space="0" w:color="auto"/>
              <w:right w:val="single" w:sz="4" w:space="0" w:color="auto"/>
            </w:tcBorders>
            <w:shd w:val="clear" w:color="auto" w:fill="auto"/>
            <w:vAlign w:val="center"/>
          </w:tcPr>
          <w:p w14:paraId="44560F96" w14:textId="77777777" w:rsidR="007A5ADC" w:rsidRDefault="007A5ADC">
            <w:pPr>
              <w:jc w:val="center"/>
              <w:rPr>
                <w:sz w:val="20"/>
                <w:szCs w:val="20"/>
              </w:rPr>
            </w:pPr>
            <w:r>
              <w:rPr>
                <w:b/>
                <w:bCs/>
                <w:sz w:val="20"/>
                <w:szCs w:val="20"/>
              </w:rPr>
              <w:t>Princip pojištění</w:t>
            </w:r>
          </w:p>
        </w:tc>
        <w:tc>
          <w:tcPr>
            <w:tcW w:w="705" w:type="pct"/>
            <w:tcBorders>
              <w:top w:val="single" w:sz="12" w:space="0" w:color="auto"/>
              <w:left w:val="single" w:sz="4" w:space="0" w:color="auto"/>
              <w:bottom w:val="single" w:sz="4" w:space="0" w:color="auto"/>
              <w:right w:val="single" w:sz="12" w:space="0" w:color="auto"/>
            </w:tcBorders>
            <w:shd w:val="clear" w:color="auto" w:fill="auto"/>
            <w:vAlign w:val="center"/>
          </w:tcPr>
          <w:p w14:paraId="34A0BB45" w14:textId="77777777" w:rsidR="007A5ADC" w:rsidRDefault="007A5ADC">
            <w:pPr>
              <w:jc w:val="center"/>
              <w:rPr>
                <w:sz w:val="20"/>
                <w:szCs w:val="20"/>
              </w:rPr>
            </w:pPr>
            <w:r>
              <w:rPr>
                <w:b/>
                <w:bCs/>
                <w:sz w:val="20"/>
                <w:szCs w:val="20"/>
              </w:rPr>
              <w:t>Územní platnost pojištění</w:t>
            </w:r>
          </w:p>
        </w:tc>
      </w:tr>
      <w:tr w:rsidR="00E34C61" w14:paraId="472588A3" w14:textId="77777777">
        <w:tc>
          <w:tcPr>
            <w:tcW w:w="315" w:type="pct"/>
            <w:tcBorders>
              <w:top w:val="single" w:sz="4" w:space="0" w:color="auto"/>
              <w:left w:val="single" w:sz="12" w:space="0" w:color="auto"/>
              <w:bottom w:val="single" w:sz="4" w:space="0" w:color="auto"/>
              <w:right w:val="single" w:sz="4" w:space="0" w:color="auto"/>
            </w:tcBorders>
            <w:shd w:val="clear" w:color="auto" w:fill="auto"/>
          </w:tcPr>
          <w:p w14:paraId="625D3737" w14:textId="4F064815" w:rsidR="007A5ADC" w:rsidRDefault="007A5ADC" w:rsidP="00D060A6">
            <w:pPr>
              <w:rPr>
                <w:b/>
                <w:bCs/>
                <w:sz w:val="20"/>
                <w:szCs w:val="20"/>
              </w:rPr>
            </w:pPr>
            <w:r>
              <w:rPr>
                <w:b/>
                <w:bCs/>
                <w:sz w:val="20"/>
                <w:szCs w:val="20"/>
              </w:rPr>
              <w:t>1.</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2CAF991" w14:textId="77777777" w:rsidR="00195DBD" w:rsidRDefault="007A5ADC" w:rsidP="00D060A6">
            <w:pPr>
              <w:rPr>
                <w:b/>
                <w:bCs/>
                <w:sz w:val="20"/>
                <w:szCs w:val="20"/>
              </w:rPr>
            </w:pPr>
            <w:r>
              <w:rPr>
                <w:b/>
                <w:bCs/>
                <w:sz w:val="20"/>
                <w:szCs w:val="20"/>
              </w:rPr>
              <w:t xml:space="preserve">Oddíl I. </w:t>
            </w:r>
          </w:p>
          <w:p w14:paraId="2D1C179E" w14:textId="7930737A" w:rsidR="007A5ADC" w:rsidRDefault="007A5ADC" w:rsidP="00D060A6">
            <w:pPr>
              <w:rPr>
                <w:b/>
                <w:bCs/>
                <w:sz w:val="20"/>
                <w:szCs w:val="20"/>
              </w:rPr>
            </w:pPr>
            <w:r>
              <w:rPr>
                <w:b/>
                <w:bCs/>
                <w:sz w:val="20"/>
                <w:szCs w:val="20"/>
              </w:rPr>
              <w:t>Pojištění obecné odpovědnosti za újmu</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9C2CBB0" w14:textId="39B0F8B2" w:rsidR="007A5ADC" w:rsidRDefault="007A5ADC">
            <w:pPr>
              <w:jc w:val="center"/>
              <w:rPr>
                <w:b/>
                <w:bCs/>
                <w:sz w:val="20"/>
                <w:szCs w:val="20"/>
              </w:rPr>
            </w:pPr>
            <w:r>
              <w:rPr>
                <w:b/>
                <w:bCs/>
                <w:sz w:val="20"/>
                <w:szCs w:val="20"/>
              </w:rPr>
              <w:t>20 000 000 Kč</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310CD6C3" w14:textId="115A8179" w:rsidR="007A5ADC" w:rsidRDefault="007A5ADC">
            <w:pPr>
              <w:jc w:val="center"/>
              <w:rPr>
                <w:sz w:val="20"/>
                <w:szCs w:val="20"/>
              </w:rPr>
            </w:pPr>
            <w:r>
              <w:rPr>
                <w:sz w:val="20"/>
                <w:szCs w:val="20"/>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497B6AE" w14:textId="4B750A5E" w:rsidR="007A5ADC" w:rsidRDefault="007A5ADC">
            <w:pPr>
              <w:jc w:val="center"/>
              <w:rPr>
                <w:sz w:val="20"/>
                <w:szCs w:val="20"/>
              </w:rPr>
            </w:pPr>
            <w:r>
              <w:rPr>
                <w:sz w:val="20"/>
                <w:szCs w:val="20"/>
              </w:rPr>
              <w:t>5 000 Kč, pro školská zařízení 1 000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D422374" w14:textId="77777777" w:rsidR="00964E85" w:rsidRDefault="007A5ADC">
            <w:pPr>
              <w:jc w:val="center"/>
              <w:rPr>
                <w:rStyle w:val="PedmtyChar"/>
                <w:szCs w:val="20"/>
              </w:rPr>
            </w:pPr>
            <w:r>
              <w:rPr>
                <w:rStyle w:val="PedmtyChar"/>
                <w:szCs w:val="20"/>
              </w:rPr>
              <w:t xml:space="preserve">Princip uplatnění nároku </w:t>
            </w:r>
          </w:p>
          <w:p w14:paraId="5B4801C2" w14:textId="7C5252DF" w:rsidR="007A5ADC" w:rsidRDefault="007A5ADC">
            <w:pPr>
              <w:jc w:val="center"/>
              <w:rPr>
                <w:sz w:val="20"/>
                <w:szCs w:val="20"/>
              </w:rPr>
            </w:pPr>
            <w:r>
              <w:rPr>
                <w:rStyle w:val="PedmtyChar"/>
                <w:szCs w:val="20"/>
              </w:rPr>
              <w:t>(</w:t>
            </w:r>
            <w:proofErr w:type="spellStart"/>
            <w:r>
              <w:rPr>
                <w:rStyle w:val="PedmtyChar"/>
                <w:szCs w:val="20"/>
              </w:rPr>
              <w:t>claims</w:t>
            </w:r>
            <w:proofErr w:type="spellEnd"/>
            <w:r>
              <w:rPr>
                <w:rStyle w:val="PedmtyChar"/>
                <w:szCs w:val="20"/>
              </w:rPr>
              <w:t xml:space="preserve"> made), retroaktivní datum: 01.01.2010</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478536E" w14:textId="37435305" w:rsidR="007A5ADC" w:rsidRDefault="007A5ADC">
            <w:pPr>
              <w:jc w:val="center"/>
              <w:rPr>
                <w:sz w:val="20"/>
                <w:szCs w:val="20"/>
              </w:rPr>
            </w:pPr>
            <w:r>
              <w:rPr>
                <w:sz w:val="20"/>
                <w:szCs w:val="20"/>
              </w:rPr>
              <w:t>Česká republika</w:t>
            </w:r>
          </w:p>
        </w:tc>
      </w:tr>
      <w:tr w:rsidR="00E34C61" w14:paraId="105BC46D" w14:textId="77777777">
        <w:trPr>
          <w:trHeight w:val="647"/>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05F7C1CA" w14:textId="7EF2C384"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0CD21D6E" w14:textId="319F8459" w:rsidR="007A5ADC" w:rsidRDefault="007A5ADC" w:rsidP="00D060A6">
            <w:pPr>
              <w:rPr>
                <w:sz w:val="20"/>
                <w:szCs w:val="20"/>
              </w:rPr>
            </w:pPr>
            <w:r>
              <w:rPr>
                <w:rStyle w:val="PedmtyChar"/>
                <w:szCs w:val="20"/>
              </w:rPr>
              <w:t>Pojištění věcí převzatých a užívaných dle článku 1 odst. 2) ZPP P-6000/21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8CB2D86" w14:textId="1B657D34" w:rsidR="007A5ADC" w:rsidRDefault="007A5ADC">
            <w:pPr>
              <w:jc w:val="center"/>
              <w:rPr>
                <w:sz w:val="20"/>
                <w:szCs w:val="20"/>
              </w:rPr>
            </w:pPr>
            <w:r>
              <w:rPr>
                <w:sz w:val="20"/>
                <w:szCs w:val="20"/>
              </w:rPr>
              <w:t>2 000 000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59E6352" w14:textId="09FA8C0F"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854FB03" w14:textId="04C37DAD" w:rsidR="007A5ADC" w:rsidRDefault="007A5ADC">
            <w:pPr>
              <w:jc w:val="center"/>
              <w:rPr>
                <w:sz w:val="20"/>
                <w:szCs w:val="20"/>
              </w:rPr>
            </w:pPr>
            <w:r>
              <w:rPr>
                <w:sz w:val="20"/>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5F2E5ABC" w14:textId="4FA52B37" w:rsidR="007A5ADC" w:rsidRDefault="007A5ADC">
            <w:pPr>
              <w:jc w:val="center"/>
              <w:rPr>
                <w:rStyle w:val="PedmtyChar"/>
                <w:rFonts w:eastAsia="Calibri"/>
                <w:szCs w:val="20"/>
              </w:rPr>
            </w:pPr>
            <w:r>
              <w:rPr>
                <w:sz w:val="20"/>
                <w:szCs w:val="20"/>
              </w:rPr>
              <w:t>Shodná s poř. číslem 1.</w:t>
            </w:r>
          </w:p>
        </w:tc>
      </w:tr>
      <w:tr w:rsidR="00E34C61" w14:paraId="6E64A423" w14:textId="77777777">
        <w:trPr>
          <w:trHeight w:val="544"/>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2B8B532E" w14:textId="6EAC5FE3"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54B18FF7" w14:textId="77777777" w:rsidR="00D456F9" w:rsidRDefault="007A5ADC" w:rsidP="00D060A6">
            <w:pPr>
              <w:rPr>
                <w:rStyle w:val="PedmtyChar"/>
                <w:szCs w:val="20"/>
              </w:rPr>
            </w:pPr>
            <w:r>
              <w:rPr>
                <w:rStyle w:val="PedmtyChar"/>
                <w:szCs w:val="20"/>
              </w:rPr>
              <w:t xml:space="preserve">Pojištění dle článku 9 odst. 3) </w:t>
            </w:r>
          </w:p>
          <w:p w14:paraId="1B02CD6D" w14:textId="508335BE" w:rsidR="007A5ADC" w:rsidRDefault="007A5ADC" w:rsidP="00D060A6">
            <w:pPr>
              <w:rPr>
                <w:sz w:val="20"/>
                <w:szCs w:val="20"/>
              </w:rPr>
            </w:pPr>
            <w:r>
              <w:rPr>
                <w:rStyle w:val="PedmtyChar"/>
                <w:szCs w:val="20"/>
              </w:rPr>
              <w:t>ZPP P-6000/21 - náklady zdravotní pojišťovny a regresy dávek nemocenského pojištění (zaměstnanci)</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9CBFE10" w14:textId="16C88D78" w:rsidR="007A5ADC" w:rsidRDefault="007A5ADC">
            <w:pPr>
              <w:jc w:val="center"/>
              <w:rPr>
                <w:sz w:val="20"/>
                <w:szCs w:val="20"/>
              </w:rPr>
            </w:pPr>
            <w:r>
              <w:rPr>
                <w:sz w:val="20"/>
                <w:szCs w:val="20"/>
              </w:rPr>
              <w:t>10 000 000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1DE8D25" w14:textId="43B4C425"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D99C68" w14:textId="7BFE9461" w:rsidR="007A5ADC" w:rsidRDefault="007A5ADC">
            <w:pPr>
              <w:jc w:val="center"/>
              <w:rPr>
                <w:sz w:val="20"/>
                <w:szCs w:val="20"/>
              </w:rPr>
            </w:pPr>
            <w:r>
              <w:rPr>
                <w:sz w:val="20"/>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5452250F" w14:textId="38FD7633" w:rsidR="007A5ADC" w:rsidRDefault="007A5ADC">
            <w:pPr>
              <w:jc w:val="center"/>
              <w:rPr>
                <w:rStyle w:val="PedmtyChar"/>
                <w:rFonts w:eastAsia="Calibri"/>
                <w:szCs w:val="20"/>
              </w:rPr>
            </w:pPr>
            <w:r>
              <w:rPr>
                <w:sz w:val="20"/>
                <w:szCs w:val="20"/>
              </w:rPr>
              <w:t>Shodná s poř. číslem 1.</w:t>
            </w:r>
          </w:p>
        </w:tc>
      </w:tr>
      <w:tr w:rsidR="00E34C61" w14:paraId="22FFB523" w14:textId="77777777">
        <w:trPr>
          <w:trHeight w:val="571"/>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25F9BDF0" w14:textId="5402562F"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78F87753" w14:textId="545ACF7B" w:rsidR="007A5ADC" w:rsidRDefault="007A5ADC" w:rsidP="00D060A6">
            <w:pPr>
              <w:rPr>
                <w:sz w:val="20"/>
                <w:szCs w:val="20"/>
              </w:rPr>
            </w:pPr>
            <w:r>
              <w:rPr>
                <w:rStyle w:val="PedmtyChar"/>
                <w:szCs w:val="20"/>
              </w:rPr>
              <w:t>Pojištění znečištění životního prostředí dle článku 12 ZPP P-6000/21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36C8E41" w14:textId="6E25E7E0" w:rsidR="007A5ADC" w:rsidRDefault="007A5ADC">
            <w:pPr>
              <w:jc w:val="center"/>
              <w:rPr>
                <w:sz w:val="20"/>
                <w:szCs w:val="20"/>
              </w:rPr>
            </w:pPr>
            <w:r>
              <w:rPr>
                <w:sz w:val="20"/>
                <w:szCs w:val="20"/>
              </w:rPr>
              <w:t>10 000 000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69A29DB" w14:textId="5C2DB0D5"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449305" w14:textId="3244FE05" w:rsidR="007A5ADC" w:rsidRDefault="007A5ADC">
            <w:pPr>
              <w:jc w:val="center"/>
              <w:rPr>
                <w:sz w:val="20"/>
                <w:szCs w:val="20"/>
              </w:rPr>
            </w:pPr>
            <w:r>
              <w:rPr>
                <w:sz w:val="20"/>
                <w:szCs w:val="20"/>
              </w:rPr>
              <w:t>dle. čl. 12 odst. 2)</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8C90634" w14:textId="3AD68D95" w:rsidR="007A5ADC" w:rsidRDefault="007A5ADC">
            <w:pPr>
              <w:jc w:val="center"/>
              <w:rPr>
                <w:rStyle w:val="PedmtyChar"/>
                <w:rFonts w:eastAsia="Calibri"/>
                <w:szCs w:val="20"/>
              </w:rPr>
            </w:pPr>
            <w:r>
              <w:rPr>
                <w:sz w:val="20"/>
                <w:szCs w:val="20"/>
              </w:rPr>
              <w:t>Shodná s poř. číslem 1.</w:t>
            </w:r>
          </w:p>
        </w:tc>
      </w:tr>
      <w:tr w:rsidR="00E34C61" w14:paraId="134BC233" w14:textId="77777777">
        <w:trPr>
          <w:trHeight w:val="565"/>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46D4B4B0" w14:textId="48A2F17A"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6924ADE2" w14:textId="79C4AB2E" w:rsidR="007A5ADC" w:rsidRDefault="007A5ADC" w:rsidP="00D060A6">
            <w:pPr>
              <w:rPr>
                <w:sz w:val="20"/>
                <w:szCs w:val="20"/>
              </w:rPr>
            </w:pPr>
            <w:r>
              <w:rPr>
                <w:rStyle w:val="PedmtyChar"/>
                <w:szCs w:val="20"/>
              </w:rPr>
              <w:t>Pojištění čisté finanční škody dle článku 1 odst. 3) ZPP P-6000/21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3442415" w14:textId="17B6AA9B" w:rsidR="007A5ADC" w:rsidRDefault="007A5ADC">
            <w:pPr>
              <w:jc w:val="center"/>
              <w:rPr>
                <w:sz w:val="20"/>
                <w:szCs w:val="20"/>
              </w:rPr>
            </w:pPr>
            <w:r>
              <w:rPr>
                <w:sz w:val="20"/>
                <w:szCs w:val="20"/>
              </w:rPr>
              <w:t>20 000 000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8290F80" w14:textId="2B014F41"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A445B1F" w14:textId="3016EDD7" w:rsidR="007A5ADC" w:rsidRDefault="007A5ADC">
            <w:pPr>
              <w:jc w:val="center"/>
              <w:rPr>
                <w:sz w:val="20"/>
                <w:szCs w:val="20"/>
              </w:rPr>
            </w:pPr>
            <w:r>
              <w:rPr>
                <w:sz w:val="20"/>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1B6881E4" w14:textId="08E808B6" w:rsidR="007A5ADC" w:rsidRDefault="007A5ADC">
            <w:pPr>
              <w:jc w:val="center"/>
              <w:rPr>
                <w:rStyle w:val="PedmtyChar"/>
                <w:rFonts w:eastAsia="Calibri"/>
                <w:szCs w:val="20"/>
              </w:rPr>
            </w:pPr>
            <w:r>
              <w:rPr>
                <w:sz w:val="20"/>
                <w:szCs w:val="20"/>
              </w:rPr>
              <w:t>Shodná s poř. číslem 1.</w:t>
            </w:r>
          </w:p>
        </w:tc>
      </w:tr>
      <w:tr w:rsidR="00E34C61" w14:paraId="476CFF64" w14:textId="77777777">
        <w:trPr>
          <w:trHeight w:val="559"/>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5C65E51C" w14:textId="7307DD34"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4C13410E" w14:textId="0EF0E6B0" w:rsidR="007A5ADC" w:rsidRDefault="007A5ADC" w:rsidP="00D060A6">
            <w:pPr>
              <w:rPr>
                <w:sz w:val="20"/>
                <w:szCs w:val="20"/>
              </w:rPr>
            </w:pPr>
            <w:r>
              <w:rPr>
                <w:rStyle w:val="PedmtyChar"/>
                <w:szCs w:val="20"/>
              </w:rPr>
              <w:t>Pojištění věcí odložených a vnesených dle článku 9 odst. 6) ZPP P-6000/21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9C9AF9B" w14:textId="44E7C191" w:rsidR="007A5ADC" w:rsidRDefault="007A5ADC">
            <w:pPr>
              <w:jc w:val="center"/>
              <w:rPr>
                <w:sz w:val="20"/>
                <w:szCs w:val="20"/>
              </w:rPr>
            </w:pPr>
            <w:r>
              <w:rPr>
                <w:sz w:val="20"/>
                <w:szCs w:val="20"/>
              </w:rPr>
              <w:t>2 000 000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962C113" w14:textId="6AAF5278"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95C1CD" w14:textId="0D2030D2" w:rsidR="007A5ADC" w:rsidRDefault="007A5ADC">
            <w:pPr>
              <w:jc w:val="center"/>
              <w:rPr>
                <w:sz w:val="20"/>
                <w:szCs w:val="20"/>
              </w:rPr>
            </w:pPr>
            <w:r>
              <w:rPr>
                <w:sz w:val="20"/>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4838D5C0" w14:textId="4ACE9A72" w:rsidR="007A5ADC" w:rsidRDefault="007A5ADC">
            <w:pPr>
              <w:jc w:val="center"/>
              <w:rPr>
                <w:rStyle w:val="PedmtyChar"/>
                <w:rFonts w:eastAsia="Calibri"/>
                <w:szCs w:val="20"/>
              </w:rPr>
            </w:pPr>
            <w:r>
              <w:rPr>
                <w:sz w:val="20"/>
                <w:szCs w:val="20"/>
              </w:rPr>
              <w:t>Shodná s poř. číslem 1.</w:t>
            </w:r>
          </w:p>
        </w:tc>
      </w:tr>
      <w:tr w:rsidR="00E34C61" w14:paraId="1FB17ECD" w14:textId="77777777">
        <w:trPr>
          <w:trHeight w:val="553"/>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3B8E7499" w14:textId="3B13960C"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348E7BB1" w14:textId="77777777" w:rsidR="00542B5F" w:rsidRDefault="007A5ADC" w:rsidP="00D060A6">
            <w:pPr>
              <w:rPr>
                <w:rStyle w:val="PedmtyChar"/>
                <w:szCs w:val="20"/>
              </w:rPr>
            </w:pPr>
            <w:r>
              <w:rPr>
                <w:rStyle w:val="PedmtyChar"/>
                <w:szCs w:val="20"/>
              </w:rPr>
              <w:t xml:space="preserve">Pojištění věcí zaměstnanců dle </w:t>
            </w:r>
          </w:p>
          <w:p w14:paraId="631BE02E" w14:textId="25727F68" w:rsidR="007A5ADC" w:rsidRDefault="007A5ADC" w:rsidP="00D060A6">
            <w:pPr>
              <w:rPr>
                <w:sz w:val="20"/>
                <w:szCs w:val="20"/>
              </w:rPr>
            </w:pPr>
            <w:r>
              <w:rPr>
                <w:rStyle w:val="PedmtyChar"/>
                <w:szCs w:val="20"/>
              </w:rPr>
              <w:t>článku 9 odst. 7) ZPP P-6000/21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0F2364B" w14:textId="3CF10673" w:rsidR="007A5ADC" w:rsidRDefault="007A5ADC">
            <w:pPr>
              <w:jc w:val="center"/>
              <w:rPr>
                <w:sz w:val="20"/>
                <w:szCs w:val="20"/>
              </w:rPr>
            </w:pPr>
            <w:r>
              <w:rPr>
                <w:sz w:val="20"/>
                <w:szCs w:val="20"/>
              </w:rPr>
              <w:t>1 000 000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719C486" w14:textId="4BD0743C"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2950406" w14:textId="7693F17D" w:rsidR="007A5ADC" w:rsidRDefault="007A5ADC">
            <w:pPr>
              <w:jc w:val="center"/>
              <w:rPr>
                <w:sz w:val="20"/>
                <w:szCs w:val="20"/>
              </w:rPr>
            </w:pPr>
            <w:r>
              <w:rPr>
                <w:sz w:val="20"/>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49C82EA0" w14:textId="20E15125" w:rsidR="007A5ADC" w:rsidRDefault="007A5ADC">
            <w:pPr>
              <w:jc w:val="center"/>
              <w:rPr>
                <w:rStyle w:val="PedmtyChar"/>
                <w:rFonts w:eastAsia="Calibri"/>
                <w:szCs w:val="20"/>
              </w:rPr>
            </w:pPr>
            <w:r>
              <w:rPr>
                <w:sz w:val="20"/>
                <w:szCs w:val="20"/>
              </w:rPr>
              <w:t>Shodná s poř. číslem 1.</w:t>
            </w:r>
          </w:p>
        </w:tc>
      </w:tr>
      <w:tr w:rsidR="00E34C61" w14:paraId="1776F213" w14:textId="77777777">
        <w:tc>
          <w:tcPr>
            <w:tcW w:w="315" w:type="pct"/>
            <w:tcBorders>
              <w:top w:val="single" w:sz="4" w:space="0" w:color="auto"/>
              <w:left w:val="single" w:sz="12" w:space="0" w:color="auto"/>
              <w:bottom w:val="single" w:sz="4" w:space="0" w:color="auto"/>
              <w:right w:val="single" w:sz="4" w:space="0" w:color="auto"/>
            </w:tcBorders>
            <w:shd w:val="clear" w:color="auto" w:fill="auto"/>
          </w:tcPr>
          <w:p w14:paraId="775A4DAB" w14:textId="77777777"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5E629919" w14:textId="7A9C7D73" w:rsidR="007A5ADC" w:rsidRDefault="007A5ADC" w:rsidP="00D060A6">
            <w:pPr>
              <w:rPr>
                <w:sz w:val="20"/>
                <w:szCs w:val="20"/>
              </w:rPr>
            </w:pPr>
            <w:r>
              <w:rPr>
                <w:sz w:val="20"/>
                <w:szCs w:val="20"/>
              </w:rPr>
              <w:t>Pojištění odpovědnosti za újmu způsobenou na klenotech a jiných cennostech, věcech umělecké, historické nebo sběratelské hodnoty, penězích, směnkách, cenných papírech a ceninách</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7983737" w14:textId="77777777" w:rsidR="007A5ADC" w:rsidRDefault="007A5ADC">
            <w:pPr>
              <w:jc w:val="center"/>
              <w:rPr>
                <w:sz w:val="20"/>
                <w:szCs w:val="20"/>
              </w:rPr>
            </w:pPr>
            <w:r>
              <w:rPr>
                <w:sz w:val="20"/>
                <w:szCs w:val="20"/>
              </w:rPr>
              <w:t>500 000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58AF85E" w14:textId="046DAD06"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67219C" w14:textId="44E00742" w:rsidR="007A5ADC" w:rsidRDefault="007A5ADC">
            <w:pPr>
              <w:jc w:val="center"/>
              <w:rPr>
                <w:sz w:val="20"/>
                <w:szCs w:val="20"/>
              </w:rPr>
            </w:pPr>
            <w:r>
              <w:rPr>
                <w:sz w:val="20"/>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2815A6D" w14:textId="6532C2D3" w:rsidR="007A5ADC" w:rsidRDefault="007A5ADC">
            <w:pPr>
              <w:jc w:val="center"/>
              <w:rPr>
                <w:rStyle w:val="PedmtyChar"/>
                <w:rFonts w:eastAsia="Calibri"/>
                <w:szCs w:val="20"/>
              </w:rPr>
            </w:pPr>
            <w:r>
              <w:rPr>
                <w:rStyle w:val="PedmtyChar"/>
                <w:szCs w:val="20"/>
              </w:rPr>
              <w:t>Shodná s poř. číslem 1.</w:t>
            </w:r>
          </w:p>
        </w:tc>
      </w:tr>
      <w:tr w:rsidR="00E34C61" w14:paraId="0E8452FC" w14:textId="77777777">
        <w:trPr>
          <w:trHeight w:val="242"/>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49317AA6" w14:textId="2C28B2F7"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058EE947" w14:textId="77777777" w:rsidR="00542B5F" w:rsidRDefault="007A5ADC" w:rsidP="00D060A6">
            <w:pPr>
              <w:rPr>
                <w:sz w:val="20"/>
                <w:szCs w:val="20"/>
              </w:rPr>
            </w:pPr>
            <w:r>
              <w:rPr>
                <w:sz w:val="20"/>
                <w:szCs w:val="20"/>
              </w:rPr>
              <w:t xml:space="preserve">Připojištění provozu vozidla dle </w:t>
            </w:r>
          </w:p>
          <w:p w14:paraId="0A3B118B" w14:textId="215CF0CF" w:rsidR="007A5ADC" w:rsidRDefault="007A5ADC" w:rsidP="00D060A6">
            <w:pPr>
              <w:rPr>
                <w:sz w:val="20"/>
                <w:szCs w:val="20"/>
              </w:rPr>
            </w:pPr>
            <w:r>
              <w:rPr>
                <w:sz w:val="20"/>
                <w:szCs w:val="20"/>
              </w:rPr>
              <w:t>článku 14 ZPP P-6000/21</w:t>
            </w:r>
          </w:p>
          <w:p w14:paraId="171CAFCE" w14:textId="77777777" w:rsidR="007A5ADC" w:rsidRDefault="007A5ADC" w:rsidP="00D060A6">
            <w:pPr>
              <w:rPr>
                <w:sz w:val="20"/>
                <w:szCs w:val="20"/>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2912F0D" w14:textId="3CB68C57" w:rsidR="007A5ADC" w:rsidRDefault="007A5ADC">
            <w:pPr>
              <w:jc w:val="center"/>
              <w:rPr>
                <w:sz w:val="20"/>
                <w:szCs w:val="20"/>
              </w:rPr>
            </w:pPr>
            <w:r>
              <w:rPr>
                <w:sz w:val="20"/>
                <w:szCs w:val="20"/>
              </w:rPr>
              <w:t>1 000 000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6C6EEEC" w14:textId="5230E04A"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8C8AE79" w14:textId="2B143257" w:rsidR="007A5ADC" w:rsidRDefault="007A5ADC">
            <w:pPr>
              <w:jc w:val="center"/>
              <w:rPr>
                <w:sz w:val="20"/>
                <w:szCs w:val="20"/>
              </w:rPr>
            </w:pPr>
            <w:r>
              <w:rPr>
                <w:sz w:val="20"/>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35DA3086" w14:textId="2C0DE576" w:rsidR="007A5ADC" w:rsidRDefault="007A5ADC">
            <w:pPr>
              <w:jc w:val="center"/>
              <w:rPr>
                <w:sz w:val="20"/>
                <w:szCs w:val="20"/>
              </w:rPr>
            </w:pPr>
            <w:r>
              <w:rPr>
                <w:sz w:val="20"/>
                <w:szCs w:val="20"/>
              </w:rPr>
              <w:t>Shodná s poř. číslem 1.</w:t>
            </w:r>
          </w:p>
        </w:tc>
      </w:tr>
      <w:tr w:rsidR="00E34C61" w14:paraId="4963DC4B" w14:textId="77777777">
        <w:trPr>
          <w:trHeight w:val="635"/>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057039E9" w14:textId="28849552"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3D6A4123" w14:textId="77777777" w:rsidR="007A5ADC" w:rsidRDefault="007A5ADC" w:rsidP="00D060A6">
            <w:pPr>
              <w:rPr>
                <w:rStyle w:val="PedmtyChar"/>
                <w:rFonts w:eastAsia="Calibri"/>
                <w:szCs w:val="20"/>
              </w:rPr>
            </w:pPr>
            <w:r>
              <w:rPr>
                <w:rStyle w:val="PedmtyChar"/>
                <w:rFonts w:eastAsia="Calibri"/>
                <w:szCs w:val="20"/>
              </w:rPr>
              <w:t>Výkon veřejné moci (DODP6002)</w:t>
            </w:r>
          </w:p>
          <w:p w14:paraId="3051BCF9" w14:textId="77777777" w:rsidR="007A5ADC" w:rsidRDefault="007A5ADC" w:rsidP="00D060A6">
            <w:pPr>
              <w:rPr>
                <w:b/>
                <w:bCs/>
                <w:sz w:val="20"/>
                <w:szCs w:val="20"/>
              </w:rPr>
            </w:pPr>
            <w:r>
              <w:rPr>
                <w:rStyle w:val="PedmtyChar"/>
                <w:rFonts w:eastAsia="Calibri"/>
                <w:szCs w:val="20"/>
              </w:rPr>
              <w:t>Výkon veřejné služby (DODP6004)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932E28A" w14:textId="2254FB0B" w:rsidR="007A5ADC" w:rsidRDefault="007A5ADC">
            <w:pPr>
              <w:jc w:val="center"/>
              <w:rPr>
                <w:sz w:val="20"/>
                <w:szCs w:val="20"/>
              </w:rPr>
            </w:pPr>
            <w:r>
              <w:rPr>
                <w:sz w:val="20"/>
                <w:szCs w:val="20"/>
              </w:rPr>
              <w:t>20 000 000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29BB73" w14:textId="154EC403"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C08F33C" w14:textId="026EE6D9" w:rsidR="007A5ADC" w:rsidRDefault="007A5ADC">
            <w:pPr>
              <w:jc w:val="center"/>
              <w:rPr>
                <w:sz w:val="20"/>
                <w:szCs w:val="20"/>
              </w:rPr>
            </w:pPr>
            <w:r>
              <w:rPr>
                <w:rStyle w:val="PedmtyChar"/>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E681114" w14:textId="7AC8DAEA" w:rsidR="007A5ADC" w:rsidRDefault="007A5ADC">
            <w:pPr>
              <w:jc w:val="center"/>
              <w:rPr>
                <w:sz w:val="20"/>
                <w:szCs w:val="20"/>
              </w:rPr>
            </w:pPr>
            <w:r>
              <w:rPr>
                <w:rStyle w:val="PedmtyChar"/>
                <w:szCs w:val="20"/>
              </w:rPr>
              <w:t>Shodná s poř. číslem 1.</w:t>
            </w:r>
          </w:p>
        </w:tc>
      </w:tr>
      <w:tr w:rsidR="00E34C61" w14:paraId="45026016" w14:textId="77777777">
        <w:trPr>
          <w:trHeight w:val="559"/>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170713A6" w14:textId="36CF7270"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05897816" w14:textId="43E5A6D0" w:rsidR="007A5ADC" w:rsidRDefault="007A5ADC" w:rsidP="00D060A6">
            <w:pPr>
              <w:rPr>
                <w:b/>
                <w:bCs/>
                <w:sz w:val="20"/>
                <w:szCs w:val="20"/>
              </w:rPr>
            </w:pPr>
            <w:r>
              <w:rPr>
                <w:rStyle w:val="PedmtyChar"/>
                <w:szCs w:val="20"/>
              </w:rPr>
              <w:t>Obecní policie (DODP6003)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FBCB7D8" w14:textId="2CA7A95D" w:rsidR="007A5ADC" w:rsidRDefault="007A5ADC">
            <w:pPr>
              <w:jc w:val="center"/>
              <w:rPr>
                <w:sz w:val="20"/>
                <w:szCs w:val="20"/>
              </w:rPr>
            </w:pPr>
            <w:r>
              <w:rPr>
                <w:sz w:val="20"/>
                <w:szCs w:val="20"/>
              </w:rPr>
              <w:t>20 000 000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5E59A34" w14:textId="053EB70C"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59BAB3" w14:textId="15F9BA7D" w:rsidR="007A5ADC" w:rsidRDefault="007A5ADC">
            <w:pPr>
              <w:jc w:val="center"/>
              <w:rPr>
                <w:sz w:val="20"/>
                <w:szCs w:val="20"/>
              </w:rPr>
            </w:pPr>
            <w:r>
              <w:rPr>
                <w:rStyle w:val="PedmtyChar"/>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15C179C" w14:textId="5C3D4D68" w:rsidR="007A5ADC" w:rsidRDefault="007A5ADC">
            <w:pPr>
              <w:jc w:val="center"/>
              <w:rPr>
                <w:sz w:val="20"/>
                <w:szCs w:val="20"/>
              </w:rPr>
            </w:pPr>
            <w:r>
              <w:rPr>
                <w:rStyle w:val="PedmtyChar"/>
                <w:szCs w:val="20"/>
              </w:rPr>
              <w:t>Shodná s poř. číslem 1.</w:t>
            </w:r>
          </w:p>
        </w:tc>
      </w:tr>
      <w:tr w:rsidR="00E34C61" w14:paraId="0F072598" w14:textId="77777777">
        <w:trPr>
          <w:trHeight w:val="428"/>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072D107A" w14:textId="5B8B40D0"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66DDC726" w14:textId="1F1B33DE" w:rsidR="007A5ADC" w:rsidRDefault="007A5ADC" w:rsidP="00D060A6">
            <w:pPr>
              <w:rPr>
                <w:b/>
                <w:bCs/>
                <w:sz w:val="20"/>
                <w:szCs w:val="20"/>
              </w:rPr>
            </w:pPr>
            <w:r>
              <w:rPr>
                <w:rStyle w:val="PedmtyChar"/>
                <w:szCs w:val="20"/>
              </w:rPr>
              <w:t>Poskytování sociálních služeb (DODP6005)</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EA06AD7" w14:textId="77777777" w:rsidR="00542B5F" w:rsidRDefault="00542B5F">
            <w:pPr>
              <w:jc w:val="center"/>
              <w:rPr>
                <w:sz w:val="20"/>
                <w:szCs w:val="20"/>
              </w:rPr>
            </w:pPr>
          </w:p>
          <w:p w14:paraId="652DEACC" w14:textId="72652DF1" w:rsidR="007A5ADC" w:rsidRDefault="007A5ADC">
            <w:pPr>
              <w:jc w:val="center"/>
              <w:rPr>
                <w:sz w:val="20"/>
                <w:szCs w:val="20"/>
              </w:rPr>
            </w:pPr>
            <w:r>
              <w:rPr>
                <w:sz w:val="20"/>
                <w:szCs w:val="20"/>
              </w:rPr>
              <w:t>5 000 000 Kč</w:t>
            </w:r>
          </w:p>
          <w:p w14:paraId="2D9586D3" w14:textId="77777777" w:rsidR="007A5ADC" w:rsidRDefault="007A5ADC">
            <w:pPr>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C622A03" w14:textId="42EDD33E"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F29B5E" w14:textId="4BDD0CA5" w:rsidR="007A5ADC" w:rsidRDefault="007A5ADC">
            <w:pPr>
              <w:jc w:val="center"/>
              <w:rPr>
                <w:sz w:val="20"/>
                <w:szCs w:val="20"/>
              </w:rPr>
            </w:pPr>
            <w:r>
              <w:rPr>
                <w:rStyle w:val="PedmtyChar"/>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423F3CAA" w14:textId="71A17ED2" w:rsidR="007A5ADC" w:rsidRDefault="007A5ADC">
            <w:pPr>
              <w:jc w:val="center"/>
              <w:rPr>
                <w:sz w:val="20"/>
                <w:szCs w:val="20"/>
              </w:rPr>
            </w:pPr>
            <w:r>
              <w:rPr>
                <w:rStyle w:val="PedmtyChar"/>
                <w:szCs w:val="20"/>
              </w:rPr>
              <w:t>Shodná s poř. číslem 1.</w:t>
            </w:r>
          </w:p>
        </w:tc>
      </w:tr>
      <w:tr w:rsidR="00E34C61" w14:paraId="75FD256F" w14:textId="77777777">
        <w:trPr>
          <w:trHeight w:val="549"/>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2039F7E9" w14:textId="50A09FDE"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487F6E56" w14:textId="77777777" w:rsidR="005F55D6" w:rsidRDefault="007A5ADC" w:rsidP="00D060A6">
            <w:pPr>
              <w:rPr>
                <w:rStyle w:val="PedmtyChar"/>
                <w:szCs w:val="20"/>
              </w:rPr>
            </w:pPr>
            <w:r>
              <w:rPr>
                <w:rStyle w:val="PedmtyChar"/>
                <w:szCs w:val="20"/>
              </w:rPr>
              <w:t xml:space="preserve">Poskytování služby péče o dítě </w:t>
            </w:r>
          </w:p>
          <w:p w14:paraId="6AE86841" w14:textId="7A487362" w:rsidR="007A5ADC" w:rsidRDefault="007A5ADC" w:rsidP="00D060A6">
            <w:pPr>
              <w:rPr>
                <w:b/>
                <w:bCs/>
                <w:sz w:val="20"/>
                <w:szCs w:val="20"/>
              </w:rPr>
            </w:pPr>
            <w:r>
              <w:rPr>
                <w:rStyle w:val="PedmtyChar"/>
                <w:szCs w:val="20"/>
              </w:rPr>
              <w:t>v dětské skupině (DODP6007)</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6CBEF720" w14:textId="31DBC47D" w:rsidR="007A5ADC" w:rsidRDefault="007A5ADC">
            <w:pPr>
              <w:jc w:val="center"/>
              <w:rPr>
                <w:sz w:val="20"/>
                <w:szCs w:val="20"/>
              </w:rPr>
            </w:pPr>
            <w:r>
              <w:rPr>
                <w:sz w:val="20"/>
                <w:szCs w:val="20"/>
              </w:rPr>
              <w:t>10 000 000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51B7A3D" w14:textId="0EF43C78"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A2D5A7D" w14:textId="4E129D9E" w:rsidR="007A5ADC" w:rsidRDefault="007A5ADC">
            <w:pPr>
              <w:jc w:val="center"/>
              <w:rPr>
                <w:sz w:val="20"/>
                <w:szCs w:val="20"/>
              </w:rPr>
            </w:pPr>
            <w:r>
              <w:rPr>
                <w:rStyle w:val="PedmtyChar"/>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8F54FA3" w14:textId="61C1532C" w:rsidR="007A5ADC" w:rsidRDefault="007A5ADC">
            <w:pPr>
              <w:jc w:val="center"/>
              <w:rPr>
                <w:sz w:val="20"/>
                <w:szCs w:val="20"/>
              </w:rPr>
            </w:pPr>
            <w:r>
              <w:rPr>
                <w:rStyle w:val="PedmtyChar"/>
                <w:szCs w:val="20"/>
              </w:rPr>
              <w:t>Shodná s poř. číslem 1.</w:t>
            </w:r>
          </w:p>
        </w:tc>
      </w:tr>
      <w:tr w:rsidR="00E34C61" w14:paraId="6E8F5CE8" w14:textId="77777777">
        <w:trPr>
          <w:trHeight w:val="567"/>
        </w:trPr>
        <w:tc>
          <w:tcPr>
            <w:tcW w:w="315" w:type="pct"/>
            <w:tcBorders>
              <w:top w:val="single" w:sz="4" w:space="0" w:color="auto"/>
              <w:left w:val="single" w:sz="12" w:space="0" w:color="auto"/>
              <w:bottom w:val="single" w:sz="4" w:space="0" w:color="auto"/>
              <w:right w:val="single" w:sz="4" w:space="0" w:color="auto"/>
            </w:tcBorders>
            <w:shd w:val="clear" w:color="auto" w:fill="auto"/>
          </w:tcPr>
          <w:p w14:paraId="0B921208" w14:textId="0D2B8692" w:rsidR="007A5ADC" w:rsidRDefault="007A5ADC">
            <w:pPr>
              <w:pStyle w:val="Odstavecseseznamem"/>
              <w:numPr>
                <w:ilvl w:val="1"/>
                <w:numId w:val="40"/>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7DCA765F" w14:textId="129A73BF" w:rsidR="007A5ADC" w:rsidRDefault="007A5ADC" w:rsidP="00D060A6">
            <w:pPr>
              <w:rPr>
                <w:b/>
                <w:bCs/>
                <w:sz w:val="20"/>
                <w:szCs w:val="20"/>
              </w:rPr>
            </w:pPr>
            <w:r>
              <w:rPr>
                <w:rStyle w:val="PedmtyChar"/>
                <w:szCs w:val="20"/>
              </w:rPr>
              <w:t>Ručení vlastníků pozemních komunikací za správce pozemní komunikace (DODP6010)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7DE3B39" w14:textId="19698814" w:rsidR="007A5ADC" w:rsidRDefault="007A5ADC">
            <w:pPr>
              <w:jc w:val="center"/>
              <w:rPr>
                <w:sz w:val="20"/>
                <w:szCs w:val="20"/>
              </w:rPr>
            </w:pPr>
            <w:r>
              <w:rPr>
                <w:sz w:val="20"/>
                <w:szCs w:val="20"/>
              </w:rPr>
              <w:t>20 000 000 Kč</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392CD7A" w14:textId="6AF159C5" w:rsidR="007A5ADC" w:rsidRDefault="007A5ADC">
            <w:pPr>
              <w:jc w:val="center"/>
              <w:rPr>
                <w:sz w:val="20"/>
                <w:szCs w:val="20"/>
              </w:rPr>
            </w:pPr>
            <w:r>
              <w:rPr>
                <w:sz w:val="20"/>
                <w:szCs w:val="20"/>
              </w:rPr>
              <w:t>5 000 Kč</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1E19E02" w14:textId="15EAA23A" w:rsidR="007A5ADC" w:rsidRDefault="007A5ADC">
            <w:pPr>
              <w:jc w:val="center"/>
              <w:rPr>
                <w:sz w:val="20"/>
                <w:szCs w:val="20"/>
              </w:rPr>
            </w:pPr>
            <w:r>
              <w:rPr>
                <w:rStyle w:val="PedmtyChar"/>
                <w:szCs w:val="20"/>
              </w:rPr>
              <w:t>Shodný s poř. číslem 1.</w:t>
            </w:r>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77780A6" w14:textId="7121609F" w:rsidR="007A5ADC" w:rsidRDefault="007A5ADC">
            <w:pPr>
              <w:jc w:val="center"/>
              <w:rPr>
                <w:sz w:val="20"/>
                <w:szCs w:val="20"/>
              </w:rPr>
            </w:pPr>
            <w:r>
              <w:rPr>
                <w:rStyle w:val="PedmtyChar"/>
                <w:szCs w:val="20"/>
              </w:rPr>
              <w:t>Shodná s poř. číslem 1.</w:t>
            </w:r>
          </w:p>
        </w:tc>
      </w:tr>
      <w:tr w:rsidR="008E4270" w14:paraId="3B574F93" w14:textId="77777777">
        <w:trPr>
          <w:trHeight w:val="994"/>
        </w:trPr>
        <w:tc>
          <w:tcPr>
            <w:tcW w:w="5000" w:type="pct"/>
            <w:gridSpan w:val="7"/>
            <w:tcBorders>
              <w:top w:val="single" w:sz="4" w:space="0" w:color="auto"/>
              <w:left w:val="single" w:sz="12" w:space="0" w:color="auto"/>
              <w:bottom w:val="single" w:sz="12" w:space="0" w:color="auto"/>
              <w:right w:val="single" w:sz="12" w:space="0" w:color="auto"/>
            </w:tcBorders>
            <w:shd w:val="clear" w:color="auto" w:fill="auto"/>
          </w:tcPr>
          <w:p w14:paraId="0CEC331C" w14:textId="77777777" w:rsidR="007A5ADC" w:rsidRDefault="007A5ADC" w:rsidP="00D060A6">
            <w:pPr>
              <w:rPr>
                <w:sz w:val="20"/>
                <w:szCs w:val="20"/>
              </w:rPr>
            </w:pPr>
            <w:r>
              <w:rPr>
                <w:sz w:val="20"/>
                <w:szCs w:val="20"/>
              </w:rPr>
              <w:lastRenderedPageBreak/>
              <w:t>Poznámky:</w:t>
            </w:r>
          </w:p>
          <w:p w14:paraId="5C717257" w14:textId="77777777" w:rsidR="007A5ADC" w:rsidRDefault="007A5ADC">
            <w:pPr>
              <w:pStyle w:val="Odstavecseseznamem"/>
              <w:numPr>
                <w:ilvl w:val="0"/>
                <w:numId w:val="41"/>
              </w:numPr>
              <w:spacing w:after="0" w:line="240" w:lineRule="auto"/>
              <w:ind w:left="324" w:hanging="284"/>
              <w:contextualSpacing w:val="0"/>
              <w:jc w:val="both"/>
              <w:rPr>
                <w:rFonts w:ascii="Koop Office" w:hAnsi="Koop Office"/>
                <w:sz w:val="20"/>
                <w:szCs w:val="20"/>
              </w:rPr>
            </w:pPr>
            <w:r>
              <w:rPr>
                <w:rFonts w:ascii="Koop Office" w:hAnsi="Koop Office"/>
                <w:sz w:val="20"/>
                <w:szCs w:val="20"/>
              </w:rPr>
              <w:t>Pojištěnou činností podle článku 9 odst. 2) ZPP P</w:t>
            </w:r>
            <w:r>
              <w:rPr>
                <w:rFonts w:ascii="Koop Office" w:hAnsi="Koop Office"/>
                <w:sz w:val="20"/>
                <w:szCs w:val="20"/>
              </w:rPr>
              <w:noBreakHyphen/>
              <w:t>6000/21 jsou i činnosti vyplývající z přeneseného výkonu státní správy a/nebo výkonu samosprávy pojištěného, coby územně samosprávného celku, podle příslušných právních předpisů.</w:t>
            </w:r>
          </w:p>
          <w:p w14:paraId="073C6427" w14:textId="77777777" w:rsidR="007A5ADC" w:rsidRDefault="007A5ADC">
            <w:pPr>
              <w:pStyle w:val="Odstavecseseznamem"/>
              <w:numPr>
                <w:ilvl w:val="0"/>
                <w:numId w:val="41"/>
              </w:numPr>
              <w:spacing w:after="0" w:line="240" w:lineRule="auto"/>
              <w:ind w:left="324" w:hanging="284"/>
              <w:contextualSpacing w:val="0"/>
              <w:jc w:val="both"/>
              <w:rPr>
                <w:rFonts w:ascii="Koop Office" w:hAnsi="Koop Office"/>
                <w:sz w:val="20"/>
                <w:szCs w:val="20"/>
              </w:rPr>
            </w:pPr>
            <w:r>
              <w:rPr>
                <w:rFonts w:ascii="Koop Office" w:hAnsi="Koop Office"/>
                <w:sz w:val="20"/>
                <w:szCs w:val="20"/>
              </w:rPr>
              <w:t>Pro pojištěné uvedené v čl. I., bodu 1. jsou činností nebo vztahem dle Článku 9 odst. 2) ZPP P- 6000/21 činnosti nebo vztahy vyplývající z činnosti pojištěných uvedených ve výpisech z rejstříku škol a školských zařízení nebo ve zřizovacích listinách, které budou v případě vzniku pojistné události doloženy.</w:t>
            </w:r>
          </w:p>
          <w:p w14:paraId="32DAD8E7" w14:textId="77777777" w:rsidR="007A5ADC" w:rsidRDefault="007A5ADC">
            <w:pPr>
              <w:pStyle w:val="Odstavecseseznamem"/>
              <w:numPr>
                <w:ilvl w:val="0"/>
                <w:numId w:val="41"/>
              </w:numPr>
              <w:spacing w:after="0" w:line="240" w:lineRule="auto"/>
              <w:ind w:left="324" w:hanging="284"/>
              <w:contextualSpacing w:val="0"/>
              <w:jc w:val="both"/>
              <w:rPr>
                <w:rFonts w:ascii="Koop Office" w:hAnsi="Koop Office"/>
                <w:sz w:val="20"/>
                <w:szCs w:val="20"/>
              </w:rPr>
            </w:pPr>
            <w:r>
              <w:rPr>
                <w:rFonts w:ascii="Koop Office" w:hAnsi="Koop Office"/>
                <w:sz w:val="20"/>
                <w:szCs w:val="20"/>
              </w:rPr>
              <w:t>Pojištění se v souladu s ZPP P-6000/21 vztahuje i na křížová odpovědnost vůči majetkově propojeným společnostem. Toto pojištění se sjednává se sublimitem pojistného plnění ve výši 10 000 000 Kč a se spoluúčastí ve výši 5 000 Kč.</w:t>
            </w:r>
          </w:p>
          <w:p w14:paraId="10BFDA41" w14:textId="77777777" w:rsidR="007A5ADC" w:rsidRDefault="007A5ADC">
            <w:pPr>
              <w:pStyle w:val="Odstavecseseznamem"/>
              <w:numPr>
                <w:ilvl w:val="0"/>
                <w:numId w:val="41"/>
              </w:numPr>
              <w:spacing w:after="0" w:line="240" w:lineRule="auto"/>
              <w:ind w:left="324" w:hanging="284"/>
              <w:contextualSpacing w:val="0"/>
              <w:jc w:val="both"/>
              <w:rPr>
                <w:rFonts w:ascii="Koop Office" w:hAnsi="Koop Office"/>
                <w:sz w:val="20"/>
                <w:szCs w:val="20"/>
              </w:rPr>
            </w:pPr>
            <w:r>
              <w:rPr>
                <w:rFonts w:ascii="Koop Office" w:hAnsi="Koop Office"/>
                <w:sz w:val="20"/>
                <w:szCs w:val="20"/>
              </w:rPr>
              <w:t>Pojištění dle odst. 4) článku 1 ZPP P-6000/21 (pojištění nemajetkové újmy – ochrana osobnosti) se sjednává se sublimitem pojistného plnění ve výši 10 000 000 Kč a se spoluúčastí ve výši 5 000 Kč.</w:t>
            </w:r>
          </w:p>
          <w:p w14:paraId="2B24BC44" w14:textId="46A20267" w:rsidR="007A5ADC" w:rsidRDefault="007A5ADC">
            <w:pPr>
              <w:pStyle w:val="Odstavecseseznamem"/>
              <w:numPr>
                <w:ilvl w:val="0"/>
                <w:numId w:val="41"/>
              </w:numPr>
              <w:spacing w:after="0" w:line="240" w:lineRule="auto"/>
              <w:ind w:left="324" w:hanging="284"/>
              <w:contextualSpacing w:val="0"/>
              <w:jc w:val="both"/>
              <w:rPr>
                <w:rFonts w:ascii="Koop Office" w:hAnsi="Koop Office"/>
                <w:sz w:val="20"/>
                <w:szCs w:val="20"/>
              </w:rPr>
            </w:pPr>
            <w:r>
              <w:rPr>
                <w:rFonts w:ascii="Koop Office" w:hAnsi="Koop Office"/>
                <w:sz w:val="20"/>
                <w:szCs w:val="20"/>
              </w:rPr>
              <w:t xml:space="preserve">Pojištění se dle odst. 4) článku 9 ZPP P-6000/21 vztahuje i na právním předpisem stanovenou povinnost pojištěného nahradit újmu vyplývající z vlastnictví, držby nebo jiného oprávněného užívání nemovitosti. Toto pojištění se sjednává se sublimitem pojistného plnění ve výši 20 000 000 Kč a se spoluúčastí ve výši </w:t>
            </w:r>
            <w:r w:rsidR="00684FB1">
              <w:rPr>
                <w:rFonts w:ascii="Koop Office" w:hAnsi="Koop Office"/>
                <w:sz w:val="20"/>
                <w:szCs w:val="20"/>
              </w:rPr>
              <w:t xml:space="preserve">             </w:t>
            </w:r>
            <w:r>
              <w:rPr>
                <w:rFonts w:ascii="Koop Office" w:hAnsi="Koop Office"/>
                <w:sz w:val="20"/>
                <w:szCs w:val="20"/>
              </w:rPr>
              <w:t>5 000 Kč.</w:t>
            </w:r>
          </w:p>
        </w:tc>
      </w:tr>
    </w:tbl>
    <w:p w14:paraId="1F949033" w14:textId="77777777" w:rsidR="007A5ADC" w:rsidRPr="008E4270" w:rsidRDefault="007A5ADC" w:rsidP="00172E2D">
      <w:pPr>
        <w:pStyle w:val="slovn-rove2"/>
        <w:numPr>
          <w:ilvl w:val="0"/>
          <w:numId w:val="0"/>
        </w:numPr>
        <w:spacing w:after="60"/>
        <w:rPr>
          <w:szCs w:val="20"/>
        </w:rPr>
      </w:pPr>
    </w:p>
    <w:tbl>
      <w:tblPr>
        <w:tblW w:w="4895" w:type="pct"/>
        <w:tblInd w:w="108" w:type="dxa"/>
        <w:tblLayout w:type="fixed"/>
        <w:tblLook w:val="04A0" w:firstRow="1" w:lastRow="0" w:firstColumn="1" w:lastColumn="0" w:noHBand="0" w:noVBand="1"/>
      </w:tblPr>
      <w:tblGrid>
        <w:gridCol w:w="634"/>
        <w:gridCol w:w="2343"/>
        <w:gridCol w:w="1276"/>
        <w:gridCol w:w="1560"/>
        <w:gridCol w:w="1276"/>
        <w:gridCol w:w="1560"/>
        <w:gridCol w:w="1415"/>
      </w:tblGrid>
      <w:tr w:rsidR="008E4270" w14:paraId="60566175" w14:textId="77777777">
        <w:tc>
          <w:tcPr>
            <w:tcW w:w="5000" w:type="pct"/>
            <w:gridSpan w:val="7"/>
            <w:tcBorders>
              <w:top w:val="single" w:sz="12" w:space="0" w:color="auto"/>
              <w:left w:val="single" w:sz="12" w:space="0" w:color="auto"/>
              <w:bottom w:val="single" w:sz="12" w:space="0" w:color="auto"/>
              <w:right w:val="single" w:sz="12" w:space="0" w:color="auto"/>
            </w:tcBorders>
            <w:shd w:val="clear" w:color="auto" w:fill="auto"/>
          </w:tcPr>
          <w:p w14:paraId="216CA72E" w14:textId="35BE9A5D" w:rsidR="007A5ADC" w:rsidRDefault="007A5ADC" w:rsidP="00D060A6">
            <w:pPr>
              <w:rPr>
                <w:sz w:val="20"/>
                <w:szCs w:val="20"/>
              </w:rPr>
            </w:pPr>
            <w:r>
              <w:rPr>
                <w:b/>
                <w:bCs/>
                <w:sz w:val="20"/>
                <w:szCs w:val="20"/>
              </w:rPr>
              <w:t xml:space="preserve">Tabulka k Oddílu II. Části 2. ZPP P-6000/21 </w:t>
            </w:r>
          </w:p>
        </w:tc>
      </w:tr>
      <w:tr w:rsidR="00E34C61" w14:paraId="6AB7CD6D" w14:textId="77777777">
        <w:tc>
          <w:tcPr>
            <w:tcW w:w="315" w:type="pct"/>
            <w:tcBorders>
              <w:top w:val="single" w:sz="12" w:space="0" w:color="auto"/>
              <w:left w:val="single" w:sz="12" w:space="0" w:color="auto"/>
              <w:bottom w:val="single" w:sz="12" w:space="0" w:color="auto"/>
              <w:right w:val="single" w:sz="4" w:space="0" w:color="auto"/>
            </w:tcBorders>
            <w:shd w:val="clear" w:color="auto" w:fill="auto"/>
            <w:vAlign w:val="center"/>
          </w:tcPr>
          <w:p w14:paraId="6CE5A5DC" w14:textId="77777777" w:rsidR="007A5ADC" w:rsidRDefault="007A5ADC">
            <w:pPr>
              <w:ind w:right="-113"/>
              <w:rPr>
                <w:b/>
                <w:bCs/>
                <w:sz w:val="20"/>
                <w:szCs w:val="20"/>
              </w:rPr>
            </w:pPr>
            <w:r>
              <w:rPr>
                <w:b/>
                <w:bCs/>
                <w:sz w:val="20"/>
                <w:szCs w:val="20"/>
              </w:rPr>
              <w:t>Poř.</w:t>
            </w:r>
          </w:p>
          <w:p w14:paraId="4118D964" w14:textId="77777777" w:rsidR="007A5ADC" w:rsidRDefault="007A5ADC" w:rsidP="00D060A6">
            <w:pPr>
              <w:rPr>
                <w:sz w:val="20"/>
                <w:szCs w:val="20"/>
              </w:rPr>
            </w:pPr>
            <w:r>
              <w:rPr>
                <w:b/>
                <w:bCs/>
                <w:sz w:val="20"/>
                <w:szCs w:val="20"/>
              </w:rPr>
              <w:t>číslo</w:t>
            </w:r>
          </w:p>
        </w:tc>
        <w:tc>
          <w:tcPr>
            <w:tcW w:w="1164" w:type="pct"/>
            <w:tcBorders>
              <w:top w:val="single" w:sz="12" w:space="0" w:color="auto"/>
              <w:left w:val="single" w:sz="4" w:space="0" w:color="auto"/>
              <w:bottom w:val="single" w:sz="12" w:space="0" w:color="auto"/>
              <w:right w:val="single" w:sz="4" w:space="0" w:color="auto"/>
            </w:tcBorders>
            <w:shd w:val="clear" w:color="auto" w:fill="auto"/>
            <w:vAlign w:val="center"/>
          </w:tcPr>
          <w:p w14:paraId="71589D87" w14:textId="77777777" w:rsidR="007A5ADC" w:rsidRDefault="007A5ADC">
            <w:pPr>
              <w:jc w:val="center"/>
              <w:rPr>
                <w:b/>
                <w:bCs/>
                <w:sz w:val="20"/>
                <w:szCs w:val="20"/>
              </w:rPr>
            </w:pPr>
            <w:r>
              <w:rPr>
                <w:b/>
                <w:bCs/>
                <w:sz w:val="20"/>
                <w:szCs w:val="20"/>
              </w:rPr>
              <w:t>Rozsah pojištění</w:t>
            </w:r>
          </w:p>
        </w:tc>
        <w:tc>
          <w:tcPr>
            <w:tcW w:w="634" w:type="pct"/>
            <w:tcBorders>
              <w:top w:val="single" w:sz="12" w:space="0" w:color="auto"/>
              <w:left w:val="single" w:sz="4" w:space="0" w:color="auto"/>
              <w:bottom w:val="single" w:sz="12" w:space="0" w:color="auto"/>
              <w:right w:val="single" w:sz="4" w:space="0" w:color="auto"/>
            </w:tcBorders>
            <w:shd w:val="clear" w:color="auto" w:fill="auto"/>
            <w:vAlign w:val="center"/>
          </w:tcPr>
          <w:p w14:paraId="6FA039D4" w14:textId="77777777" w:rsidR="007A5ADC" w:rsidRDefault="007A5ADC">
            <w:pPr>
              <w:jc w:val="center"/>
              <w:rPr>
                <w:b/>
                <w:bCs/>
                <w:sz w:val="20"/>
                <w:szCs w:val="20"/>
              </w:rPr>
            </w:pPr>
            <w:r>
              <w:rPr>
                <w:b/>
                <w:bCs/>
                <w:sz w:val="20"/>
                <w:szCs w:val="20"/>
              </w:rPr>
              <w:t>Limit pojistného plnění</w:t>
            </w:r>
          </w:p>
        </w:tc>
        <w:tc>
          <w:tcPr>
            <w:tcW w:w="775" w:type="pct"/>
            <w:tcBorders>
              <w:top w:val="single" w:sz="12" w:space="0" w:color="auto"/>
              <w:left w:val="single" w:sz="4" w:space="0" w:color="auto"/>
              <w:bottom w:val="single" w:sz="12" w:space="0" w:color="auto"/>
              <w:right w:val="single" w:sz="4" w:space="0" w:color="auto"/>
            </w:tcBorders>
            <w:shd w:val="clear" w:color="auto" w:fill="auto"/>
            <w:vAlign w:val="center"/>
          </w:tcPr>
          <w:p w14:paraId="70D76888" w14:textId="61CF6B47" w:rsidR="007A5ADC" w:rsidRDefault="007A5ADC">
            <w:pPr>
              <w:jc w:val="center"/>
              <w:rPr>
                <w:sz w:val="20"/>
                <w:szCs w:val="20"/>
              </w:rPr>
            </w:pPr>
            <w:r>
              <w:rPr>
                <w:b/>
                <w:bCs/>
                <w:sz w:val="20"/>
                <w:szCs w:val="20"/>
              </w:rPr>
              <w:t>Sublimit v rámci limitu pojistného plnění sjednaného pro poř. číslo 1.</w:t>
            </w:r>
          </w:p>
        </w:tc>
        <w:tc>
          <w:tcPr>
            <w:tcW w:w="634" w:type="pct"/>
            <w:tcBorders>
              <w:top w:val="single" w:sz="12" w:space="0" w:color="auto"/>
              <w:left w:val="single" w:sz="4" w:space="0" w:color="auto"/>
              <w:bottom w:val="single" w:sz="12" w:space="0" w:color="auto"/>
              <w:right w:val="single" w:sz="4" w:space="0" w:color="auto"/>
            </w:tcBorders>
            <w:shd w:val="clear" w:color="auto" w:fill="auto"/>
            <w:vAlign w:val="center"/>
          </w:tcPr>
          <w:p w14:paraId="12D2269D" w14:textId="77777777" w:rsidR="007A5ADC" w:rsidRDefault="007A5ADC">
            <w:pPr>
              <w:jc w:val="center"/>
              <w:rPr>
                <w:sz w:val="20"/>
                <w:szCs w:val="20"/>
              </w:rPr>
            </w:pPr>
            <w:r>
              <w:rPr>
                <w:b/>
                <w:bCs/>
                <w:sz w:val="20"/>
                <w:szCs w:val="20"/>
              </w:rPr>
              <w:t>Spoluúčast</w:t>
            </w:r>
          </w:p>
        </w:tc>
        <w:tc>
          <w:tcPr>
            <w:tcW w:w="775" w:type="pct"/>
            <w:tcBorders>
              <w:top w:val="single" w:sz="12" w:space="0" w:color="auto"/>
              <w:left w:val="single" w:sz="4" w:space="0" w:color="auto"/>
              <w:bottom w:val="single" w:sz="12" w:space="0" w:color="auto"/>
              <w:right w:val="single" w:sz="4" w:space="0" w:color="auto"/>
            </w:tcBorders>
            <w:shd w:val="clear" w:color="auto" w:fill="auto"/>
            <w:vAlign w:val="center"/>
          </w:tcPr>
          <w:p w14:paraId="23201C98" w14:textId="77777777" w:rsidR="007A5ADC" w:rsidRDefault="007A5ADC">
            <w:pPr>
              <w:jc w:val="center"/>
              <w:rPr>
                <w:sz w:val="20"/>
                <w:szCs w:val="20"/>
              </w:rPr>
            </w:pPr>
            <w:r>
              <w:rPr>
                <w:b/>
                <w:bCs/>
                <w:sz w:val="20"/>
                <w:szCs w:val="20"/>
              </w:rPr>
              <w:t>Princip pojištění</w:t>
            </w:r>
          </w:p>
        </w:tc>
        <w:tc>
          <w:tcPr>
            <w:tcW w:w="703" w:type="pct"/>
            <w:tcBorders>
              <w:top w:val="single" w:sz="12" w:space="0" w:color="auto"/>
              <w:left w:val="single" w:sz="4" w:space="0" w:color="auto"/>
              <w:bottom w:val="single" w:sz="12" w:space="0" w:color="auto"/>
              <w:right w:val="single" w:sz="12" w:space="0" w:color="auto"/>
            </w:tcBorders>
            <w:shd w:val="clear" w:color="auto" w:fill="auto"/>
            <w:vAlign w:val="center"/>
          </w:tcPr>
          <w:p w14:paraId="21F5B89B" w14:textId="77777777" w:rsidR="007A5ADC" w:rsidRDefault="007A5ADC">
            <w:pPr>
              <w:jc w:val="center"/>
              <w:rPr>
                <w:sz w:val="20"/>
                <w:szCs w:val="20"/>
              </w:rPr>
            </w:pPr>
            <w:r>
              <w:rPr>
                <w:b/>
                <w:bCs/>
                <w:sz w:val="20"/>
                <w:szCs w:val="20"/>
              </w:rPr>
              <w:t>Územní platnost pojištění</w:t>
            </w:r>
          </w:p>
        </w:tc>
      </w:tr>
      <w:tr w:rsidR="00E34C61" w14:paraId="69672F15" w14:textId="77777777">
        <w:tc>
          <w:tcPr>
            <w:tcW w:w="315" w:type="pct"/>
            <w:tcBorders>
              <w:top w:val="single" w:sz="12" w:space="0" w:color="auto"/>
              <w:left w:val="single" w:sz="12" w:space="0" w:color="auto"/>
              <w:bottom w:val="single" w:sz="4" w:space="0" w:color="auto"/>
              <w:right w:val="single" w:sz="4" w:space="0" w:color="auto"/>
            </w:tcBorders>
            <w:shd w:val="clear" w:color="auto" w:fill="auto"/>
          </w:tcPr>
          <w:p w14:paraId="2850B480" w14:textId="50B95060" w:rsidR="007A5ADC" w:rsidRDefault="007A5ADC" w:rsidP="00D060A6">
            <w:pPr>
              <w:rPr>
                <w:b/>
                <w:bCs/>
                <w:sz w:val="20"/>
                <w:szCs w:val="20"/>
              </w:rPr>
            </w:pPr>
            <w:r>
              <w:rPr>
                <w:b/>
                <w:bCs/>
                <w:sz w:val="20"/>
                <w:szCs w:val="20"/>
              </w:rPr>
              <w:t>2.</w:t>
            </w:r>
          </w:p>
        </w:tc>
        <w:tc>
          <w:tcPr>
            <w:tcW w:w="1164" w:type="pct"/>
            <w:tcBorders>
              <w:top w:val="single" w:sz="12" w:space="0" w:color="auto"/>
              <w:left w:val="single" w:sz="4" w:space="0" w:color="auto"/>
              <w:bottom w:val="single" w:sz="4" w:space="0" w:color="auto"/>
              <w:right w:val="single" w:sz="4" w:space="0" w:color="auto"/>
            </w:tcBorders>
            <w:shd w:val="clear" w:color="auto" w:fill="auto"/>
          </w:tcPr>
          <w:p w14:paraId="624AEE45" w14:textId="77777777" w:rsidR="00356F52" w:rsidRDefault="007A5ADC" w:rsidP="00D060A6">
            <w:pPr>
              <w:rPr>
                <w:rFonts w:cs="Calibri"/>
                <w:b/>
                <w:bCs/>
                <w:sz w:val="20"/>
                <w:szCs w:val="20"/>
              </w:rPr>
            </w:pPr>
            <w:r>
              <w:rPr>
                <w:rFonts w:cs="Calibri"/>
                <w:b/>
                <w:bCs/>
                <w:sz w:val="20"/>
                <w:szCs w:val="20"/>
              </w:rPr>
              <w:t xml:space="preserve">Oddíl II. </w:t>
            </w:r>
          </w:p>
          <w:p w14:paraId="3B296D8A" w14:textId="1F6434D1" w:rsidR="007A5ADC" w:rsidRDefault="007A5ADC" w:rsidP="00D060A6">
            <w:pPr>
              <w:rPr>
                <w:rFonts w:cs="Calibri"/>
                <w:b/>
                <w:bCs/>
                <w:sz w:val="20"/>
                <w:szCs w:val="20"/>
              </w:rPr>
            </w:pPr>
            <w:r>
              <w:rPr>
                <w:rFonts w:cs="Calibri"/>
                <w:b/>
                <w:bCs/>
                <w:sz w:val="20"/>
                <w:szCs w:val="20"/>
              </w:rPr>
              <w:t>Pojištění odpovědnosti za újmu způsobenou vadou výrobku a vadou práce po předání</w:t>
            </w:r>
          </w:p>
        </w:tc>
        <w:tc>
          <w:tcPr>
            <w:tcW w:w="634" w:type="pct"/>
            <w:tcBorders>
              <w:top w:val="single" w:sz="12" w:space="0" w:color="auto"/>
              <w:left w:val="single" w:sz="4" w:space="0" w:color="auto"/>
              <w:bottom w:val="single" w:sz="4" w:space="0" w:color="auto"/>
              <w:right w:val="single" w:sz="4" w:space="0" w:color="auto"/>
            </w:tcBorders>
            <w:shd w:val="clear" w:color="auto" w:fill="auto"/>
            <w:vAlign w:val="center"/>
          </w:tcPr>
          <w:p w14:paraId="3F5C1535" w14:textId="6B2FA944" w:rsidR="007A5ADC" w:rsidRDefault="007A5ADC">
            <w:pPr>
              <w:jc w:val="center"/>
              <w:rPr>
                <w:sz w:val="20"/>
                <w:szCs w:val="20"/>
              </w:rPr>
            </w:pPr>
            <w:r>
              <w:rPr>
                <w:sz w:val="20"/>
                <w:szCs w:val="20"/>
              </w:rPr>
              <w:t>---</w:t>
            </w:r>
          </w:p>
        </w:tc>
        <w:tc>
          <w:tcPr>
            <w:tcW w:w="775" w:type="pct"/>
            <w:tcBorders>
              <w:top w:val="single" w:sz="12" w:space="0" w:color="auto"/>
              <w:left w:val="single" w:sz="4" w:space="0" w:color="auto"/>
              <w:bottom w:val="single" w:sz="4" w:space="0" w:color="auto"/>
              <w:right w:val="single" w:sz="4" w:space="0" w:color="auto"/>
            </w:tcBorders>
            <w:shd w:val="clear" w:color="auto" w:fill="auto"/>
            <w:vAlign w:val="center"/>
          </w:tcPr>
          <w:p w14:paraId="4AA6766F" w14:textId="62C6C4E0" w:rsidR="007A5ADC" w:rsidRDefault="007A5ADC">
            <w:pPr>
              <w:jc w:val="center"/>
              <w:rPr>
                <w:sz w:val="20"/>
                <w:szCs w:val="20"/>
              </w:rPr>
            </w:pPr>
            <w:r>
              <w:rPr>
                <w:sz w:val="20"/>
                <w:szCs w:val="20"/>
              </w:rPr>
              <w:t>20 000 000 Kč</w:t>
            </w:r>
          </w:p>
        </w:tc>
        <w:tc>
          <w:tcPr>
            <w:tcW w:w="634" w:type="pct"/>
            <w:tcBorders>
              <w:top w:val="single" w:sz="12" w:space="0" w:color="auto"/>
              <w:left w:val="single" w:sz="4" w:space="0" w:color="auto"/>
              <w:bottom w:val="single" w:sz="4" w:space="0" w:color="auto"/>
              <w:right w:val="single" w:sz="4" w:space="0" w:color="auto"/>
            </w:tcBorders>
            <w:shd w:val="clear" w:color="auto" w:fill="auto"/>
            <w:vAlign w:val="center"/>
          </w:tcPr>
          <w:p w14:paraId="6F1A548B" w14:textId="427064EC" w:rsidR="007A5ADC" w:rsidRDefault="007A5ADC">
            <w:pPr>
              <w:jc w:val="center"/>
              <w:rPr>
                <w:sz w:val="20"/>
                <w:szCs w:val="20"/>
              </w:rPr>
            </w:pPr>
            <w:r>
              <w:rPr>
                <w:sz w:val="20"/>
                <w:szCs w:val="20"/>
              </w:rPr>
              <w:t>5 000 Kč, pro školská zařízení 1 000 Kč</w:t>
            </w:r>
          </w:p>
        </w:tc>
        <w:tc>
          <w:tcPr>
            <w:tcW w:w="775" w:type="pct"/>
            <w:vMerge w:val="restart"/>
            <w:tcBorders>
              <w:top w:val="single" w:sz="12" w:space="0" w:color="auto"/>
              <w:left w:val="single" w:sz="4" w:space="0" w:color="auto"/>
              <w:right w:val="single" w:sz="4" w:space="0" w:color="auto"/>
            </w:tcBorders>
            <w:shd w:val="clear" w:color="auto" w:fill="auto"/>
            <w:vAlign w:val="center"/>
          </w:tcPr>
          <w:p w14:paraId="03B0BFEA" w14:textId="77777777" w:rsidR="009761EC" w:rsidRDefault="007A5ADC">
            <w:pPr>
              <w:jc w:val="center"/>
              <w:rPr>
                <w:rStyle w:val="PedmtyChar"/>
                <w:szCs w:val="20"/>
              </w:rPr>
            </w:pPr>
            <w:r>
              <w:rPr>
                <w:rStyle w:val="PedmtyChar"/>
                <w:szCs w:val="20"/>
              </w:rPr>
              <w:t xml:space="preserve">Princip uplatnění nároku </w:t>
            </w:r>
          </w:p>
          <w:p w14:paraId="602A38A1" w14:textId="67C82142" w:rsidR="007A5ADC" w:rsidRDefault="007A5ADC">
            <w:pPr>
              <w:jc w:val="center"/>
              <w:rPr>
                <w:sz w:val="20"/>
                <w:szCs w:val="20"/>
              </w:rPr>
            </w:pPr>
            <w:r>
              <w:rPr>
                <w:rStyle w:val="PedmtyChar"/>
                <w:szCs w:val="20"/>
              </w:rPr>
              <w:t>(</w:t>
            </w:r>
            <w:proofErr w:type="spellStart"/>
            <w:r>
              <w:rPr>
                <w:rStyle w:val="PedmtyChar"/>
                <w:szCs w:val="20"/>
              </w:rPr>
              <w:t>claims</w:t>
            </w:r>
            <w:proofErr w:type="spellEnd"/>
            <w:r>
              <w:rPr>
                <w:rStyle w:val="PedmtyChar"/>
                <w:szCs w:val="20"/>
              </w:rPr>
              <w:t xml:space="preserve"> made), retroaktivní datum: 01.01.2010</w:t>
            </w:r>
          </w:p>
        </w:tc>
        <w:tc>
          <w:tcPr>
            <w:tcW w:w="703" w:type="pct"/>
            <w:vMerge w:val="restart"/>
            <w:tcBorders>
              <w:top w:val="single" w:sz="12" w:space="0" w:color="auto"/>
              <w:left w:val="single" w:sz="4" w:space="0" w:color="auto"/>
              <w:right w:val="single" w:sz="12" w:space="0" w:color="auto"/>
            </w:tcBorders>
            <w:shd w:val="clear" w:color="auto" w:fill="auto"/>
            <w:vAlign w:val="center"/>
          </w:tcPr>
          <w:p w14:paraId="4ECB5420" w14:textId="5B50B7A9" w:rsidR="007A5ADC" w:rsidRDefault="007A5ADC">
            <w:pPr>
              <w:jc w:val="center"/>
              <w:rPr>
                <w:sz w:val="20"/>
                <w:szCs w:val="20"/>
              </w:rPr>
            </w:pPr>
            <w:r>
              <w:rPr>
                <w:sz w:val="20"/>
                <w:szCs w:val="20"/>
              </w:rPr>
              <w:t>Česká republika</w:t>
            </w:r>
          </w:p>
        </w:tc>
      </w:tr>
      <w:tr w:rsidR="00E34C61" w14:paraId="1D49F667" w14:textId="77777777">
        <w:tc>
          <w:tcPr>
            <w:tcW w:w="315" w:type="pct"/>
            <w:tcBorders>
              <w:top w:val="single" w:sz="4" w:space="0" w:color="auto"/>
              <w:left w:val="single" w:sz="12" w:space="0" w:color="auto"/>
              <w:bottom w:val="single" w:sz="4" w:space="0" w:color="auto"/>
              <w:right w:val="single" w:sz="4" w:space="0" w:color="auto"/>
            </w:tcBorders>
            <w:shd w:val="clear" w:color="auto" w:fill="auto"/>
          </w:tcPr>
          <w:p w14:paraId="36862234" w14:textId="77777777" w:rsidR="007A5ADC" w:rsidRDefault="007A5ADC">
            <w:pPr>
              <w:pStyle w:val="Odstavecseseznamem"/>
              <w:numPr>
                <w:ilvl w:val="1"/>
                <w:numId w:val="42"/>
              </w:numPr>
              <w:spacing w:after="0" w:line="240" w:lineRule="auto"/>
              <w:rPr>
                <w:rFonts w:ascii="Koop Office" w:hAnsi="Koop Office"/>
                <w:sz w:val="20"/>
                <w:szCs w:val="20"/>
              </w:rPr>
            </w:pPr>
          </w:p>
        </w:tc>
        <w:tc>
          <w:tcPr>
            <w:tcW w:w="1798" w:type="pct"/>
            <w:gridSpan w:val="2"/>
            <w:tcBorders>
              <w:top w:val="single" w:sz="4" w:space="0" w:color="auto"/>
              <w:left w:val="single" w:sz="4" w:space="0" w:color="auto"/>
              <w:bottom w:val="single" w:sz="4" w:space="0" w:color="auto"/>
              <w:right w:val="single" w:sz="4" w:space="0" w:color="auto"/>
            </w:tcBorders>
            <w:shd w:val="clear" w:color="auto" w:fill="auto"/>
          </w:tcPr>
          <w:p w14:paraId="52DAFC1B" w14:textId="77777777" w:rsidR="007A5ADC" w:rsidRDefault="007A5ADC" w:rsidP="00D060A6">
            <w:pPr>
              <w:rPr>
                <w:rFonts w:cs="Calibri"/>
                <w:sz w:val="20"/>
                <w:szCs w:val="20"/>
              </w:rPr>
            </w:pPr>
            <w:r>
              <w:rPr>
                <w:rFonts w:cs="Calibri"/>
                <w:sz w:val="20"/>
                <w:szCs w:val="20"/>
              </w:rPr>
              <w:t>Pojištění odpovědnosti za újmu způsobenou na klenotech a jiných cennostech, věcech umělecké, historické nebo sběratelské hodnoty, penězích, směnkách, cenných papírech a ceninách</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068222" w14:textId="77777777" w:rsidR="007A5ADC" w:rsidRDefault="007A5ADC">
            <w:pPr>
              <w:jc w:val="center"/>
              <w:rPr>
                <w:sz w:val="20"/>
                <w:szCs w:val="20"/>
              </w:rPr>
            </w:pPr>
            <w:r>
              <w:rPr>
                <w:sz w:val="20"/>
                <w:szCs w:val="20"/>
              </w:rPr>
              <w:t>500 000 Kč</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2BB2287" w14:textId="05B4C98B" w:rsidR="007A5ADC" w:rsidRDefault="007A5ADC">
            <w:pPr>
              <w:jc w:val="center"/>
              <w:rPr>
                <w:sz w:val="20"/>
                <w:szCs w:val="20"/>
              </w:rPr>
            </w:pPr>
            <w:r>
              <w:rPr>
                <w:sz w:val="20"/>
                <w:szCs w:val="20"/>
              </w:rPr>
              <w:t>5 000 Kč</w:t>
            </w:r>
          </w:p>
        </w:tc>
        <w:tc>
          <w:tcPr>
            <w:tcW w:w="775" w:type="pct"/>
            <w:vMerge/>
            <w:tcBorders>
              <w:left w:val="single" w:sz="4" w:space="0" w:color="auto"/>
              <w:bottom w:val="single" w:sz="4" w:space="0" w:color="auto"/>
              <w:right w:val="single" w:sz="4" w:space="0" w:color="auto"/>
            </w:tcBorders>
            <w:shd w:val="clear" w:color="auto" w:fill="auto"/>
            <w:vAlign w:val="center"/>
          </w:tcPr>
          <w:p w14:paraId="50285628" w14:textId="77777777" w:rsidR="007A5ADC" w:rsidRDefault="007A5ADC" w:rsidP="00D060A6">
            <w:pPr>
              <w:rPr>
                <w:rStyle w:val="PedmtyChar"/>
                <w:rFonts w:eastAsia="Calibri"/>
                <w:szCs w:val="20"/>
              </w:rPr>
            </w:pPr>
          </w:p>
        </w:tc>
        <w:tc>
          <w:tcPr>
            <w:tcW w:w="703" w:type="pct"/>
            <w:vMerge/>
            <w:tcBorders>
              <w:left w:val="single" w:sz="4" w:space="0" w:color="auto"/>
              <w:bottom w:val="single" w:sz="4" w:space="0" w:color="auto"/>
              <w:right w:val="single" w:sz="12" w:space="0" w:color="auto"/>
            </w:tcBorders>
            <w:shd w:val="clear" w:color="auto" w:fill="auto"/>
            <w:vAlign w:val="center"/>
          </w:tcPr>
          <w:p w14:paraId="367E1074" w14:textId="77777777" w:rsidR="007A5ADC" w:rsidRDefault="007A5ADC" w:rsidP="00D060A6">
            <w:pPr>
              <w:rPr>
                <w:rStyle w:val="PedmtyChar"/>
                <w:rFonts w:eastAsia="Calibri"/>
                <w:szCs w:val="20"/>
              </w:rPr>
            </w:pPr>
          </w:p>
        </w:tc>
      </w:tr>
      <w:tr w:rsidR="008E4270" w14:paraId="6487C958" w14:textId="77777777">
        <w:trPr>
          <w:trHeight w:val="1096"/>
        </w:trPr>
        <w:tc>
          <w:tcPr>
            <w:tcW w:w="5000" w:type="pct"/>
            <w:gridSpan w:val="7"/>
            <w:tcBorders>
              <w:top w:val="single" w:sz="4" w:space="0" w:color="auto"/>
              <w:left w:val="single" w:sz="12" w:space="0" w:color="auto"/>
              <w:bottom w:val="single" w:sz="12" w:space="0" w:color="auto"/>
              <w:right w:val="single" w:sz="12" w:space="0" w:color="auto"/>
            </w:tcBorders>
            <w:shd w:val="clear" w:color="auto" w:fill="auto"/>
          </w:tcPr>
          <w:p w14:paraId="397E931A" w14:textId="77777777" w:rsidR="007A5ADC" w:rsidRDefault="007A5ADC" w:rsidP="00610862">
            <w:pPr>
              <w:rPr>
                <w:sz w:val="20"/>
                <w:szCs w:val="20"/>
              </w:rPr>
            </w:pPr>
            <w:r>
              <w:rPr>
                <w:sz w:val="20"/>
                <w:szCs w:val="20"/>
              </w:rPr>
              <w:t>Poznámky:</w:t>
            </w:r>
          </w:p>
          <w:p w14:paraId="47DE2370" w14:textId="77777777" w:rsidR="007A5ADC" w:rsidRDefault="007A5ADC">
            <w:pPr>
              <w:pStyle w:val="Odstavecseseznamem"/>
              <w:numPr>
                <w:ilvl w:val="0"/>
                <w:numId w:val="43"/>
              </w:numPr>
              <w:tabs>
                <w:tab w:val="clear" w:pos="851"/>
              </w:tabs>
              <w:spacing w:after="0" w:line="240" w:lineRule="auto"/>
              <w:ind w:left="463" w:hanging="425"/>
              <w:contextualSpacing w:val="0"/>
              <w:jc w:val="both"/>
              <w:rPr>
                <w:rFonts w:ascii="Koop Office" w:hAnsi="Koop Office"/>
                <w:sz w:val="20"/>
                <w:szCs w:val="20"/>
              </w:rPr>
            </w:pPr>
            <w:r>
              <w:rPr>
                <w:rFonts w:ascii="Koop Office" w:hAnsi="Koop Office"/>
                <w:sz w:val="20"/>
                <w:szCs w:val="20"/>
              </w:rPr>
              <w:t>Pojištěnou činností podle článku 16 odst. 2) ZPP P</w:t>
            </w:r>
            <w:r>
              <w:rPr>
                <w:rFonts w:ascii="Koop Office" w:hAnsi="Koop Office"/>
                <w:sz w:val="20"/>
                <w:szCs w:val="20"/>
              </w:rPr>
              <w:noBreakHyphen/>
              <w:t>6000/21 jsou i činnosti vyplývající z přeneseného výkonu státní správy a/nebo výkonu samosprávy pojištěného, coby územně samosprávného celku, podle příslušných právních předpisů.</w:t>
            </w:r>
          </w:p>
          <w:p w14:paraId="3002551B" w14:textId="77777777" w:rsidR="007A5ADC" w:rsidRDefault="007A5ADC">
            <w:pPr>
              <w:pStyle w:val="Odstavecseseznamem"/>
              <w:numPr>
                <w:ilvl w:val="0"/>
                <w:numId w:val="43"/>
              </w:numPr>
              <w:tabs>
                <w:tab w:val="clear" w:pos="851"/>
              </w:tabs>
              <w:spacing w:after="0" w:line="240" w:lineRule="auto"/>
              <w:ind w:left="463" w:hanging="425"/>
              <w:contextualSpacing w:val="0"/>
              <w:rPr>
                <w:rFonts w:ascii="Koop Office" w:hAnsi="Koop Office"/>
                <w:sz w:val="20"/>
                <w:szCs w:val="20"/>
              </w:rPr>
            </w:pPr>
            <w:r>
              <w:rPr>
                <w:rFonts w:ascii="Koop Office" w:hAnsi="Koop Office"/>
                <w:sz w:val="20"/>
                <w:szCs w:val="20"/>
              </w:rPr>
              <w:t>Pojištění se v souladu s čl. 2 odst. 1) písm. f) vztahuje i na zavlečení nebo rozšíření nakažlivé choroby lidí, zvířat nebo rostlin. Toto pojištění se sjednává se sublimitem pojistného plnění ve výši 20 000 000 Kč a se spoluúčastí ve výši 5 000 Kč.</w:t>
            </w:r>
          </w:p>
        </w:tc>
      </w:tr>
    </w:tbl>
    <w:p w14:paraId="48441B52" w14:textId="77777777" w:rsidR="007A5ADC" w:rsidRPr="008E4270" w:rsidRDefault="007A5ADC" w:rsidP="001D58F7">
      <w:pPr>
        <w:pStyle w:val="slovn-rove2"/>
        <w:numPr>
          <w:ilvl w:val="0"/>
          <w:numId w:val="0"/>
        </w:numPr>
        <w:spacing w:after="0"/>
        <w:ind w:left="1434" w:hanging="357"/>
        <w:rPr>
          <w:szCs w:val="20"/>
        </w:rPr>
      </w:pPr>
    </w:p>
    <w:tbl>
      <w:tblPr>
        <w:tblW w:w="4895" w:type="pct"/>
        <w:tblInd w:w="108" w:type="dxa"/>
        <w:tblLook w:val="04A0" w:firstRow="1" w:lastRow="0" w:firstColumn="1" w:lastColumn="0" w:noHBand="0" w:noVBand="1"/>
      </w:tblPr>
      <w:tblGrid>
        <w:gridCol w:w="10064"/>
      </w:tblGrid>
      <w:tr w:rsidR="008E4270" w14:paraId="59931424" w14:textId="77777777">
        <w:tc>
          <w:tcPr>
            <w:tcW w:w="5000" w:type="pct"/>
            <w:tcBorders>
              <w:top w:val="single" w:sz="12" w:space="0" w:color="auto"/>
              <w:left w:val="single" w:sz="12" w:space="0" w:color="auto"/>
              <w:bottom w:val="single" w:sz="12" w:space="0" w:color="auto"/>
              <w:right w:val="single" w:sz="12" w:space="0" w:color="auto"/>
            </w:tcBorders>
            <w:shd w:val="clear" w:color="auto" w:fill="auto"/>
          </w:tcPr>
          <w:p w14:paraId="77D8F745" w14:textId="74582DA2" w:rsidR="007A5ADC" w:rsidRDefault="007A5ADC" w:rsidP="00D060A6">
            <w:pPr>
              <w:rPr>
                <w:sz w:val="20"/>
                <w:szCs w:val="20"/>
              </w:rPr>
            </w:pPr>
            <w:r>
              <w:rPr>
                <w:b/>
                <w:bCs/>
                <w:sz w:val="20"/>
                <w:szCs w:val="20"/>
              </w:rPr>
              <w:t xml:space="preserve">Pojištění profesní odpovědnosti dle Oddílu III. Části 2. ZPP P-6000/21 se nesjednává </w:t>
            </w:r>
          </w:p>
        </w:tc>
      </w:tr>
    </w:tbl>
    <w:p w14:paraId="7A788F80" w14:textId="77777777" w:rsidR="007A5ADC" w:rsidRPr="008E4270" w:rsidRDefault="007A5ADC" w:rsidP="001D58F7">
      <w:pPr>
        <w:pStyle w:val="slovn-rove2"/>
        <w:numPr>
          <w:ilvl w:val="0"/>
          <w:numId w:val="0"/>
        </w:numPr>
        <w:spacing w:after="0"/>
        <w:ind w:left="1434" w:hanging="357"/>
        <w:rPr>
          <w:szCs w:val="20"/>
        </w:rPr>
      </w:pPr>
    </w:p>
    <w:tbl>
      <w:tblPr>
        <w:tblW w:w="4895" w:type="pct"/>
        <w:tblInd w:w="108" w:type="dxa"/>
        <w:tblLook w:val="04A0" w:firstRow="1" w:lastRow="0" w:firstColumn="1" w:lastColumn="0" w:noHBand="0" w:noVBand="1"/>
      </w:tblPr>
      <w:tblGrid>
        <w:gridCol w:w="10064"/>
      </w:tblGrid>
      <w:tr w:rsidR="008E4270" w14:paraId="19A5542B" w14:textId="77777777">
        <w:trPr>
          <w:trHeight w:val="111"/>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7E262D50" w14:textId="4CFF5FE9" w:rsidR="007A5ADC" w:rsidRDefault="007A5ADC">
            <w:pPr>
              <w:jc w:val="both"/>
              <w:rPr>
                <w:sz w:val="20"/>
                <w:szCs w:val="20"/>
              </w:rPr>
            </w:pPr>
            <w:r>
              <w:rPr>
                <w:b/>
                <w:bCs/>
                <w:sz w:val="20"/>
                <w:szCs w:val="20"/>
              </w:rPr>
              <w:t>Pojištění odpovědnosti poskytovatele zdravotních služeb za újmu dle Oddílu IV. Části 2. ZPP P-6000/21 se nesjednává</w:t>
            </w:r>
          </w:p>
        </w:tc>
      </w:tr>
    </w:tbl>
    <w:p w14:paraId="08C945C9" w14:textId="3A279CE1" w:rsidR="007B45E2" w:rsidRPr="008E4270" w:rsidRDefault="007B45E2" w:rsidP="001D58F7">
      <w:pPr>
        <w:keepNext/>
        <w:spacing w:before="180"/>
        <w:ind w:left="142" w:hanging="142"/>
        <w:rPr>
          <w:b/>
          <w:sz w:val="20"/>
          <w:szCs w:val="20"/>
        </w:rPr>
      </w:pPr>
      <w:r w:rsidRPr="008E4270">
        <w:rPr>
          <w:b/>
          <w:sz w:val="20"/>
          <w:szCs w:val="20"/>
        </w:rPr>
        <w:lastRenderedPageBreak/>
        <w:t>2.</w:t>
      </w:r>
      <w:r w:rsidR="00D306DA" w:rsidRPr="008E4270">
        <w:rPr>
          <w:b/>
          <w:sz w:val="20"/>
          <w:szCs w:val="20"/>
        </w:rPr>
        <w:t>8</w:t>
      </w:r>
      <w:r w:rsidRPr="008E4270">
        <w:rPr>
          <w:b/>
          <w:sz w:val="20"/>
          <w:szCs w:val="20"/>
        </w:rPr>
        <w:t>.2 Pojištění odpovědnosti zastupitelů obce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842"/>
        <w:gridCol w:w="1560"/>
        <w:gridCol w:w="1417"/>
        <w:gridCol w:w="1985"/>
      </w:tblGrid>
      <w:tr w:rsidR="008E4270" w:rsidRPr="008E4270" w14:paraId="4B514DA6" w14:textId="77777777" w:rsidTr="003F01E9">
        <w:tc>
          <w:tcPr>
            <w:tcW w:w="10065" w:type="dxa"/>
            <w:gridSpan w:val="6"/>
          </w:tcPr>
          <w:p w14:paraId="2C86D2CA" w14:textId="77777777" w:rsidR="007B45E2" w:rsidRPr="008E4270" w:rsidRDefault="007B45E2" w:rsidP="001D58F7">
            <w:pPr>
              <w:keepNext/>
              <w:rPr>
                <w:sz w:val="20"/>
                <w:szCs w:val="20"/>
              </w:rPr>
            </w:pPr>
            <w:r w:rsidRPr="008E4270">
              <w:rPr>
                <w:b/>
                <w:sz w:val="20"/>
                <w:szCs w:val="20"/>
              </w:rPr>
              <w:t xml:space="preserve">Pojištění se řídí: </w:t>
            </w:r>
            <w:r w:rsidRPr="008E4270">
              <w:rPr>
                <w:sz w:val="20"/>
                <w:szCs w:val="20"/>
              </w:rPr>
              <w:t xml:space="preserve">VPP P-100/14, ZPP P-666/14 </w:t>
            </w:r>
          </w:p>
        </w:tc>
      </w:tr>
      <w:tr w:rsidR="008E4270" w:rsidRPr="008E4270" w14:paraId="7E13921E" w14:textId="77777777" w:rsidTr="003F01E9">
        <w:tc>
          <w:tcPr>
            <w:tcW w:w="709" w:type="dxa"/>
            <w:vAlign w:val="center"/>
          </w:tcPr>
          <w:p w14:paraId="091CB0F9" w14:textId="77777777" w:rsidR="007B45E2" w:rsidRPr="008E4270" w:rsidRDefault="007B45E2" w:rsidP="001D58F7">
            <w:pPr>
              <w:keepNext/>
              <w:jc w:val="center"/>
              <w:rPr>
                <w:b/>
                <w:sz w:val="20"/>
                <w:szCs w:val="20"/>
              </w:rPr>
            </w:pPr>
            <w:r w:rsidRPr="008E4270">
              <w:rPr>
                <w:b/>
                <w:sz w:val="20"/>
                <w:szCs w:val="20"/>
              </w:rPr>
              <w:t>Poř. číslo</w:t>
            </w:r>
          </w:p>
        </w:tc>
        <w:tc>
          <w:tcPr>
            <w:tcW w:w="2552" w:type="dxa"/>
            <w:vAlign w:val="center"/>
          </w:tcPr>
          <w:p w14:paraId="2CBE07DD" w14:textId="77777777" w:rsidR="007B45E2" w:rsidRPr="008E4270" w:rsidRDefault="007B45E2" w:rsidP="001D58F7">
            <w:pPr>
              <w:keepNext/>
              <w:jc w:val="center"/>
              <w:rPr>
                <w:b/>
                <w:sz w:val="20"/>
                <w:szCs w:val="20"/>
              </w:rPr>
            </w:pPr>
            <w:r w:rsidRPr="008E4270">
              <w:rPr>
                <w:b/>
                <w:sz w:val="20"/>
                <w:szCs w:val="20"/>
              </w:rPr>
              <w:t>Rozsah pojištění</w:t>
            </w:r>
          </w:p>
        </w:tc>
        <w:tc>
          <w:tcPr>
            <w:tcW w:w="1842" w:type="dxa"/>
            <w:vAlign w:val="center"/>
          </w:tcPr>
          <w:p w14:paraId="11408719" w14:textId="77777777" w:rsidR="007B45E2" w:rsidRPr="008E4270" w:rsidRDefault="007B45E2" w:rsidP="001D58F7">
            <w:pPr>
              <w:keepNext/>
              <w:jc w:val="center"/>
              <w:rPr>
                <w:b/>
                <w:sz w:val="20"/>
                <w:szCs w:val="20"/>
              </w:rPr>
            </w:pPr>
            <w:r w:rsidRPr="008E4270">
              <w:rPr>
                <w:b/>
                <w:sz w:val="20"/>
                <w:szCs w:val="20"/>
              </w:rPr>
              <w:t>Limit pojistného plnění</w:t>
            </w:r>
            <w:r w:rsidRPr="008E4270">
              <w:rPr>
                <w:b/>
                <w:sz w:val="20"/>
                <w:szCs w:val="20"/>
                <w:vertAlign w:val="superscript"/>
              </w:rPr>
              <w:t>6)</w:t>
            </w:r>
          </w:p>
        </w:tc>
        <w:tc>
          <w:tcPr>
            <w:tcW w:w="1560" w:type="dxa"/>
            <w:vAlign w:val="center"/>
          </w:tcPr>
          <w:p w14:paraId="738B8D71" w14:textId="77777777" w:rsidR="007B45E2" w:rsidRPr="008E4270" w:rsidRDefault="007B45E2" w:rsidP="001D58F7">
            <w:pPr>
              <w:keepNext/>
              <w:jc w:val="center"/>
              <w:rPr>
                <w:b/>
                <w:sz w:val="20"/>
                <w:szCs w:val="20"/>
              </w:rPr>
            </w:pPr>
            <w:r w:rsidRPr="008E4270">
              <w:rPr>
                <w:b/>
                <w:sz w:val="20"/>
                <w:szCs w:val="20"/>
              </w:rPr>
              <w:t>Sublimit pojistného plnění</w:t>
            </w:r>
            <w:r w:rsidRPr="008E4270">
              <w:rPr>
                <w:b/>
                <w:sz w:val="20"/>
                <w:szCs w:val="20"/>
                <w:vertAlign w:val="superscript"/>
              </w:rPr>
              <w:t>7)</w:t>
            </w:r>
          </w:p>
        </w:tc>
        <w:tc>
          <w:tcPr>
            <w:tcW w:w="1417" w:type="dxa"/>
            <w:vAlign w:val="center"/>
          </w:tcPr>
          <w:p w14:paraId="4BBE0D34" w14:textId="77777777" w:rsidR="007B45E2" w:rsidRPr="008E4270" w:rsidRDefault="007B45E2" w:rsidP="001D58F7">
            <w:pPr>
              <w:keepNext/>
              <w:jc w:val="center"/>
              <w:rPr>
                <w:b/>
                <w:sz w:val="20"/>
                <w:szCs w:val="20"/>
              </w:rPr>
            </w:pPr>
            <w:r w:rsidRPr="008E4270">
              <w:rPr>
                <w:b/>
                <w:sz w:val="20"/>
                <w:szCs w:val="20"/>
              </w:rPr>
              <w:t>Spoluúčast</w:t>
            </w:r>
            <w:r w:rsidRPr="008E4270">
              <w:rPr>
                <w:b/>
                <w:sz w:val="20"/>
                <w:szCs w:val="20"/>
                <w:vertAlign w:val="superscript"/>
              </w:rPr>
              <w:t>5)</w:t>
            </w:r>
          </w:p>
        </w:tc>
        <w:tc>
          <w:tcPr>
            <w:tcW w:w="1985" w:type="dxa"/>
            <w:vAlign w:val="center"/>
          </w:tcPr>
          <w:p w14:paraId="550D661F" w14:textId="77777777" w:rsidR="007B45E2" w:rsidRPr="008E4270" w:rsidRDefault="007B45E2" w:rsidP="001D58F7">
            <w:pPr>
              <w:keepNext/>
              <w:jc w:val="center"/>
              <w:rPr>
                <w:b/>
                <w:sz w:val="20"/>
                <w:szCs w:val="20"/>
              </w:rPr>
            </w:pPr>
            <w:r w:rsidRPr="008E4270">
              <w:rPr>
                <w:b/>
                <w:sz w:val="20"/>
                <w:szCs w:val="20"/>
              </w:rPr>
              <w:t>Územní platnost pojištění</w:t>
            </w:r>
          </w:p>
        </w:tc>
      </w:tr>
      <w:tr w:rsidR="008E4270" w:rsidRPr="008E4270" w14:paraId="4CDCB52F" w14:textId="77777777" w:rsidTr="003F01E9">
        <w:trPr>
          <w:trHeight w:val="549"/>
        </w:trPr>
        <w:tc>
          <w:tcPr>
            <w:tcW w:w="709" w:type="dxa"/>
            <w:vAlign w:val="center"/>
          </w:tcPr>
          <w:p w14:paraId="4FD98774" w14:textId="77777777" w:rsidR="007B45E2" w:rsidRPr="008E4270" w:rsidRDefault="007B45E2" w:rsidP="001D58F7">
            <w:pPr>
              <w:keepNext/>
              <w:jc w:val="center"/>
              <w:rPr>
                <w:sz w:val="20"/>
                <w:szCs w:val="20"/>
              </w:rPr>
            </w:pPr>
            <w:r w:rsidRPr="008E4270">
              <w:rPr>
                <w:sz w:val="20"/>
                <w:szCs w:val="20"/>
              </w:rPr>
              <w:t>1.</w:t>
            </w:r>
          </w:p>
        </w:tc>
        <w:tc>
          <w:tcPr>
            <w:tcW w:w="2552" w:type="dxa"/>
            <w:vAlign w:val="center"/>
          </w:tcPr>
          <w:p w14:paraId="672E3F09" w14:textId="2CC28E97" w:rsidR="007B45E2" w:rsidRPr="008E4270" w:rsidRDefault="007B45E2" w:rsidP="001D58F7">
            <w:pPr>
              <w:keepNext/>
              <w:rPr>
                <w:sz w:val="20"/>
                <w:szCs w:val="20"/>
              </w:rPr>
            </w:pPr>
            <w:r w:rsidRPr="008E4270">
              <w:rPr>
                <w:sz w:val="20"/>
                <w:szCs w:val="20"/>
              </w:rPr>
              <w:t xml:space="preserve">Pojištění odpovědnosti zastupitelů </w:t>
            </w:r>
            <w:r w:rsidR="00D306DA" w:rsidRPr="008E4270">
              <w:rPr>
                <w:sz w:val="20"/>
                <w:szCs w:val="20"/>
              </w:rPr>
              <w:t>o</w:t>
            </w:r>
            <w:r w:rsidR="007D0D29" w:rsidRPr="008E4270">
              <w:rPr>
                <w:sz w:val="20"/>
                <w:szCs w:val="20"/>
              </w:rPr>
              <w:t>bce</w:t>
            </w:r>
          </w:p>
        </w:tc>
        <w:tc>
          <w:tcPr>
            <w:tcW w:w="1842" w:type="dxa"/>
            <w:vAlign w:val="center"/>
          </w:tcPr>
          <w:p w14:paraId="74352A90" w14:textId="7D9CAA48" w:rsidR="007B45E2" w:rsidRPr="008E4270" w:rsidRDefault="007D7796" w:rsidP="001D58F7">
            <w:pPr>
              <w:keepNext/>
              <w:jc w:val="center"/>
              <w:rPr>
                <w:sz w:val="20"/>
                <w:szCs w:val="20"/>
              </w:rPr>
            </w:pPr>
            <w:r w:rsidRPr="008E4270">
              <w:rPr>
                <w:sz w:val="20"/>
                <w:szCs w:val="20"/>
              </w:rPr>
              <w:t>10</w:t>
            </w:r>
            <w:r w:rsidR="007B45E2" w:rsidRPr="008E4270">
              <w:rPr>
                <w:sz w:val="20"/>
                <w:szCs w:val="20"/>
              </w:rPr>
              <w:t xml:space="preserve"> 000 000 Kč</w:t>
            </w:r>
            <w:r w:rsidR="007D0D29" w:rsidRPr="008E4270">
              <w:rPr>
                <w:sz w:val="20"/>
                <w:szCs w:val="20"/>
              </w:rPr>
              <w:t xml:space="preserve"> *)</w:t>
            </w:r>
          </w:p>
        </w:tc>
        <w:tc>
          <w:tcPr>
            <w:tcW w:w="1560" w:type="dxa"/>
            <w:vAlign w:val="center"/>
          </w:tcPr>
          <w:p w14:paraId="36AEBE8A" w14:textId="77777777" w:rsidR="007B45E2" w:rsidRPr="008E4270" w:rsidRDefault="007B45E2" w:rsidP="001D58F7">
            <w:pPr>
              <w:keepNext/>
              <w:jc w:val="center"/>
              <w:rPr>
                <w:sz w:val="20"/>
                <w:szCs w:val="20"/>
              </w:rPr>
            </w:pPr>
            <w:r w:rsidRPr="008E4270">
              <w:rPr>
                <w:rFonts w:cs="Arial"/>
                <w:sz w:val="20"/>
                <w:szCs w:val="20"/>
              </w:rPr>
              <w:t>---</w:t>
            </w:r>
          </w:p>
        </w:tc>
        <w:tc>
          <w:tcPr>
            <w:tcW w:w="1417" w:type="dxa"/>
            <w:vAlign w:val="center"/>
          </w:tcPr>
          <w:p w14:paraId="68D08115" w14:textId="7C8C6F95" w:rsidR="007B45E2" w:rsidRPr="008E4270" w:rsidRDefault="00B26437" w:rsidP="001D58F7">
            <w:pPr>
              <w:keepNext/>
              <w:jc w:val="center"/>
              <w:rPr>
                <w:sz w:val="20"/>
                <w:szCs w:val="20"/>
              </w:rPr>
            </w:pPr>
            <w:r w:rsidRPr="008E4270">
              <w:rPr>
                <w:sz w:val="20"/>
                <w:szCs w:val="20"/>
              </w:rPr>
              <w:t>5</w:t>
            </w:r>
            <w:r w:rsidR="00D306DA" w:rsidRPr="008E4270">
              <w:rPr>
                <w:sz w:val="20"/>
                <w:szCs w:val="20"/>
              </w:rPr>
              <w:t xml:space="preserve"> 0</w:t>
            </w:r>
            <w:r w:rsidR="007B45E2" w:rsidRPr="008E4270">
              <w:rPr>
                <w:sz w:val="20"/>
                <w:szCs w:val="20"/>
              </w:rPr>
              <w:t>00 Kč</w:t>
            </w:r>
          </w:p>
        </w:tc>
        <w:tc>
          <w:tcPr>
            <w:tcW w:w="1985" w:type="dxa"/>
            <w:vAlign w:val="center"/>
          </w:tcPr>
          <w:p w14:paraId="21F4F160" w14:textId="77777777" w:rsidR="007B45E2" w:rsidRPr="008E4270" w:rsidRDefault="007B45E2" w:rsidP="001D58F7">
            <w:pPr>
              <w:keepNext/>
              <w:jc w:val="center"/>
              <w:rPr>
                <w:sz w:val="20"/>
                <w:szCs w:val="20"/>
              </w:rPr>
            </w:pPr>
            <w:r w:rsidRPr="008E4270">
              <w:rPr>
                <w:sz w:val="20"/>
                <w:szCs w:val="20"/>
              </w:rPr>
              <w:t>Česká republika</w:t>
            </w:r>
          </w:p>
        </w:tc>
      </w:tr>
      <w:tr w:rsidR="008E4270" w:rsidRPr="008E4270" w14:paraId="223B4C9E" w14:textId="77777777" w:rsidTr="00074399">
        <w:trPr>
          <w:trHeight w:val="453"/>
        </w:trPr>
        <w:tc>
          <w:tcPr>
            <w:tcW w:w="10065" w:type="dxa"/>
            <w:gridSpan w:val="6"/>
          </w:tcPr>
          <w:p w14:paraId="3B46B284" w14:textId="78233AA3" w:rsidR="007B45E2" w:rsidRPr="008E4270" w:rsidRDefault="007D0D29" w:rsidP="001D58F7">
            <w:pPr>
              <w:keepNext/>
              <w:ind w:left="181" w:hanging="181"/>
              <w:jc w:val="both"/>
              <w:rPr>
                <w:sz w:val="20"/>
                <w:szCs w:val="20"/>
              </w:rPr>
            </w:pPr>
            <w:r w:rsidRPr="008E4270">
              <w:rPr>
                <w:sz w:val="20"/>
                <w:szCs w:val="20"/>
              </w:rPr>
              <w:t>*) Tento limit pojistného plnění se sjednává v rámci limitu pojistného plnění Pojištění obecné odpovědnosti</w:t>
            </w:r>
            <w:r w:rsidR="00CD04A7" w:rsidRPr="008E4270">
              <w:rPr>
                <w:sz w:val="20"/>
                <w:szCs w:val="20"/>
              </w:rPr>
              <w:t xml:space="preserve"> za újmu </w:t>
            </w:r>
            <w:r w:rsidR="0095635F" w:rsidRPr="008E4270">
              <w:rPr>
                <w:sz w:val="20"/>
                <w:szCs w:val="20"/>
              </w:rPr>
              <w:t>uvedeném v bodě 2.8.1. této smlouvy, poř. číslo 1</w:t>
            </w:r>
            <w:r w:rsidRPr="008E4270">
              <w:rPr>
                <w:sz w:val="20"/>
                <w:szCs w:val="20"/>
              </w:rPr>
              <w:t>.</w:t>
            </w:r>
          </w:p>
        </w:tc>
      </w:tr>
      <w:tr w:rsidR="008E4270" w:rsidRPr="008E4270" w14:paraId="2584964D" w14:textId="77777777" w:rsidTr="003F01E9">
        <w:trPr>
          <w:trHeight w:val="765"/>
        </w:trPr>
        <w:tc>
          <w:tcPr>
            <w:tcW w:w="10065" w:type="dxa"/>
            <w:gridSpan w:val="6"/>
          </w:tcPr>
          <w:p w14:paraId="0B6CE916" w14:textId="059EDBA4" w:rsidR="00074399" w:rsidRPr="008E4270" w:rsidRDefault="00074399" w:rsidP="001D58F7">
            <w:pPr>
              <w:keepNext/>
              <w:ind w:left="57" w:right="57"/>
              <w:jc w:val="both"/>
              <w:rPr>
                <w:rFonts w:cs="Arial"/>
                <w:snapToGrid w:val="0"/>
                <w:spacing w:val="-4"/>
                <w:sz w:val="20"/>
                <w:szCs w:val="20"/>
              </w:rPr>
            </w:pPr>
            <w:r w:rsidRPr="008E4270">
              <w:rPr>
                <w:rFonts w:cs="Arial"/>
                <w:spacing w:val="-4"/>
                <w:sz w:val="20"/>
                <w:szCs w:val="20"/>
              </w:rPr>
              <w:t xml:space="preserve">toto pojištění se sjednává pro případ právním předpisem stanovené odpovědnosti pojištěného za finanční škodu způsobenou obci porušením právní povinnosti </w:t>
            </w:r>
            <w:r w:rsidRPr="008E4270">
              <w:rPr>
                <w:rFonts w:cs="Arial"/>
                <w:b/>
                <w:spacing w:val="-2"/>
                <w:sz w:val="20"/>
                <w:szCs w:val="20"/>
              </w:rPr>
              <w:t xml:space="preserve">vyplývající z výkonu funkce zastupitele </w:t>
            </w:r>
            <w:r w:rsidRPr="008E4270">
              <w:rPr>
                <w:rFonts w:cs="Arial"/>
                <w:b/>
                <w:snapToGrid w:val="0"/>
                <w:spacing w:val="-2"/>
                <w:sz w:val="20"/>
                <w:szCs w:val="20"/>
              </w:rPr>
              <w:t>Města Rakovník,             IČO: 00244309</w:t>
            </w:r>
            <w:r w:rsidRPr="008E4270">
              <w:rPr>
                <w:rFonts w:cs="Arial"/>
                <w:sz w:val="20"/>
                <w:szCs w:val="20"/>
              </w:rPr>
              <w:t>;</w:t>
            </w:r>
          </w:p>
          <w:p w14:paraId="410986C9" w14:textId="6C36B553" w:rsidR="006D7317" w:rsidRPr="008E4270" w:rsidRDefault="00074399" w:rsidP="001D58F7">
            <w:pPr>
              <w:keepNext/>
              <w:ind w:left="181" w:hanging="181"/>
              <w:jc w:val="both"/>
              <w:rPr>
                <w:sz w:val="20"/>
                <w:szCs w:val="20"/>
              </w:rPr>
            </w:pPr>
            <w:r w:rsidRPr="008E4270">
              <w:rPr>
                <w:rFonts w:cs="Arial"/>
                <w:spacing w:val="-4"/>
                <w:sz w:val="20"/>
                <w:szCs w:val="20"/>
              </w:rPr>
              <w:t xml:space="preserve"> pojištěné funkce - </w:t>
            </w:r>
            <w:r w:rsidRPr="008E4270">
              <w:rPr>
                <w:rFonts w:cs="Arial"/>
                <w:bCs/>
                <w:spacing w:val="-4"/>
                <w:sz w:val="20"/>
                <w:szCs w:val="20"/>
              </w:rPr>
              <w:t>zastupitelstvo</w:t>
            </w:r>
            <w:r w:rsidRPr="008E4270">
              <w:rPr>
                <w:rFonts w:cs="Arial"/>
                <w:b/>
                <w:spacing w:val="-4"/>
                <w:sz w:val="20"/>
                <w:szCs w:val="20"/>
              </w:rPr>
              <w:t xml:space="preserve"> </w:t>
            </w:r>
            <w:r w:rsidRPr="008E4270">
              <w:rPr>
                <w:rFonts w:cs="Arial"/>
                <w:spacing w:val="-4"/>
                <w:sz w:val="20"/>
                <w:szCs w:val="20"/>
              </w:rPr>
              <w:t>(všichni členové, vč. starosty, místostarostů a ostatních členů rady).</w:t>
            </w:r>
          </w:p>
        </w:tc>
      </w:tr>
    </w:tbl>
    <w:p w14:paraId="0E3137A8" w14:textId="77777777" w:rsidR="0084760E" w:rsidRPr="008E4270" w:rsidRDefault="0084760E" w:rsidP="0084760E">
      <w:pPr>
        <w:tabs>
          <w:tab w:val="left" w:pos="227"/>
        </w:tabs>
        <w:spacing w:line="233" w:lineRule="auto"/>
        <w:ind w:left="227" w:hanging="227"/>
        <w:rPr>
          <w:b/>
          <w:sz w:val="18"/>
          <w:szCs w:val="18"/>
          <w:vertAlign w:val="superscript"/>
        </w:rPr>
      </w:pPr>
    </w:p>
    <w:p w14:paraId="5DE4F694" w14:textId="5BB01C0E"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1)</w:t>
      </w:r>
      <w:r w:rsidRPr="008E4270">
        <w:rPr>
          <w:sz w:val="18"/>
          <w:szCs w:val="18"/>
        </w:rPr>
        <w:tab/>
        <w:t>nová cena je vyjádření pojistné hodnoty ve smyslu ustanovení čl. 21 odst. 2) písm. a) VPP P-100/14</w:t>
      </w:r>
    </w:p>
    <w:p w14:paraId="33D4630F" w14:textId="77777777" w:rsidR="00CD7B88" w:rsidRPr="008E4270" w:rsidRDefault="00CD7B88" w:rsidP="004354E9">
      <w:pPr>
        <w:tabs>
          <w:tab w:val="left" w:pos="227"/>
        </w:tabs>
        <w:spacing w:line="228" w:lineRule="auto"/>
        <w:ind w:left="227" w:hanging="227"/>
        <w:jc w:val="both"/>
        <w:rPr>
          <w:sz w:val="18"/>
          <w:szCs w:val="18"/>
        </w:rPr>
      </w:pPr>
      <w:r w:rsidRPr="008E4270">
        <w:rPr>
          <w:sz w:val="18"/>
          <w:szCs w:val="18"/>
        </w:rPr>
        <w:tab/>
        <w:t>časová cena je vyjádření pojistné hodnoty věci ve smyslu ustanovení čl. 21 odst. 2) písm. b) VPP P-100/14</w:t>
      </w:r>
    </w:p>
    <w:p w14:paraId="75E90160" w14:textId="77777777" w:rsidR="00CD7B88" w:rsidRPr="008E4270" w:rsidRDefault="00CD7B88" w:rsidP="004354E9">
      <w:pPr>
        <w:tabs>
          <w:tab w:val="left" w:pos="227"/>
        </w:tabs>
        <w:spacing w:line="228" w:lineRule="auto"/>
        <w:ind w:left="227" w:hanging="227"/>
        <w:jc w:val="both"/>
        <w:rPr>
          <w:sz w:val="18"/>
          <w:szCs w:val="18"/>
        </w:rPr>
      </w:pPr>
      <w:r w:rsidRPr="008E4270">
        <w:rPr>
          <w:sz w:val="18"/>
          <w:szCs w:val="18"/>
        </w:rPr>
        <w:tab/>
        <w:t>obvyklá cena je vyjádření pojistné hodnoty věci ve smyslu ustanovení čl. 21 odst. 2) písm. c) VPP P-100/14</w:t>
      </w:r>
    </w:p>
    <w:p w14:paraId="06E6B24B" w14:textId="77777777" w:rsidR="00CD7B88" w:rsidRPr="008E4270" w:rsidRDefault="00CD7B88" w:rsidP="004354E9">
      <w:pPr>
        <w:tabs>
          <w:tab w:val="left" w:pos="227"/>
        </w:tabs>
        <w:spacing w:line="228" w:lineRule="auto"/>
        <w:ind w:left="227" w:hanging="227"/>
        <w:jc w:val="both"/>
        <w:rPr>
          <w:sz w:val="18"/>
          <w:szCs w:val="18"/>
        </w:rPr>
      </w:pPr>
      <w:r w:rsidRPr="008E4270">
        <w:rPr>
          <w:sz w:val="18"/>
          <w:szCs w:val="18"/>
        </w:rPr>
        <w:tab/>
        <w:t>jiná cena je vyjádření pojistné hodnoty věci ve smyslu čl. V. Zvláštní ujednání této pojistné smlouvy</w:t>
      </w:r>
    </w:p>
    <w:p w14:paraId="5B52A8CF" w14:textId="77777777"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2)</w:t>
      </w:r>
      <w:r w:rsidRPr="008E4270">
        <w:rPr>
          <w:sz w:val="18"/>
          <w:szCs w:val="18"/>
        </w:rPr>
        <w:tab/>
        <w:t>první riziko ve smyslu ustanovení čl. 23 odst. 1) písm. a) VPP P-100/14</w:t>
      </w:r>
    </w:p>
    <w:p w14:paraId="0D22E492" w14:textId="77777777"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3)</w:t>
      </w:r>
      <w:r w:rsidRPr="008E4270">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14:paraId="0EA76093" w14:textId="77777777"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4)</w:t>
      </w:r>
      <w:r w:rsidRPr="008E4270">
        <w:rPr>
          <w:sz w:val="18"/>
          <w:szCs w:val="18"/>
        </w:rPr>
        <w:tab/>
        <w:t>zlomkové pojištění ve smyslu čl. 23 odst. 1) písm. b) VPP P-100/14</w:t>
      </w:r>
    </w:p>
    <w:p w14:paraId="4630AF55" w14:textId="77777777"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5)</w:t>
      </w:r>
      <w:r w:rsidRPr="008E4270">
        <w:rPr>
          <w:sz w:val="18"/>
          <w:szCs w:val="18"/>
        </w:rPr>
        <w:tab/>
        <w:t>spoluúčast může být vyjádřena pevnou částkou, procentem, časovým úsekem nebo jejich kombinací ve smyslu čl. 11 odst. 4) VPP P-100/14</w:t>
      </w:r>
    </w:p>
    <w:p w14:paraId="54C3381A" w14:textId="16417276"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6)</w:t>
      </w:r>
      <w:r w:rsidRPr="008E4270">
        <w:rPr>
          <w:sz w:val="18"/>
          <w:szCs w:val="18"/>
        </w:rPr>
        <w:tab/>
      </w:r>
      <w:r w:rsidR="004410FB" w:rsidRPr="008E4270">
        <w:rPr>
          <w:sz w:val="18"/>
          <w:szCs w:val="18"/>
        </w:rPr>
        <w:t>zrušeno</w:t>
      </w:r>
    </w:p>
    <w:p w14:paraId="604C30AF" w14:textId="2AA4C2C8"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7)</w:t>
      </w:r>
      <w:r w:rsidRPr="008E4270">
        <w:rPr>
          <w:sz w:val="18"/>
          <w:szCs w:val="18"/>
        </w:rPr>
        <w:tab/>
      </w:r>
      <w:r w:rsidR="004410FB" w:rsidRPr="008E4270">
        <w:rPr>
          <w:sz w:val="18"/>
          <w:szCs w:val="18"/>
        </w:rPr>
        <w:t>zrušeno</w:t>
      </w:r>
    </w:p>
    <w:p w14:paraId="1118C9A5" w14:textId="07BB8CBD" w:rsidR="00214C96"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8)</w:t>
      </w:r>
      <w:r w:rsidRPr="008E4270">
        <w:rPr>
          <w:sz w:val="18"/>
          <w:szCs w:val="18"/>
        </w:rPr>
        <w:tab/>
        <w:t>dobou ručení se rozumí doba ve smyslu čl. 11 odst. 5) ZPP P-400/14, resp. čl. 14 odst. 2) DPP P-330/16, resp. čl. 20 odst. 4) DPP P-340/16</w:t>
      </w:r>
    </w:p>
    <w:p w14:paraId="7278F31F" w14:textId="5E099130"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9)</w:t>
      </w:r>
      <w:r w:rsidRPr="008E4270">
        <w:rPr>
          <w:sz w:val="18"/>
          <w:szCs w:val="18"/>
        </w:rPr>
        <w:tab/>
        <w:t xml:space="preserve">integrální časová franšíza je časový úsek specifikovaný několika pracovními dny. Právo na pojistné plnění vzniká jen tehdy, </w:t>
      </w:r>
      <w:r w:rsidR="004354E9" w:rsidRPr="008E4270">
        <w:rPr>
          <w:sz w:val="18"/>
          <w:szCs w:val="18"/>
        </w:rPr>
        <w:t xml:space="preserve">   </w:t>
      </w:r>
      <w:r w:rsidRPr="008E4270">
        <w:rPr>
          <w:sz w:val="18"/>
          <w:szCs w:val="18"/>
        </w:rPr>
        <w:t>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2513ECC4" w14:textId="77777777"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10)</w:t>
      </w:r>
      <w:r w:rsidRPr="008E4270">
        <w:rPr>
          <w:sz w:val="18"/>
          <w:szCs w:val="18"/>
        </w:rPr>
        <w:tab/>
        <w:t>agregovaná pojistná částka se sjednává v případě pojištění souboru věcí, celková pojistná částka se sjednává v případě pojištění výčtu jednotlivých věcí a součtu jejich hodnot</w:t>
      </w:r>
    </w:p>
    <w:p w14:paraId="086EE277" w14:textId="10003A98"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11)</w:t>
      </w:r>
      <w:r w:rsidRPr="008E4270">
        <w:rPr>
          <w:sz w:val="18"/>
          <w:szCs w:val="18"/>
        </w:rPr>
        <w:tab/>
        <w:t xml:space="preserve">MRLPPR je horní hranicí </w:t>
      </w:r>
      <w:r w:rsidR="009C0300" w:rsidRPr="008E4270">
        <w:rPr>
          <w:sz w:val="18"/>
          <w:szCs w:val="18"/>
        </w:rPr>
        <w:t xml:space="preserve">pojistného </w:t>
      </w:r>
      <w:r w:rsidRPr="008E4270">
        <w:rPr>
          <w:sz w:val="18"/>
          <w:szCs w:val="18"/>
        </w:rPr>
        <w:t>plnění v souhrnu ze všech pojistných událostí, u nichž věcná škoda, která byla důvodem jejich vzniku, nastala během jednoho pojistného roku. Je-li pojištění přerušení provozu sjednáno na dobu kratší než jeden pojistný rok, je MRLPPR horní hranicí</w:t>
      </w:r>
      <w:r w:rsidR="009C0300" w:rsidRPr="008E4270">
        <w:rPr>
          <w:sz w:val="18"/>
          <w:szCs w:val="18"/>
        </w:rPr>
        <w:t xml:space="preserve"> pojistného</w:t>
      </w:r>
      <w:r w:rsidRPr="008E4270">
        <w:rPr>
          <w:sz w:val="18"/>
          <w:szCs w:val="18"/>
        </w:rPr>
        <w:t xml:space="preserve"> plnění v souhrnu ze všech pojistných událostí, u nichž věcná škoda, která byla důvodem jejich vzniku, nastala během doby trvání pojištění. Není-li sjednán limit </w:t>
      </w:r>
      <w:r w:rsidR="00E746CF" w:rsidRPr="008E4270">
        <w:rPr>
          <w:sz w:val="18"/>
          <w:szCs w:val="18"/>
        </w:rPr>
        <w:t xml:space="preserve">pojistného </w:t>
      </w:r>
      <w:r w:rsidRPr="008E4270">
        <w:rPr>
          <w:sz w:val="18"/>
          <w:szCs w:val="18"/>
        </w:rPr>
        <w:t xml:space="preserve">plnění pro jednu pojistnou událost, považuje se sjednaný MRLPPR i za limit </w:t>
      </w:r>
      <w:r w:rsidR="00E746CF" w:rsidRPr="008E4270">
        <w:rPr>
          <w:sz w:val="18"/>
          <w:szCs w:val="18"/>
        </w:rPr>
        <w:t xml:space="preserve">pojistného </w:t>
      </w:r>
      <w:r w:rsidRPr="008E4270">
        <w:rPr>
          <w:sz w:val="18"/>
          <w:szCs w:val="18"/>
        </w:rPr>
        <w:t>plnění pro jednu pojistnou událost</w:t>
      </w:r>
    </w:p>
    <w:p w14:paraId="6A91262A" w14:textId="62AAE6F0" w:rsidR="00CD7B88" w:rsidRPr="008E4270" w:rsidRDefault="00CD7B88" w:rsidP="004354E9">
      <w:pPr>
        <w:tabs>
          <w:tab w:val="left" w:pos="227"/>
        </w:tabs>
        <w:spacing w:line="228" w:lineRule="auto"/>
        <w:ind w:left="227" w:hanging="227"/>
        <w:jc w:val="both"/>
        <w:rPr>
          <w:sz w:val="18"/>
          <w:szCs w:val="18"/>
        </w:rPr>
      </w:pPr>
      <w:r w:rsidRPr="008E4270">
        <w:rPr>
          <w:b/>
          <w:sz w:val="18"/>
          <w:szCs w:val="18"/>
          <w:vertAlign w:val="superscript"/>
        </w:rPr>
        <w:t>12)</w:t>
      </w:r>
      <w:r w:rsidRPr="008E4270">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14:paraId="5D721377" w14:textId="77777777" w:rsidR="000F692E" w:rsidRPr="008E4270" w:rsidRDefault="000F692E" w:rsidP="008B5D80">
      <w:pPr>
        <w:keepNext/>
        <w:numPr>
          <w:ilvl w:val="0"/>
          <w:numId w:val="12"/>
        </w:numPr>
        <w:spacing w:before="120"/>
        <w:rPr>
          <w:rFonts w:cs="Arial"/>
          <w:b/>
          <w:sz w:val="20"/>
          <w:szCs w:val="20"/>
        </w:rPr>
      </w:pPr>
      <w:r w:rsidRPr="008E4270">
        <w:rPr>
          <w:rFonts w:cs="Arial"/>
          <w:b/>
          <w:sz w:val="20"/>
          <w:szCs w:val="20"/>
        </w:rPr>
        <w:t xml:space="preserve">Pojistné plnění </w:t>
      </w:r>
    </w:p>
    <w:p w14:paraId="447DCFCD" w14:textId="6E19D319" w:rsidR="00E26081" w:rsidRPr="008E4270" w:rsidRDefault="000F692E" w:rsidP="008B5D80">
      <w:pPr>
        <w:numPr>
          <w:ilvl w:val="0"/>
          <w:numId w:val="10"/>
        </w:numPr>
        <w:spacing w:before="60"/>
        <w:jc w:val="both"/>
        <w:rPr>
          <w:rFonts w:cs="Arial"/>
          <w:b/>
          <w:bCs/>
          <w:sz w:val="20"/>
          <w:szCs w:val="20"/>
        </w:rPr>
      </w:pPr>
      <w:r w:rsidRPr="008E4270">
        <w:rPr>
          <w:rFonts w:cs="Arial"/>
          <w:sz w:val="20"/>
          <w:szCs w:val="20"/>
        </w:rPr>
        <w:t xml:space="preserve">Pojistné plnění ze všech pojištění sjednaných touto pojistnou smlouvou, v souhrnu za všechny pojistné události způsobené povodní nebo záplavou, nastalé v průběhu jednoho pojistného roku </w:t>
      </w:r>
      <w:r w:rsidRPr="008E4270">
        <w:rPr>
          <w:sz w:val="20"/>
          <w:szCs w:val="20"/>
        </w:rPr>
        <w:t xml:space="preserve">(resp. je-li pojištění sjednáno na dobu kratší než jeden pojistný rok, v průběhu trvání pojištění), </w:t>
      </w:r>
      <w:r w:rsidRPr="008E4270">
        <w:rPr>
          <w:rFonts w:cs="Arial"/>
          <w:sz w:val="20"/>
          <w:szCs w:val="20"/>
        </w:rPr>
        <w:t xml:space="preserve">je omezeno maximálním ročním limitem pojistného plnění ve výši </w:t>
      </w:r>
      <w:r w:rsidR="00CC1B0B" w:rsidRPr="008E4270">
        <w:rPr>
          <w:rFonts w:cs="Arial"/>
          <w:sz w:val="20"/>
          <w:szCs w:val="20"/>
        </w:rPr>
        <w:t xml:space="preserve">100 </w:t>
      </w:r>
      <w:r w:rsidRPr="008E4270">
        <w:rPr>
          <w:rFonts w:cs="Arial"/>
          <w:sz w:val="20"/>
          <w:szCs w:val="20"/>
        </w:rPr>
        <w:t>000 000 Kč; tím nejsou dotčena jiná ujednání, z nichž vyplývá povinnost pojistitele poskytnout pojistné plnění v nižší nebo stejné výši.</w:t>
      </w:r>
    </w:p>
    <w:p w14:paraId="003ACC17" w14:textId="29A05732" w:rsidR="00CC1B0B" w:rsidRPr="008E4270" w:rsidRDefault="00CC1B0B" w:rsidP="008B5D80">
      <w:pPr>
        <w:numPr>
          <w:ilvl w:val="0"/>
          <w:numId w:val="10"/>
        </w:numPr>
        <w:spacing w:before="60"/>
        <w:jc w:val="both"/>
        <w:rPr>
          <w:rFonts w:cs="Arial"/>
          <w:b/>
          <w:bCs/>
          <w:sz w:val="20"/>
          <w:szCs w:val="20"/>
        </w:rPr>
      </w:pPr>
      <w:r w:rsidRPr="008E4270">
        <w:rPr>
          <w:rFonts w:cs="Arial"/>
          <w:sz w:val="20"/>
          <w:szCs w:val="20"/>
        </w:rPr>
        <w:t xml:space="preserve">Pro území České republiky </w:t>
      </w:r>
      <w:r w:rsidRPr="008E4270">
        <w:rPr>
          <w:sz w:val="20"/>
          <w:szCs w:val="20"/>
        </w:rPr>
        <w:t>s výjimkou míst pojištění specifikovaných v této pojistné smlouvě adresou, parcelním číslem nebo obdobně konkretizujícím způsobem je pojistné plnění ze všech pojištění sjednaných touto pojistnou smlouvou, v souhrnu za všechny pojistné události způsobené povodní nebo záplavou, nastalé v průběhu jednoho pojistného roku (resp. je-li pojištění sjednáno na dobu kratší než jeden pojistný rok, v průběhu trvání pojištění), omezeno maximálním ročním limitem pojistného plnění ve výši 5 000 000 Kč. Tím nejsou dotčena jiná ujednání, z nichž vyplývá povinnost pojistitele poskytnout pojistné plnění v nižší nebo stejné výši.</w:t>
      </w:r>
    </w:p>
    <w:p w14:paraId="49B4DAC2" w14:textId="589B9581" w:rsidR="000F692E" w:rsidRPr="008E4270" w:rsidRDefault="00CC1B0B" w:rsidP="0084760E">
      <w:pPr>
        <w:spacing w:before="60"/>
        <w:ind w:left="425"/>
        <w:jc w:val="both"/>
        <w:rPr>
          <w:sz w:val="20"/>
          <w:szCs w:val="20"/>
        </w:rPr>
      </w:pPr>
      <w:r w:rsidRPr="008E4270">
        <w:rPr>
          <w:sz w:val="20"/>
          <w:szCs w:val="20"/>
        </w:rPr>
        <w:t>V rámci maximálního ročního limitu pojistného plnění uvedeného výše v tomto bodu se však pro všechny pojistné události nastalé v průběhu jednoho pojistného roku (resp. je-li pojištění sjednáno na dobu kratší než jeden pojistný rok, v průběhu trvání pojištění), které vzniknou povodní nebo záplavou v záplavovém území (stanovené dle zák. č. 254/2001 Sb., o vodách a o změně některých zákonů (vodní zákon), vyhl. č. </w:t>
      </w:r>
      <w:r w:rsidR="006F2F40" w:rsidRPr="008E4270">
        <w:rPr>
          <w:sz w:val="20"/>
          <w:szCs w:val="20"/>
        </w:rPr>
        <w:t>79</w:t>
      </w:r>
      <w:r w:rsidRPr="008E4270">
        <w:rPr>
          <w:sz w:val="20"/>
          <w:szCs w:val="20"/>
        </w:rPr>
        <w:t>/20</w:t>
      </w:r>
      <w:r w:rsidR="006F2F40" w:rsidRPr="008E4270">
        <w:rPr>
          <w:sz w:val="20"/>
          <w:szCs w:val="20"/>
        </w:rPr>
        <w:t>18</w:t>
      </w:r>
      <w:r w:rsidRPr="008E4270">
        <w:rPr>
          <w:sz w:val="20"/>
          <w:szCs w:val="20"/>
        </w:rPr>
        <w:t xml:space="preserve"> Sb., o způsobu a rozsahu zpracování návrhu a stanov</w:t>
      </w:r>
      <w:r w:rsidR="00535691" w:rsidRPr="008E4270">
        <w:rPr>
          <w:sz w:val="20"/>
          <w:szCs w:val="20"/>
        </w:rPr>
        <w:t>ování</w:t>
      </w:r>
      <w:r w:rsidRPr="008E4270">
        <w:rPr>
          <w:sz w:val="20"/>
          <w:szCs w:val="20"/>
        </w:rPr>
        <w:t xml:space="preserve"> záplavových území</w:t>
      </w:r>
      <w:r w:rsidR="00535691" w:rsidRPr="008E4270">
        <w:rPr>
          <w:sz w:val="20"/>
          <w:szCs w:val="20"/>
        </w:rPr>
        <w:t xml:space="preserve"> a jejich dokumentace</w:t>
      </w:r>
      <w:r w:rsidRPr="008E4270">
        <w:rPr>
          <w:sz w:val="20"/>
          <w:szCs w:val="20"/>
        </w:rPr>
        <w:t>, ve znění pozdějších předpisů) vymezeném záplavovou čárou tzv. dvacetileté vody (tj. území s periodicitou povodně 20 let)</w:t>
      </w:r>
      <w:r w:rsidR="0053675B" w:rsidRPr="008E4270">
        <w:rPr>
          <w:sz w:val="20"/>
          <w:szCs w:val="20"/>
        </w:rPr>
        <w:t>,</w:t>
      </w:r>
      <w:r w:rsidRPr="008E4270">
        <w:rPr>
          <w:sz w:val="20"/>
          <w:szCs w:val="20"/>
        </w:rPr>
        <w:t xml:space="preserve"> sjednává maximální roční limit pojistného plnění ve výši 500 </w:t>
      </w:r>
      <w:r w:rsidR="0053675B" w:rsidRPr="008E4270">
        <w:rPr>
          <w:sz w:val="20"/>
          <w:szCs w:val="20"/>
        </w:rPr>
        <w:t>000</w:t>
      </w:r>
      <w:r w:rsidRPr="008E4270">
        <w:rPr>
          <w:sz w:val="20"/>
          <w:szCs w:val="20"/>
        </w:rPr>
        <w:t> Kč. Tím nejsou dotčena jiná ujednání, z nichž vyplývá povinnost pojistitele poskytnout pojistné plnění v nižší nebo stejné výši.</w:t>
      </w:r>
    </w:p>
    <w:p w14:paraId="50B4E81D" w14:textId="4C4453EF" w:rsidR="00CC1B0B" w:rsidRPr="008E4270" w:rsidRDefault="00CC1B0B" w:rsidP="00984FE3">
      <w:pPr>
        <w:numPr>
          <w:ilvl w:val="0"/>
          <w:numId w:val="10"/>
        </w:numPr>
        <w:tabs>
          <w:tab w:val="left" w:pos="-720"/>
        </w:tabs>
        <w:spacing w:before="60"/>
        <w:jc w:val="both"/>
        <w:rPr>
          <w:rFonts w:cs="Arial"/>
          <w:sz w:val="20"/>
          <w:szCs w:val="20"/>
        </w:rPr>
      </w:pPr>
      <w:r w:rsidRPr="008E4270">
        <w:rPr>
          <w:rFonts w:cs="Arial"/>
          <w:sz w:val="20"/>
          <w:szCs w:val="20"/>
        </w:rPr>
        <w:lastRenderedPageBreak/>
        <w:t xml:space="preserve">Pojistné plnění ze všech pojištění sjednaných touto pojistnou smlouvou, v souhrnu za všechny pojistné události způsobené vichřicí nebo krupobitím, nastalé v průběhu jednoho pojistného roku </w:t>
      </w:r>
      <w:r w:rsidRPr="008E4270">
        <w:rPr>
          <w:sz w:val="20"/>
          <w:szCs w:val="20"/>
        </w:rPr>
        <w:t>(resp. je-li pojištění sjednáno na dobu kratší než jeden pojistný rok, v průběhu trvání pojištění)</w:t>
      </w:r>
      <w:r w:rsidRPr="008E4270">
        <w:rPr>
          <w:rFonts w:cs="Arial"/>
          <w:sz w:val="20"/>
          <w:szCs w:val="20"/>
        </w:rPr>
        <w:t xml:space="preserve">, je omezeno maximálním ročním limitem pojistného plnění ve výši </w:t>
      </w:r>
      <w:r w:rsidR="009606E0" w:rsidRPr="008E4270">
        <w:rPr>
          <w:rFonts w:cs="Arial"/>
          <w:sz w:val="20"/>
          <w:szCs w:val="20"/>
        </w:rPr>
        <w:t>10</w:t>
      </w:r>
      <w:r w:rsidRPr="008E4270">
        <w:rPr>
          <w:rFonts w:cs="Arial"/>
          <w:sz w:val="20"/>
          <w:szCs w:val="20"/>
        </w:rPr>
        <w:t>0 000 000 Kč; tím nejsou dotčena jiná ujednání, z nichž vyplývá povinnost pojistitele poskytnout pojistné plnění v nižší nebo stejné výši.</w:t>
      </w:r>
    </w:p>
    <w:p w14:paraId="493D72A8" w14:textId="69BF9F8F" w:rsidR="00CC1B0B" w:rsidRPr="008E4270" w:rsidRDefault="00CC1B0B" w:rsidP="00984FE3">
      <w:pPr>
        <w:numPr>
          <w:ilvl w:val="0"/>
          <w:numId w:val="10"/>
        </w:numPr>
        <w:tabs>
          <w:tab w:val="left" w:pos="-720"/>
        </w:tabs>
        <w:spacing w:before="60"/>
        <w:jc w:val="both"/>
        <w:rPr>
          <w:rFonts w:cs="Arial"/>
          <w:sz w:val="20"/>
          <w:szCs w:val="20"/>
        </w:rPr>
      </w:pPr>
      <w:r w:rsidRPr="008E4270">
        <w:rPr>
          <w:rFonts w:cs="Arial"/>
          <w:sz w:val="20"/>
          <w:szCs w:val="20"/>
        </w:rPr>
        <w:t xml:space="preserve">Pojistné plnění ze všech pojištění sjednaných touto pojistnou smlouvou, v souhrnu za všechny pojistné události způsobené sesouváním půdy, zřícením skal nebo zemin, sesouváním nebo zřícením lavin, zemětřesením, tíhou sněhu nebo námrazy, nastalé v průběhu jednoho pojistného roku </w:t>
      </w:r>
      <w:r w:rsidRPr="008E4270">
        <w:rPr>
          <w:sz w:val="20"/>
          <w:szCs w:val="20"/>
        </w:rPr>
        <w:t>(resp. je-li pojištění sjednáno na dobu kratší než jeden pojistný rok, v průběhu trvání pojištění)</w:t>
      </w:r>
      <w:r w:rsidRPr="008E4270">
        <w:rPr>
          <w:rFonts w:cs="Arial"/>
          <w:sz w:val="20"/>
          <w:szCs w:val="20"/>
        </w:rPr>
        <w:t xml:space="preserve">, je omezeno maximálním ročním limitem pojistného plnění ve výši </w:t>
      </w:r>
      <w:r w:rsidR="009606E0" w:rsidRPr="008E4270">
        <w:rPr>
          <w:rFonts w:cs="Arial"/>
          <w:sz w:val="20"/>
          <w:szCs w:val="20"/>
        </w:rPr>
        <w:t>10</w:t>
      </w:r>
      <w:r w:rsidRPr="008E4270">
        <w:rPr>
          <w:rFonts w:cs="Arial"/>
          <w:sz w:val="20"/>
          <w:szCs w:val="20"/>
        </w:rPr>
        <w:t>0 000 000 Kč; tím nejsou dotčena jiná ujednání, z nichž vyplývá povinnost pojistitele poskytnout pojistné plnění v nižší nebo stejné výši.</w:t>
      </w:r>
    </w:p>
    <w:p w14:paraId="3D35B09F" w14:textId="3200E4F8" w:rsidR="000F692E" w:rsidRPr="008E4270" w:rsidRDefault="000F692E" w:rsidP="00984FE3">
      <w:pPr>
        <w:numPr>
          <w:ilvl w:val="0"/>
          <w:numId w:val="10"/>
        </w:numPr>
        <w:tabs>
          <w:tab w:val="left" w:pos="-720"/>
        </w:tabs>
        <w:spacing w:before="60"/>
        <w:jc w:val="both"/>
        <w:rPr>
          <w:rFonts w:cs="Arial"/>
          <w:sz w:val="20"/>
          <w:szCs w:val="20"/>
        </w:rPr>
      </w:pPr>
      <w:r w:rsidRPr="008E4270">
        <w:rPr>
          <w:rFonts w:cs="Arial"/>
          <w:sz w:val="20"/>
          <w:szCs w:val="20"/>
        </w:rPr>
        <w:t xml:space="preserve">Pojistné plnění ze všech pojištění sjednaných touto pojistnou smlouvou, v souhrnu za všechny pojistné události způsobené </w:t>
      </w:r>
      <w:r w:rsidRPr="008E4270">
        <w:rPr>
          <w:bCs/>
          <w:sz w:val="20"/>
          <w:szCs w:val="20"/>
        </w:rPr>
        <w:t>vodovodním nebezpečím</w:t>
      </w:r>
      <w:r w:rsidRPr="008E4270">
        <w:rPr>
          <w:rFonts w:cs="Arial"/>
          <w:sz w:val="20"/>
          <w:szCs w:val="20"/>
        </w:rPr>
        <w:t xml:space="preserve"> nastalé v průběhu jednoho pojistného roku </w:t>
      </w:r>
      <w:r w:rsidRPr="008E4270">
        <w:rPr>
          <w:sz w:val="20"/>
          <w:szCs w:val="20"/>
        </w:rPr>
        <w:t>(resp. je-li pojištění sjednáno na dobu kratší než jeden pojistný rok, v průběhu trvání pojištění)</w:t>
      </w:r>
      <w:r w:rsidRPr="008E4270">
        <w:rPr>
          <w:rFonts w:cs="Arial"/>
          <w:sz w:val="20"/>
          <w:szCs w:val="20"/>
        </w:rPr>
        <w:t xml:space="preserve">, je omezeno maximálním ročním limitem pojistného plnění ve výši </w:t>
      </w:r>
      <w:r w:rsidR="009606E0" w:rsidRPr="008E4270">
        <w:rPr>
          <w:rFonts w:cs="Arial"/>
          <w:sz w:val="20"/>
          <w:szCs w:val="20"/>
        </w:rPr>
        <w:t>10</w:t>
      </w:r>
      <w:r w:rsidRPr="008E4270">
        <w:rPr>
          <w:rFonts w:cs="Arial"/>
          <w:sz w:val="20"/>
          <w:szCs w:val="20"/>
        </w:rPr>
        <w:t xml:space="preserve"> 000 000 Kč; tím nejsou dotčena jiná ujednání, z nichž vyplývá povinnost pojistitele poskytnout pojistné plnění v nižší nebo stejné výši.</w:t>
      </w:r>
    </w:p>
    <w:p w14:paraId="45A43303" w14:textId="1E950B77" w:rsidR="00630821" w:rsidRPr="008E4270" w:rsidRDefault="00630821" w:rsidP="00984FE3">
      <w:pPr>
        <w:numPr>
          <w:ilvl w:val="0"/>
          <w:numId w:val="10"/>
        </w:numPr>
        <w:tabs>
          <w:tab w:val="left" w:pos="-720"/>
        </w:tabs>
        <w:spacing w:before="60"/>
        <w:jc w:val="both"/>
        <w:rPr>
          <w:rFonts w:cs="Arial"/>
          <w:sz w:val="20"/>
          <w:szCs w:val="20"/>
        </w:rPr>
      </w:pPr>
      <w:r w:rsidRPr="008E4270">
        <w:rPr>
          <w:sz w:val="20"/>
          <w:szCs w:val="20"/>
        </w:rPr>
        <w:t>Pojistné plnění z pojištění sjednaného doložkami DOB104 a DOB108</w:t>
      </w:r>
      <w:r w:rsidR="00E02E5A" w:rsidRPr="008E4270">
        <w:rPr>
          <w:sz w:val="20"/>
          <w:szCs w:val="20"/>
        </w:rPr>
        <w:t xml:space="preserve"> (a dle specifikace v Článku V. Zvláštní ujednání)</w:t>
      </w:r>
      <w:r w:rsidRPr="008E4270">
        <w:rPr>
          <w:sz w:val="20"/>
          <w:szCs w:val="20"/>
        </w:rPr>
        <w:t xml:space="preserve">, </w:t>
      </w:r>
      <w:r w:rsidR="00BE577F" w:rsidRPr="008E4270">
        <w:rPr>
          <w:sz w:val="20"/>
          <w:szCs w:val="20"/>
        </w:rPr>
        <w:t xml:space="preserve">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5 000 000 Kč. Od celkové výše pojistného plnění za každou pojistnou událost z tohoto pojištění se odečítá spoluúčast ve výši </w:t>
      </w:r>
      <w:r w:rsidRPr="008E4270">
        <w:rPr>
          <w:sz w:val="20"/>
          <w:szCs w:val="20"/>
        </w:rPr>
        <w:t>5 000 Kč.</w:t>
      </w:r>
    </w:p>
    <w:p w14:paraId="289966F0" w14:textId="3991FB78" w:rsidR="00807A42" w:rsidRPr="008E4270" w:rsidRDefault="00807A42" w:rsidP="00984FE3">
      <w:pPr>
        <w:numPr>
          <w:ilvl w:val="0"/>
          <w:numId w:val="10"/>
        </w:numPr>
        <w:tabs>
          <w:tab w:val="left" w:pos="-720"/>
        </w:tabs>
        <w:spacing w:before="60"/>
        <w:jc w:val="both"/>
        <w:rPr>
          <w:rFonts w:cs="Arial"/>
          <w:sz w:val="20"/>
          <w:szCs w:val="20"/>
        </w:rPr>
      </w:pPr>
      <w:r w:rsidRPr="008E4270">
        <w:rPr>
          <w:sz w:val="20"/>
          <w:szCs w:val="20"/>
        </w:rPr>
        <w:t>Pojistné plnění z pojištění sjednaného doložkou DZ113</w:t>
      </w:r>
      <w:r w:rsidR="00E737DE" w:rsidRPr="008E4270">
        <w:rPr>
          <w:sz w:val="20"/>
          <w:szCs w:val="20"/>
        </w:rPr>
        <w:t xml:space="preserve"> (a dle specifikace v Článku V. Zvláštní ujednání),</w:t>
      </w:r>
      <w:r w:rsidRPr="008E4270">
        <w:rPr>
          <w:sz w:val="20"/>
          <w:szCs w:val="20"/>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1</w:t>
      </w:r>
      <w:r w:rsidR="00630821" w:rsidRPr="008E4270">
        <w:rPr>
          <w:sz w:val="20"/>
          <w:szCs w:val="20"/>
        </w:rPr>
        <w:t xml:space="preserve"> 00</w:t>
      </w:r>
      <w:r w:rsidRPr="008E4270">
        <w:rPr>
          <w:sz w:val="20"/>
          <w:szCs w:val="20"/>
        </w:rPr>
        <w:t>0 000 Kč.</w:t>
      </w:r>
      <w:r w:rsidR="00E737DE" w:rsidRPr="008E4270">
        <w:rPr>
          <w:sz w:val="20"/>
          <w:szCs w:val="20"/>
        </w:rPr>
        <w:t xml:space="preserve"> O</w:t>
      </w:r>
      <w:r w:rsidRPr="008E4270">
        <w:rPr>
          <w:sz w:val="20"/>
          <w:szCs w:val="20"/>
        </w:rPr>
        <w:t xml:space="preserve">d celkové výše pojistného plnění za každou pojistnou událost z tohoto pojištění se odečítá spoluúčast ve výši </w:t>
      </w:r>
      <w:r w:rsidR="00630821" w:rsidRPr="008E4270">
        <w:rPr>
          <w:sz w:val="20"/>
          <w:szCs w:val="20"/>
        </w:rPr>
        <w:t>5</w:t>
      </w:r>
      <w:r w:rsidRPr="008E4270">
        <w:rPr>
          <w:sz w:val="20"/>
          <w:szCs w:val="20"/>
        </w:rPr>
        <w:t> 000 Kč.</w:t>
      </w:r>
    </w:p>
    <w:p w14:paraId="3D7EBD07" w14:textId="01C93F2E" w:rsidR="00114431" w:rsidRPr="008E4270" w:rsidRDefault="00C80FD4" w:rsidP="00984FE3">
      <w:pPr>
        <w:numPr>
          <w:ilvl w:val="0"/>
          <w:numId w:val="10"/>
        </w:numPr>
        <w:tabs>
          <w:tab w:val="left" w:pos="-720"/>
        </w:tabs>
        <w:spacing w:before="60"/>
        <w:jc w:val="both"/>
        <w:rPr>
          <w:rFonts w:cs="Arial"/>
          <w:sz w:val="20"/>
          <w:szCs w:val="20"/>
        </w:rPr>
      </w:pPr>
      <w:r w:rsidRPr="008E4270">
        <w:rPr>
          <w:sz w:val="20"/>
          <w:szCs w:val="20"/>
        </w:rPr>
        <w:t>Pojistné plnění z pojištění sjednaného doložkou DZ114</w:t>
      </w:r>
      <w:r w:rsidR="00E737DE" w:rsidRPr="008E4270">
        <w:rPr>
          <w:sz w:val="20"/>
          <w:szCs w:val="20"/>
        </w:rPr>
        <w:t xml:space="preserve"> (a dle specifikace v Článku V. Zvláštní ujednání)</w:t>
      </w:r>
      <w:r w:rsidRPr="008E4270">
        <w:rPr>
          <w:sz w:val="20"/>
          <w:szCs w:val="20"/>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BE577F" w:rsidRPr="008E4270">
        <w:rPr>
          <w:sz w:val="20"/>
          <w:szCs w:val="20"/>
        </w:rPr>
        <w:t>1 000</w:t>
      </w:r>
      <w:r w:rsidRPr="008E4270">
        <w:rPr>
          <w:sz w:val="20"/>
          <w:szCs w:val="20"/>
        </w:rPr>
        <w:t xml:space="preserve"> 000 Kč. Od celkové výše pojistného plnění za každou pojistnou událost z tohoto pojištění se odečítá spoluúčast ve výši </w:t>
      </w:r>
      <w:r w:rsidR="00BE577F" w:rsidRPr="008E4270">
        <w:rPr>
          <w:sz w:val="20"/>
          <w:szCs w:val="20"/>
        </w:rPr>
        <w:t>5</w:t>
      </w:r>
      <w:r w:rsidRPr="008E4270">
        <w:rPr>
          <w:sz w:val="20"/>
          <w:szCs w:val="20"/>
        </w:rPr>
        <w:t> 000 Kč.</w:t>
      </w:r>
    </w:p>
    <w:p w14:paraId="766EA6D1" w14:textId="028BB6E9" w:rsidR="00C01071" w:rsidRPr="008E4270" w:rsidRDefault="00FF11F9" w:rsidP="00984FE3">
      <w:pPr>
        <w:numPr>
          <w:ilvl w:val="0"/>
          <w:numId w:val="10"/>
        </w:numPr>
        <w:tabs>
          <w:tab w:val="left" w:pos="-720"/>
        </w:tabs>
        <w:spacing w:before="60"/>
        <w:jc w:val="both"/>
        <w:rPr>
          <w:rFonts w:cs="AllianzSansLight"/>
          <w:sz w:val="20"/>
          <w:szCs w:val="20"/>
        </w:rPr>
      </w:pPr>
      <w:r w:rsidRPr="008E4270">
        <w:rPr>
          <w:rFonts w:cs="Arial"/>
          <w:sz w:val="20"/>
          <w:szCs w:val="20"/>
        </w:rPr>
        <w:t xml:space="preserve">Pojistné plnění z </w:t>
      </w:r>
      <w:r w:rsidRPr="008E4270">
        <w:rPr>
          <w:sz w:val="20"/>
          <w:szCs w:val="20"/>
        </w:rPr>
        <w:t xml:space="preserve">pojištění sjednaného doložkou DODC102 </w:t>
      </w:r>
      <w:r w:rsidR="00C378DE" w:rsidRPr="008E4270">
        <w:rPr>
          <w:sz w:val="20"/>
          <w:szCs w:val="20"/>
        </w:rPr>
        <w:t xml:space="preserve">(a dle specifikace v Článku V. Zvláštní ujednání),      </w:t>
      </w:r>
      <w:r w:rsidRPr="008E4270">
        <w:rPr>
          <w:sz w:val="20"/>
          <w:szCs w:val="20"/>
        </w:rPr>
        <w:t xml:space="preserve">a </w:t>
      </w:r>
      <w:r w:rsidRPr="008E4270">
        <w:rPr>
          <w:rFonts w:cs="Koop Office"/>
          <w:sz w:val="20"/>
          <w:szCs w:val="20"/>
        </w:rPr>
        <w:t>za škody z</w:t>
      </w:r>
      <w:r w:rsidRPr="008E4270">
        <w:rPr>
          <w:rFonts w:cs="Arial"/>
          <w:sz w:val="20"/>
          <w:szCs w:val="20"/>
        </w:rPr>
        <w:t xml:space="preserve">působené úmyslným poškozením vnějšího obvodového pláště pojištěné budovy a </w:t>
      </w:r>
      <w:r w:rsidRPr="008E4270">
        <w:rPr>
          <w:sz w:val="20"/>
          <w:szCs w:val="20"/>
        </w:rPr>
        <w:t>vnějších částí ostatních předmětů pojištění uvedených v tabulce č. 2.</w:t>
      </w:r>
      <w:r w:rsidR="00BE577F" w:rsidRPr="008E4270">
        <w:rPr>
          <w:sz w:val="20"/>
          <w:szCs w:val="20"/>
        </w:rPr>
        <w:t>4</w:t>
      </w:r>
      <w:r w:rsidRPr="008E4270">
        <w:rPr>
          <w:sz w:val="20"/>
          <w:szCs w:val="20"/>
        </w:rPr>
        <w:t>.1</w:t>
      </w:r>
      <w:r w:rsidR="005A3465" w:rsidRPr="008E4270">
        <w:rPr>
          <w:sz w:val="20"/>
          <w:szCs w:val="20"/>
        </w:rPr>
        <w:t xml:space="preserve">. </w:t>
      </w:r>
      <w:r w:rsidRPr="008E4270">
        <w:rPr>
          <w:rFonts w:cs="Arial"/>
          <w:sz w:val="20"/>
          <w:szCs w:val="20"/>
        </w:rPr>
        <w:t xml:space="preserve">této pojistné smlouvy, malbami, nástřiky </w:t>
      </w:r>
      <w:r w:rsidRPr="008E4270">
        <w:rPr>
          <w:sz w:val="20"/>
          <w:szCs w:val="20"/>
        </w:rPr>
        <w:t>(např. spreji a barvami)</w:t>
      </w:r>
      <w:r w:rsidRPr="008E4270">
        <w:rPr>
          <w:rFonts w:cs="Arial"/>
          <w:sz w:val="20"/>
          <w:szCs w:val="20"/>
        </w:rPr>
        <w:t xml:space="preserve"> nebo polepením, v souhrnu</w:t>
      </w:r>
      <w:r w:rsidRPr="008E4270">
        <w:rPr>
          <w:sz w:val="20"/>
          <w:szCs w:val="20"/>
        </w:rPr>
        <w:t xml:space="preserve"> za všechny pojistné události nastalé v průběhu </w:t>
      </w:r>
      <w:r w:rsidRPr="008E4270">
        <w:rPr>
          <w:rFonts w:cs="Arial"/>
          <w:sz w:val="20"/>
          <w:szCs w:val="20"/>
        </w:rPr>
        <w:t xml:space="preserve">jednoho pojistného roku </w:t>
      </w:r>
      <w:r w:rsidRPr="008E4270">
        <w:rPr>
          <w:sz w:val="20"/>
          <w:szCs w:val="20"/>
        </w:rPr>
        <w:t xml:space="preserve">(resp. je-li pojištění sjednáno na dobu kratší než jeden pojistný rok, v průběhu trvání pojištění), je omezeno </w:t>
      </w:r>
      <w:r w:rsidRPr="008E4270">
        <w:rPr>
          <w:rFonts w:cs="Arial"/>
          <w:sz w:val="20"/>
          <w:szCs w:val="20"/>
        </w:rPr>
        <w:t xml:space="preserve">maximálním ročním limitem pojistného plnění ve výši </w:t>
      </w:r>
      <w:r w:rsidR="00BE577F" w:rsidRPr="008E4270">
        <w:rPr>
          <w:rFonts w:cs="Arial"/>
          <w:sz w:val="20"/>
          <w:szCs w:val="20"/>
        </w:rPr>
        <w:t>500</w:t>
      </w:r>
      <w:r w:rsidR="005D4AB9" w:rsidRPr="008E4270">
        <w:rPr>
          <w:rFonts w:cs="Arial"/>
          <w:sz w:val="20"/>
          <w:szCs w:val="20"/>
        </w:rPr>
        <w:t xml:space="preserve"> </w:t>
      </w:r>
      <w:r w:rsidRPr="008E4270">
        <w:rPr>
          <w:rFonts w:cs="Arial"/>
          <w:sz w:val="20"/>
          <w:szCs w:val="20"/>
        </w:rPr>
        <w:t xml:space="preserve">000 Kč. </w:t>
      </w:r>
      <w:r w:rsidRPr="008E4270">
        <w:rPr>
          <w:sz w:val="20"/>
          <w:szCs w:val="20"/>
        </w:rPr>
        <w:t xml:space="preserve">Od celkové výše pojistného plnění za každou pojistnou událost z tohoto pojištění se odečítá spoluúčast ve výši </w:t>
      </w:r>
      <w:r w:rsidRPr="008E4270">
        <w:rPr>
          <w:rFonts w:cs="Arial"/>
          <w:sz w:val="20"/>
          <w:szCs w:val="20"/>
        </w:rPr>
        <w:t xml:space="preserve">ve výši </w:t>
      </w:r>
      <w:r w:rsidR="00BE577F" w:rsidRPr="008E4270">
        <w:rPr>
          <w:rFonts w:cs="Arial"/>
          <w:sz w:val="20"/>
          <w:szCs w:val="20"/>
        </w:rPr>
        <w:t>5</w:t>
      </w:r>
      <w:r w:rsidR="005D4AB9" w:rsidRPr="008E4270">
        <w:rPr>
          <w:spacing w:val="-4"/>
          <w:sz w:val="20"/>
          <w:szCs w:val="20"/>
        </w:rPr>
        <w:t xml:space="preserve"> </w:t>
      </w:r>
      <w:r w:rsidRPr="008E4270">
        <w:rPr>
          <w:spacing w:val="-4"/>
          <w:sz w:val="20"/>
          <w:szCs w:val="20"/>
        </w:rPr>
        <w:t>000 Kč</w:t>
      </w:r>
      <w:r w:rsidRPr="008E4270">
        <w:rPr>
          <w:rFonts w:cs="Arial"/>
          <w:sz w:val="20"/>
          <w:szCs w:val="20"/>
        </w:rPr>
        <w:t>.</w:t>
      </w:r>
    </w:p>
    <w:p w14:paraId="6D8FBCA8" w14:textId="77777777" w:rsidR="00966251" w:rsidRPr="008E4270" w:rsidRDefault="00966251" w:rsidP="009A381B">
      <w:pPr>
        <w:keepNext/>
        <w:tabs>
          <w:tab w:val="left" w:pos="-720"/>
        </w:tabs>
        <w:spacing w:before="240"/>
        <w:jc w:val="center"/>
        <w:rPr>
          <w:rFonts w:cs="Arial"/>
          <w:b/>
          <w:sz w:val="24"/>
        </w:rPr>
      </w:pPr>
      <w:r w:rsidRPr="008E4270">
        <w:rPr>
          <w:rFonts w:cs="Arial"/>
          <w:b/>
          <w:sz w:val="24"/>
        </w:rPr>
        <w:t>Článek III.</w:t>
      </w:r>
    </w:p>
    <w:p w14:paraId="3E4567A0" w14:textId="77777777" w:rsidR="00966251" w:rsidRPr="008E4270" w:rsidRDefault="00966251" w:rsidP="00727444">
      <w:pPr>
        <w:keepNext/>
        <w:tabs>
          <w:tab w:val="left" w:pos="-720"/>
        </w:tabs>
        <w:jc w:val="center"/>
        <w:rPr>
          <w:rFonts w:cs="Arial"/>
          <w:b/>
          <w:sz w:val="24"/>
        </w:rPr>
      </w:pPr>
      <w:r w:rsidRPr="008E4270">
        <w:rPr>
          <w:rFonts w:cs="Arial"/>
          <w:b/>
          <w:sz w:val="24"/>
        </w:rPr>
        <w:t>Výše a způsob placení pojistného</w:t>
      </w:r>
    </w:p>
    <w:p w14:paraId="07A542DD" w14:textId="77777777" w:rsidR="00966251" w:rsidRPr="008E4270" w:rsidRDefault="00966251" w:rsidP="00727444">
      <w:pPr>
        <w:pStyle w:val="Styl10bTunZarovnatdobloku"/>
        <w:rPr>
          <w:color w:val="auto"/>
        </w:rPr>
      </w:pPr>
      <w:r w:rsidRPr="008E4270">
        <w:rPr>
          <w:color w:val="auto"/>
        </w:rPr>
        <w:t>1.       Pojistné za jeden pojistný rok činí:</w:t>
      </w:r>
    </w:p>
    <w:p w14:paraId="6A02D4AD" w14:textId="77777777" w:rsidR="00966251" w:rsidRPr="008E4270" w:rsidRDefault="00966251" w:rsidP="00966251">
      <w:pPr>
        <w:keepNext/>
        <w:numPr>
          <w:ilvl w:val="0"/>
          <w:numId w:val="11"/>
        </w:numPr>
        <w:tabs>
          <w:tab w:val="clear" w:pos="425"/>
          <w:tab w:val="left" w:pos="-720"/>
        </w:tabs>
        <w:spacing w:before="60"/>
        <w:ind w:left="567" w:hanging="567"/>
        <w:jc w:val="both"/>
        <w:rPr>
          <w:rFonts w:cs="Arial"/>
          <w:b/>
          <w:sz w:val="20"/>
        </w:rPr>
      </w:pPr>
      <w:r w:rsidRPr="008E4270">
        <w:rPr>
          <w:rFonts w:cs="Arial"/>
          <w:b/>
          <w:sz w:val="20"/>
        </w:rPr>
        <w:t>Živelní pojištění</w:t>
      </w:r>
    </w:p>
    <w:p w14:paraId="09A5DA20" w14:textId="0120776D" w:rsidR="00966251" w:rsidRPr="008E4270" w:rsidRDefault="00966251" w:rsidP="00966251">
      <w:pPr>
        <w:keepNext/>
        <w:numPr>
          <w:ilvl w:val="12"/>
          <w:numId w:val="0"/>
        </w:numPr>
        <w:tabs>
          <w:tab w:val="right" w:leader="dot" w:pos="10064"/>
        </w:tabs>
        <w:ind w:left="567"/>
        <w:jc w:val="both"/>
        <w:rPr>
          <w:rFonts w:cs="Arial"/>
          <w:sz w:val="20"/>
        </w:rPr>
      </w:pPr>
      <w:r w:rsidRPr="008E4270">
        <w:rPr>
          <w:rFonts w:cs="Arial"/>
          <w:sz w:val="20"/>
        </w:rPr>
        <w:t xml:space="preserve">Pojistné </w:t>
      </w:r>
      <w:r w:rsidRPr="008E4270">
        <w:rPr>
          <w:rFonts w:cs="Arial"/>
          <w:sz w:val="20"/>
        </w:rPr>
        <w:tab/>
        <w:t>1.</w:t>
      </w:r>
      <w:r w:rsidR="00D6128A" w:rsidRPr="008E4270">
        <w:rPr>
          <w:rFonts w:cs="Arial"/>
          <w:sz w:val="20"/>
        </w:rPr>
        <w:t>0</w:t>
      </w:r>
      <w:r w:rsidR="00E93811">
        <w:rPr>
          <w:rFonts w:cs="Arial"/>
          <w:sz w:val="20"/>
        </w:rPr>
        <w:t>45</w:t>
      </w:r>
      <w:r w:rsidR="00D6128A" w:rsidRPr="008E4270">
        <w:rPr>
          <w:rFonts w:cs="Arial"/>
          <w:sz w:val="20"/>
        </w:rPr>
        <w:t>.</w:t>
      </w:r>
      <w:r w:rsidR="00E93811">
        <w:rPr>
          <w:rFonts w:cs="Arial"/>
          <w:sz w:val="20"/>
        </w:rPr>
        <w:t>371</w:t>
      </w:r>
      <w:r w:rsidRPr="008E4270">
        <w:rPr>
          <w:rFonts w:cs="Arial"/>
          <w:sz w:val="20"/>
        </w:rPr>
        <w:t>,- Kč</w:t>
      </w:r>
    </w:p>
    <w:p w14:paraId="3AADB8F8" w14:textId="77777777" w:rsidR="00966251" w:rsidRPr="008E4270" w:rsidRDefault="00966251" w:rsidP="00966251">
      <w:pPr>
        <w:keepNext/>
        <w:numPr>
          <w:ilvl w:val="0"/>
          <w:numId w:val="11"/>
        </w:numPr>
        <w:tabs>
          <w:tab w:val="clear" w:pos="425"/>
          <w:tab w:val="left" w:pos="-1560"/>
        </w:tabs>
        <w:spacing w:before="60"/>
        <w:ind w:left="567" w:hanging="567"/>
        <w:jc w:val="both"/>
        <w:rPr>
          <w:rFonts w:cs="Arial"/>
          <w:b/>
          <w:sz w:val="20"/>
        </w:rPr>
      </w:pPr>
      <w:r w:rsidRPr="008E4270">
        <w:rPr>
          <w:rFonts w:cs="Arial"/>
          <w:b/>
          <w:sz w:val="20"/>
        </w:rPr>
        <w:t xml:space="preserve">Pojištění pro případ odcizení </w:t>
      </w:r>
    </w:p>
    <w:p w14:paraId="359DD68A" w14:textId="63AA9858" w:rsidR="00966251" w:rsidRPr="008E4270" w:rsidRDefault="00966251" w:rsidP="00966251">
      <w:pPr>
        <w:keepNext/>
        <w:numPr>
          <w:ilvl w:val="12"/>
          <w:numId w:val="0"/>
        </w:numPr>
        <w:tabs>
          <w:tab w:val="right" w:leader="dot" w:pos="10064"/>
        </w:tabs>
        <w:ind w:left="567"/>
        <w:jc w:val="both"/>
        <w:rPr>
          <w:rFonts w:cs="Arial"/>
          <w:sz w:val="20"/>
        </w:rPr>
      </w:pPr>
      <w:r w:rsidRPr="008E4270">
        <w:rPr>
          <w:rFonts w:cs="Arial"/>
          <w:sz w:val="20"/>
        </w:rPr>
        <w:t xml:space="preserve">Pojistné </w:t>
      </w:r>
      <w:r w:rsidRPr="008E4270">
        <w:rPr>
          <w:rFonts w:cs="Arial"/>
          <w:sz w:val="20"/>
        </w:rPr>
        <w:tab/>
      </w:r>
      <w:r w:rsidR="00205E88" w:rsidRPr="008E4270">
        <w:rPr>
          <w:rFonts w:cs="Arial"/>
          <w:sz w:val="20"/>
        </w:rPr>
        <w:t>5</w:t>
      </w:r>
      <w:r w:rsidR="007E58FA">
        <w:rPr>
          <w:rFonts w:cs="Arial"/>
          <w:sz w:val="20"/>
        </w:rPr>
        <w:t>0</w:t>
      </w:r>
      <w:r w:rsidRPr="008E4270">
        <w:rPr>
          <w:rFonts w:cs="Arial"/>
          <w:sz w:val="20"/>
        </w:rPr>
        <w:t>.600,- Kč</w:t>
      </w:r>
    </w:p>
    <w:p w14:paraId="033C3AD0" w14:textId="77777777" w:rsidR="00966251" w:rsidRPr="008E4270" w:rsidRDefault="00966251" w:rsidP="00966251">
      <w:pPr>
        <w:keepNext/>
        <w:numPr>
          <w:ilvl w:val="0"/>
          <w:numId w:val="11"/>
        </w:numPr>
        <w:tabs>
          <w:tab w:val="clear" w:pos="425"/>
          <w:tab w:val="left" w:pos="-1560"/>
        </w:tabs>
        <w:spacing w:before="60"/>
        <w:ind w:left="567" w:hanging="567"/>
        <w:jc w:val="both"/>
        <w:rPr>
          <w:rFonts w:cs="Arial"/>
          <w:b/>
          <w:sz w:val="20"/>
        </w:rPr>
      </w:pPr>
      <w:r w:rsidRPr="008E4270">
        <w:rPr>
          <w:rFonts w:cs="Arial"/>
          <w:b/>
          <w:sz w:val="20"/>
        </w:rPr>
        <w:t>Pojištění pro případ odcizení - loupež přepravovaných peněz nebo cenin</w:t>
      </w:r>
    </w:p>
    <w:p w14:paraId="38A8E666" w14:textId="77777777" w:rsidR="00966251" w:rsidRPr="008E4270" w:rsidRDefault="00966251" w:rsidP="00966251">
      <w:pPr>
        <w:keepNext/>
        <w:numPr>
          <w:ilvl w:val="12"/>
          <w:numId w:val="0"/>
        </w:numPr>
        <w:tabs>
          <w:tab w:val="right" w:leader="dot" w:pos="10064"/>
        </w:tabs>
        <w:ind w:left="567"/>
        <w:jc w:val="both"/>
        <w:rPr>
          <w:rFonts w:cs="Arial"/>
          <w:sz w:val="20"/>
        </w:rPr>
      </w:pPr>
      <w:r w:rsidRPr="008E4270">
        <w:rPr>
          <w:rFonts w:cs="Arial"/>
          <w:sz w:val="20"/>
        </w:rPr>
        <w:t xml:space="preserve">Pojistné </w:t>
      </w:r>
      <w:r w:rsidRPr="008E4270">
        <w:rPr>
          <w:rFonts w:cs="Arial"/>
          <w:sz w:val="20"/>
        </w:rPr>
        <w:tab/>
        <w:t>3.600,- Kč</w:t>
      </w:r>
    </w:p>
    <w:p w14:paraId="429BB0AC" w14:textId="77777777" w:rsidR="00966251" w:rsidRPr="008E4270" w:rsidRDefault="00966251" w:rsidP="00966251">
      <w:pPr>
        <w:keepNext/>
        <w:numPr>
          <w:ilvl w:val="0"/>
          <w:numId w:val="11"/>
        </w:numPr>
        <w:tabs>
          <w:tab w:val="clear" w:pos="425"/>
          <w:tab w:val="left" w:pos="-1560"/>
        </w:tabs>
        <w:spacing w:before="60"/>
        <w:ind w:left="567" w:hanging="567"/>
        <w:jc w:val="both"/>
        <w:rPr>
          <w:rFonts w:cs="Arial"/>
          <w:b/>
          <w:sz w:val="20"/>
        </w:rPr>
      </w:pPr>
      <w:r w:rsidRPr="008E4270">
        <w:rPr>
          <w:rFonts w:cs="Arial"/>
          <w:b/>
          <w:sz w:val="20"/>
        </w:rPr>
        <w:t>Pojištění pro případ vandalismu</w:t>
      </w:r>
    </w:p>
    <w:p w14:paraId="69D58A41" w14:textId="66A488D4" w:rsidR="00966251" w:rsidRPr="008E4270" w:rsidRDefault="00966251" w:rsidP="00966251">
      <w:pPr>
        <w:numPr>
          <w:ilvl w:val="12"/>
          <w:numId w:val="0"/>
        </w:numPr>
        <w:tabs>
          <w:tab w:val="right" w:leader="dot" w:pos="10064"/>
        </w:tabs>
        <w:ind w:left="567"/>
        <w:jc w:val="both"/>
        <w:rPr>
          <w:rFonts w:cs="Arial"/>
          <w:sz w:val="20"/>
        </w:rPr>
      </w:pPr>
      <w:r w:rsidRPr="008E4270">
        <w:rPr>
          <w:rFonts w:cs="Arial"/>
          <w:sz w:val="20"/>
        </w:rPr>
        <w:t xml:space="preserve">Pojistné </w:t>
      </w:r>
      <w:r w:rsidRPr="008E4270">
        <w:rPr>
          <w:rFonts w:cs="Arial"/>
          <w:sz w:val="20"/>
        </w:rPr>
        <w:tab/>
        <w:t>1</w:t>
      </w:r>
      <w:r w:rsidR="00015203" w:rsidRPr="008E4270">
        <w:rPr>
          <w:rFonts w:cs="Arial"/>
          <w:sz w:val="20"/>
        </w:rPr>
        <w:t>2</w:t>
      </w:r>
      <w:r w:rsidRPr="008E4270">
        <w:rPr>
          <w:rFonts w:cs="Arial"/>
          <w:sz w:val="20"/>
        </w:rPr>
        <w:t>.000,- Kč</w:t>
      </w:r>
    </w:p>
    <w:p w14:paraId="4025BC4D" w14:textId="77777777" w:rsidR="00966251" w:rsidRPr="008E4270" w:rsidRDefault="00966251" w:rsidP="00966251">
      <w:pPr>
        <w:keepNext/>
        <w:numPr>
          <w:ilvl w:val="0"/>
          <w:numId w:val="11"/>
        </w:numPr>
        <w:tabs>
          <w:tab w:val="clear" w:pos="425"/>
          <w:tab w:val="left" w:pos="-1560"/>
        </w:tabs>
        <w:spacing w:before="60"/>
        <w:ind w:left="567" w:hanging="567"/>
        <w:jc w:val="both"/>
        <w:rPr>
          <w:rFonts w:cs="Arial"/>
          <w:b/>
          <w:sz w:val="20"/>
        </w:rPr>
      </w:pPr>
      <w:r w:rsidRPr="008E4270">
        <w:rPr>
          <w:rFonts w:cs="Arial"/>
          <w:b/>
          <w:sz w:val="20"/>
        </w:rPr>
        <w:t>Pojištění skla</w:t>
      </w:r>
    </w:p>
    <w:p w14:paraId="02B5A3E7" w14:textId="54363759" w:rsidR="00966251" w:rsidRPr="008E4270" w:rsidRDefault="00966251" w:rsidP="00966251">
      <w:pPr>
        <w:numPr>
          <w:ilvl w:val="12"/>
          <w:numId w:val="0"/>
        </w:numPr>
        <w:tabs>
          <w:tab w:val="right" w:leader="dot" w:pos="10064"/>
        </w:tabs>
        <w:ind w:left="567"/>
        <w:jc w:val="both"/>
        <w:rPr>
          <w:rFonts w:cs="Arial"/>
          <w:sz w:val="20"/>
        </w:rPr>
      </w:pPr>
      <w:r w:rsidRPr="008E4270">
        <w:rPr>
          <w:rFonts w:cs="Arial"/>
          <w:sz w:val="20"/>
        </w:rPr>
        <w:t xml:space="preserve">Pojistné </w:t>
      </w:r>
      <w:r w:rsidRPr="008E4270">
        <w:rPr>
          <w:rFonts w:cs="Arial"/>
          <w:sz w:val="20"/>
        </w:rPr>
        <w:tab/>
      </w:r>
      <w:r w:rsidR="007E58FA">
        <w:rPr>
          <w:rFonts w:cs="Arial"/>
          <w:sz w:val="20"/>
        </w:rPr>
        <w:t>8.300</w:t>
      </w:r>
      <w:r w:rsidRPr="008E4270">
        <w:rPr>
          <w:rFonts w:cs="Arial"/>
          <w:sz w:val="20"/>
        </w:rPr>
        <w:t>,- Kč</w:t>
      </w:r>
    </w:p>
    <w:p w14:paraId="0D5D84CD" w14:textId="77777777" w:rsidR="00966251" w:rsidRPr="008E4270" w:rsidRDefault="00966251" w:rsidP="00966251">
      <w:pPr>
        <w:keepNext/>
        <w:numPr>
          <w:ilvl w:val="0"/>
          <w:numId w:val="11"/>
        </w:numPr>
        <w:tabs>
          <w:tab w:val="clear" w:pos="425"/>
          <w:tab w:val="left" w:pos="-1560"/>
        </w:tabs>
        <w:spacing w:before="60"/>
        <w:ind w:left="567" w:hanging="567"/>
        <w:jc w:val="both"/>
        <w:rPr>
          <w:rFonts w:cs="Arial"/>
          <w:b/>
          <w:sz w:val="20"/>
        </w:rPr>
      </w:pPr>
      <w:r w:rsidRPr="008E4270">
        <w:rPr>
          <w:rFonts w:cs="Arial"/>
          <w:b/>
          <w:sz w:val="20"/>
        </w:rPr>
        <w:lastRenderedPageBreak/>
        <w:t>Pojištění strojů</w:t>
      </w:r>
    </w:p>
    <w:p w14:paraId="57BC6292" w14:textId="5E745323" w:rsidR="00966251" w:rsidRPr="008E4270" w:rsidRDefault="00966251" w:rsidP="00966251">
      <w:pPr>
        <w:keepNext/>
        <w:numPr>
          <w:ilvl w:val="12"/>
          <w:numId w:val="0"/>
        </w:numPr>
        <w:tabs>
          <w:tab w:val="right" w:leader="dot" w:pos="10064"/>
        </w:tabs>
        <w:ind w:left="567"/>
        <w:jc w:val="both"/>
        <w:rPr>
          <w:rFonts w:cs="Arial"/>
          <w:sz w:val="20"/>
        </w:rPr>
      </w:pPr>
      <w:r w:rsidRPr="008E4270">
        <w:rPr>
          <w:rFonts w:cs="Arial"/>
          <w:sz w:val="20"/>
        </w:rPr>
        <w:t xml:space="preserve">Pojistné </w:t>
      </w:r>
      <w:r w:rsidRPr="008E4270">
        <w:rPr>
          <w:rFonts w:cs="Arial"/>
          <w:sz w:val="20"/>
        </w:rPr>
        <w:tab/>
      </w:r>
      <w:r w:rsidR="00013F40" w:rsidRPr="008E4270">
        <w:rPr>
          <w:rFonts w:cs="Arial"/>
          <w:sz w:val="20"/>
        </w:rPr>
        <w:t>4</w:t>
      </w:r>
      <w:r w:rsidRPr="008E4270">
        <w:rPr>
          <w:rFonts w:cs="Arial"/>
          <w:sz w:val="20"/>
        </w:rPr>
        <w:t>0.000,- Kč</w:t>
      </w:r>
    </w:p>
    <w:p w14:paraId="711E716C" w14:textId="77777777" w:rsidR="00966251" w:rsidRPr="008E4270" w:rsidRDefault="00966251" w:rsidP="00966251">
      <w:pPr>
        <w:keepNext/>
        <w:numPr>
          <w:ilvl w:val="0"/>
          <w:numId w:val="11"/>
        </w:numPr>
        <w:tabs>
          <w:tab w:val="clear" w:pos="425"/>
          <w:tab w:val="left" w:pos="-1560"/>
        </w:tabs>
        <w:spacing w:before="60"/>
        <w:ind w:left="567" w:hanging="567"/>
        <w:jc w:val="both"/>
        <w:rPr>
          <w:rFonts w:cs="Arial"/>
          <w:b/>
          <w:sz w:val="20"/>
        </w:rPr>
      </w:pPr>
      <w:r w:rsidRPr="008E4270">
        <w:rPr>
          <w:rFonts w:cs="Arial"/>
          <w:b/>
          <w:sz w:val="20"/>
        </w:rPr>
        <w:t>Pojištění elektronických zařízení</w:t>
      </w:r>
    </w:p>
    <w:p w14:paraId="37F23C23" w14:textId="1CA3C56D" w:rsidR="00966251" w:rsidRPr="008E4270" w:rsidRDefault="00966251" w:rsidP="00966251">
      <w:pPr>
        <w:numPr>
          <w:ilvl w:val="12"/>
          <w:numId w:val="0"/>
        </w:numPr>
        <w:tabs>
          <w:tab w:val="right" w:leader="dot" w:pos="10064"/>
        </w:tabs>
        <w:ind w:left="567"/>
        <w:jc w:val="both"/>
        <w:rPr>
          <w:rFonts w:cs="Arial"/>
          <w:sz w:val="20"/>
        </w:rPr>
      </w:pPr>
      <w:r w:rsidRPr="008E4270">
        <w:rPr>
          <w:rFonts w:cs="Arial"/>
          <w:sz w:val="20"/>
        </w:rPr>
        <w:t xml:space="preserve">Pojistné </w:t>
      </w:r>
      <w:r w:rsidRPr="008E4270">
        <w:rPr>
          <w:rFonts w:cs="Arial"/>
          <w:sz w:val="20"/>
        </w:rPr>
        <w:tab/>
      </w:r>
      <w:r w:rsidR="00013F40" w:rsidRPr="008E4270">
        <w:rPr>
          <w:rFonts w:cs="Arial"/>
          <w:sz w:val="20"/>
        </w:rPr>
        <w:t>4</w:t>
      </w:r>
      <w:r w:rsidRPr="008E4270">
        <w:rPr>
          <w:rFonts w:cs="Arial"/>
          <w:sz w:val="20"/>
        </w:rPr>
        <w:t>0.000,- Kč</w:t>
      </w:r>
    </w:p>
    <w:p w14:paraId="62F9E6F3" w14:textId="77777777" w:rsidR="00966251" w:rsidRPr="008E4270" w:rsidRDefault="00966251" w:rsidP="00966251">
      <w:pPr>
        <w:keepNext/>
        <w:numPr>
          <w:ilvl w:val="0"/>
          <w:numId w:val="11"/>
        </w:numPr>
        <w:tabs>
          <w:tab w:val="clear" w:pos="425"/>
        </w:tabs>
        <w:spacing w:before="60"/>
        <w:ind w:left="567" w:hanging="567"/>
        <w:jc w:val="both"/>
        <w:rPr>
          <w:rFonts w:cs="Arial"/>
          <w:b/>
          <w:sz w:val="20"/>
        </w:rPr>
      </w:pPr>
      <w:r w:rsidRPr="008E4270">
        <w:rPr>
          <w:rFonts w:cs="Arial"/>
          <w:b/>
          <w:sz w:val="20"/>
        </w:rPr>
        <w:t xml:space="preserve">Pojištění odpovědnosti za újmu </w:t>
      </w:r>
    </w:p>
    <w:p w14:paraId="281DE91F" w14:textId="2E893904" w:rsidR="00966251" w:rsidRPr="008E4270" w:rsidRDefault="00966251" w:rsidP="00966251">
      <w:pPr>
        <w:numPr>
          <w:ilvl w:val="12"/>
          <w:numId w:val="0"/>
        </w:numPr>
        <w:tabs>
          <w:tab w:val="right" w:leader="dot" w:pos="10064"/>
        </w:tabs>
        <w:ind w:left="425" w:firstLine="142"/>
        <w:jc w:val="both"/>
        <w:rPr>
          <w:rFonts w:cs="Arial"/>
          <w:sz w:val="20"/>
        </w:rPr>
      </w:pPr>
      <w:r w:rsidRPr="008E4270">
        <w:rPr>
          <w:rFonts w:cs="Arial"/>
          <w:sz w:val="20"/>
        </w:rPr>
        <w:t xml:space="preserve">Pojistné </w:t>
      </w:r>
      <w:r w:rsidRPr="008E4270">
        <w:rPr>
          <w:rFonts w:cs="Arial"/>
          <w:sz w:val="20"/>
        </w:rPr>
        <w:tab/>
      </w:r>
      <w:r w:rsidR="009D2658" w:rsidRPr="008E4270">
        <w:rPr>
          <w:rFonts w:cs="Arial"/>
          <w:sz w:val="20"/>
        </w:rPr>
        <w:t>700.</w:t>
      </w:r>
      <w:r w:rsidR="008A5EF5">
        <w:rPr>
          <w:rFonts w:cs="Arial"/>
          <w:sz w:val="20"/>
        </w:rPr>
        <w:t>129</w:t>
      </w:r>
      <w:r w:rsidR="00FB08DE" w:rsidRPr="008E4270">
        <w:rPr>
          <w:rFonts w:cs="Arial"/>
          <w:sz w:val="20"/>
        </w:rPr>
        <w:t>,</w:t>
      </w:r>
      <w:r w:rsidRPr="008E4270">
        <w:rPr>
          <w:rFonts w:cs="Arial"/>
          <w:sz w:val="20"/>
        </w:rPr>
        <w:t>- Kč</w:t>
      </w:r>
    </w:p>
    <w:p w14:paraId="1E8512DF" w14:textId="20810852" w:rsidR="00966251" w:rsidRPr="008E4270" w:rsidRDefault="00966251" w:rsidP="004434FD">
      <w:pPr>
        <w:keepNext/>
        <w:tabs>
          <w:tab w:val="right" w:leader="dot" w:pos="10065"/>
        </w:tabs>
        <w:spacing w:before="180"/>
        <w:ind w:left="284" w:right="-709" w:hanging="284"/>
        <w:jc w:val="both"/>
        <w:rPr>
          <w:rFonts w:cs="Arial"/>
          <w:b/>
          <w:sz w:val="20"/>
        </w:rPr>
      </w:pPr>
      <w:r w:rsidRPr="008E4270">
        <w:rPr>
          <w:rFonts w:cs="Arial"/>
          <w:b/>
          <w:sz w:val="20"/>
        </w:rPr>
        <w:t>Souhrn</w:t>
      </w:r>
      <w:r w:rsidRPr="008E4270">
        <w:rPr>
          <w:rFonts w:cs="Arial"/>
          <w:sz w:val="20"/>
        </w:rPr>
        <w:t xml:space="preserve"> </w:t>
      </w:r>
      <w:r w:rsidRPr="008E4270">
        <w:rPr>
          <w:rFonts w:cs="Arial"/>
          <w:b/>
          <w:sz w:val="20"/>
        </w:rPr>
        <w:t xml:space="preserve">pojistného za sjednaná pojištění za jeden pojistný rok činí </w:t>
      </w:r>
      <w:r w:rsidRPr="008E4270">
        <w:rPr>
          <w:rFonts w:cs="Arial"/>
          <w:b/>
          <w:sz w:val="20"/>
        </w:rPr>
        <w:tab/>
      </w:r>
      <w:r w:rsidR="003C5147" w:rsidRPr="008E4270">
        <w:rPr>
          <w:rFonts w:cs="Arial"/>
          <w:b/>
          <w:sz w:val="20"/>
        </w:rPr>
        <w:t>1.</w:t>
      </w:r>
      <w:r w:rsidR="00506D04" w:rsidRPr="008E4270">
        <w:rPr>
          <w:rFonts w:cs="Arial"/>
          <w:b/>
          <w:sz w:val="20"/>
        </w:rPr>
        <w:t>9</w:t>
      </w:r>
      <w:r w:rsidR="00E67907">
        <w:rPr>
          <w:rFonts w:cs="Arial"/>
          <w:b/>
          <w:sz w:val="20"/>
        </w:rPr>
        <w:t>00</w:t>
      </w:r>
      <w:r w:rsidR="00506D04" w:rsidRPr="008E4270">
        <w:rPr>
          <w:rFonts w:cs="Arial"/>
          <w:b/>
          <w:sz w:val="20"/>
        </w:rPr>
        <w:t>.</w:t>
      </w:r>
      <w:r w:rsidR="00E67907">
        <w:rPr>
          <w:rFonts w:cs="Arial"/>
          <w:b/>
          <w:sz w:val="20"/>
        </w:rPr>
        <w:t>00</w:t>
      </w:r>
      <w:r w:rsidR="00506D04" w:rsidRPr="008E4270">
        <w:rPr>
          <w:rFonts w:cs="Arial"/>
          <w:b/>
          <w:sz w:val="20"/>
        </w:rPr>
        <w:t>0</w:t>
      </w:r>
      <w:r w:rsidRPr="008E4270">
        <w:rPr>
          <w:rFonts w:cs="Arial"/>
          <w:b/>
          <w:sz w:val="20"/>
        </w:rPr>
        <w:t>,- Kč</w:t>
      </w:r>
      <w:bookmarkStart w:id="19" w:name="_Hlk7677974"/>
    </w:p>
    <w:bookmarkEnd w:id="19"/>
    <w:p w14:paraId="5237E0C0" w14:textId="46610783" w:rsidR="001367EC" w:rsidRPr="008E4270" w:rsidRDefault="00541967" w:rsidP="00DC0113">
      <w:pPr>
        <w:keepNext/>
        <w:tabs>
          <w:tab w:val="left" w:pos="-1418"/>
        </w:tabs>
        <w:spacing w:before="180"/>
        <w:jc w:val="both"/>
        <w:rPr>
          <w:rFonts w:cs="Arial"/>
          <w:sz w:val="20"/>
        </w:rPr>
      </w:pPr>
      <w:r w:rsidRPr="008E4270">
        <w:rPr>
          <w:rFonts w:cs="Arial"/>
          <w:b/>
          <w:sz w:val="20"/>
        </w:rPr>
        <w:t>2</w:t>
      </w:r>
      <w:r w:rsidRPr="008E4270">
        <w:rPr>
          <w:rFonts w:cs="Arial"/>
          <w:sz w:val="20"/>
        </w:rPr>
        <w:t xml:space="preserve">.   </w:t>
      </w:r>
      <w:r w:rsidR="007879FA">
        <w:rPr>
          <w:rFonts w:cs="Arial"/>
          <w:sz w:val="20"/>
        </w:rPr>
        <w:t xml:space="preserve"> </w:t>
      </w:r>
      <w:r w:rsidRPr="008E4270">
        <w:rPr>
          <w:rFonts w:cs="Arial"/>
          <w:sz w:val="20"/>
        </w:rPr>
        <w:t xml:space="preserve"> </w:t>
      </w:r>
      <w:r w:rsidR="00FB2B5D" w:rsidRPr="008E4270">
        <w:rPr>
          <w:rFonts w:cs="Arial"/>
          <w:sz w:val="20"/>
        </w:rPr>
        <w:t xml:space="preserve">Pojistné je sjednáno jako běžné. Pojistné období je </w:t>
      </w:r>
      <w:r w:rsidR="00DC0113" w:rsidRPr="008E4270">
        <w:rPr>
          <w:rFonts w:cs="Arial"/>
          <w:sz w:val="20"/>
        </w:rPr>
        <w:t>tříměsíční</w:t>
      </w:r>
      <w:r w:rsidR="00FB2B5D" w:rsidRPr="008E4270">
        <w:rPr>
          <w:rFonts w:cs="Arial"/>
          <w:sz w:val="20"/>
        </w:rPr>
        <w:t xml:space="preserve">. </w:t>
      </w:r>
    </w:p>
    <w:p w14:paraId="6EC6B37F" w14:textId="66575231" w:rsidR="00DC0113" w:rsidRPr="008E4270" w:rsidRDefault="007879FA" w:rsidP="007879FA">
      <w:pPr>
        <w:pStyle w:val="Odstavecseseznamem"/>
        <w:tabs>
          <w:tab w:val="left" w:pos="-720"/>
        </w:tabs>
        <w:spacing w:after="0" w:line="240" w:lineRule="auto"/>
        <w:ind w:left="426" w:hanging="69"/>
        <w:contextualSpacing w:val="0"/>
        <w:jc w:val="both"/>
        <w:rPr>
          <w:rFonts w:ascii="Koop Office" w:hAnsi="Koop Office" w:cs="Arial"/>
          <w:sz w:val="20"/>
          <w:szCs w:val="20"/>
        </w:rPr>
      </w:pPr>
      <w:r>
        <w:rPr>
          <w:rFonts w:ascii="Koop Office" w:hAnsi="Koop Office" w:cs="Arial"/>
          <w:sz w:val="20"/>
        </w:rPr>
        <w:t xml:space="preserve"> </w:t>
      </w:r>
      <w:r w:rsidR="00DC0113" w:rsidRPr="008E4270">
        <w:rPr>
          <w:rFonts w:ascii="Koop Office" w:hAnsi="Koop Office" w:cs="Arial"/>
          <w:sz w:val="20"/>
        </w:rPr>
        <w:t xml:space="preserve">Pojistné je splatné </w:t>
      </w:r>
      <w:r w:rsidR="00DC0113" w:rsidRPr="008E4270">
        <w:rPr>
          <w:rFonts w:ascii="Koop Office" w:hAnsi="Koop Office" w:cs="Arial"/>
          <w:sz w:val="20"/>
          <w:szCs w:val="20"/>
        </w:rPr>
        <w:t xml:space="preserve">na základě </w:t>
      </w:r>
      <w:r w:rsidR="008C72FF" w:rsidRPr="008E4270">
        <w:rPr>
          <w:rFonts w:ascii="Koop Office" w:hAnsi="Koop Office" w:cs="Arial"/>
          <w:sz w:val="20"/>
          <w:szCs w:val="20"/>
        </w:rPr>
        <w:t>daňového dokladu</w:t>
      </w:r>
      <w:r w:rsidR="00E23396" w:rsidRPr="008E4270">
        <w:rPr>
          <w:rFonts w:ascii="Koop Office" w:hAnsi="Koop Office" w:cs="Arial"/>
          <w:sz w:val="20"/>
          <w:szCs w:val="20"/>
        </w:rPr>
        <w:t xml:space="preserve"> pojistitele</w:t>
      </w:r>
      <w:r w:rsidR="00DC0113" w:rsidRPr="008E4270">
        <w:rPr>
          <w:rFonts w:ascii="Koop Office" w:hAnsi="Koop Office" w:cs="Arial"/>
          <w:sz w:val="20"/>
          <w:szCs w:val="20"/>
        </w:rPr>
        <w:t>, kter</w:t>
      </w:r>
      <w:r w:rsidR="008C72FF" w:rsidRPr="008E4270">
        <w:rPr>
          <w:rFonts w:ascii="Koop Office" w:hAnsi="Koop Office" w:cs="Arial"/>
          <w:sz w:val="20"/>
          <w:szCs w:val="20"/>
        </w:rPr>
        <w:t>ý</w:t>
      </w:r>
      <w:r w:rsidR="00DC0113" w:rsidRPr="008E4270">
        <w:rPr>
          <w:rFonts w:ascii="Koop Office" w:hAnsi="Koop Office" w:cs="Arial"/>
          <w:sz w:val="20"/>
          <w:szCs w:val="20"/>
        </w:rPr>
        <w:t xml:space="preserve"> bude zaslán na kontaktní e-mail </w:t>
      </w:r>
      <w:r>
        <w:rPr>
          <w:rFonts w:ascii="Koop Office" w:hAnsi="Koop Office" w:cs="Arial"/>
          <w:sz w:val="20"/>
          <w:szCs w:val="20"/>
        </w:rPr>
        <w:t xml:space="preserve"> </w:t>
      </w:r>
      <w:r w:rsidR="0082630F" w:rsidRPr="008E4270">
        <w:rPr>
          <w:rFonts w:ascii="Koop Office" w:hAnsi="Koop Office" w:cs="Arial"/>
          <w:sz w:val="20"/>
          <w:szCs w:val="20"/>
        </w:rPr>
        <w:t>samostatného zprostředkovatele</w:t>
      </w:r>
      <w:r w:rsidR="008C72FF" w:rsidRPr="008E4270">
        <w:rPr>
          <w:rFonts w:ascii="Koop Office" w:hAnsi="Koop Office" w:cs="Arial"/>
          <w:sz w:val="20"/>
          <w:szCs w:val="20"/>
        </w:rPr>
        <w:t xml:space="preserve">, se splatností </w:t>
      </w:r>
      <w:r w:rsidR="00255B70" w:rsidRPr="008E4270">
        <w:rPr>
          <w:rFonts w:ascii="Koop Office" w:hAnsi="Koop Office" w:cs="Arial"/>
          <w:sz w:val="20"/>
          <w:szCs w:val="20"/>
        </w:rPr>
        <w:t>ve lhůtě nejméně 30 dnů od jeho doručení</w:t>
      </w:r>
      <w:r w:rsidR="00E23396" w:rsidRPr="008E4270">
        <w:rPr>
          <w:rFonts w:ascii="Koop Office" w:hAnsi="Koop Office" w:cs="Arial"/>
          <w:sz w:val="20"/>
          <w:szCs w:val="20"/>
        </w:rPr>
        <w:t>.</w:t>
      </w:r>
    </w:p>
    <w:p w14:paraId="3F2E8E42" w14:textId="36FC1595" w:rsidR="0082630F" w:rsidRPr="008E4270" w:rsidRDefault="0082630F" w:rsidP="007879FA">
      <w:pPr>
        <w:pStyle w:val="Odstavecseseznamem"/>
        <w:tabs>
          <w:tab w:val="left" w:pos="-720"/>
        </w:tabs>
        <w:spacing w:before="60" w:after="0" w:line="240" w:lineRule="auto"/>
        <w:ind w:left="426"/>
        <w:contextualSpacing w:val="0"/>
        <w:jc w:val="both"/>
        <w:rPr>
          <w:rFonts w:ascii="Koop Office" w:hAnsi="Koop Office" w:cs="Arial"/>
          <w:sz w:val="20"/>
        </w:rPr>
      </w:pPr>
      <w:r w:rsidRPr="008E4270">
        <w:rPr>
          <w:rFonts w:ascii="Koop Office" w:hAnsi="Koop Office" w:cs="Arial"/>
          <w:sz w:val="20"/>
        </w:rPr>
        <w:t>Nebude-</w:t>
      </w:r>
      <w:r w:rsidRPr="008E4270">
        <w:rPr>
          <w:rFonts w:ascii="Koop Office" w:hAnsi="Koop Office" w:cs="Arial"/>
          <w:sz w:val="20"/>
          <w:szCs w:val="20"/>
        </w:rPr>
        <w:t xml:space="preserve">li </w:t>
      </w:r>
      <w:r w:rsidRPr="008E4270">
        <w:rPr>
          <w:rFonts w:ascii="Koop Office" w:hAnsi="Koop Office" w:cs="Arial"/>
          <w:sz w:val="20"/>
        </w:rPr>
        <w:t xml:space="preserve">dodatkem </w:t>
      </w:r>
      <w:r w:rsidRPr="008E4270">
        <w:rPr>
          <w:rFonts w:ascii="Koop Office" w:hAnsi="Koop Office"/>
          <w:spacing w:val="-2"/>
          <w:sz w:val="20"/>
        </w:rPr>
        <w:t>pojistné smlouvy stanoveno jinak, je p</w:t>
      </w:r>
      <w:r w:rsidRPr="008E4270">
        <w:rPr>
          <w:rFonts w:ascii="Koop Office" w:hAnsi="Koop Office" w:cs="Arial"/>
          <w:sz w:val="20"/>
        </w:rPr>
        <w:t>ojistné v každém pojistném roce splatné k datům a v částkách takto:</w:t>
      </w:r>
    </w:p>
    <w:p w14:paraId="409F45EB" w14:textId="207AE373" w:rsidR="0082630F" w:rsidRPr="008E4270" w:rsidRDefault="0082630F" w:rsidP="0082630F">
      <w:pPr>
        <w:tabs>
          <w:tab w:val="left" w:pos="-1560"/>
          <w:tab w:val="left" w:pos="-1418"/>
          <w:tab w:val="left" w:pos="3969"/>
        </w:tabs>
        <w:spacing w:before="60"/>
        <w:ind w:left="425"/>
        <w:jc w:val="both"/>
        <w:rPr>
          <w:rFonts w:cs="Arial"/>
          <w:b/>
          <w:sz w:val="20"/>
        </w:rPr>
      </w:pPr>
      <w:r w:rsidRPr="008E4270">
        <w:rPr>
          <w:rFonts w:cs="Arial"/>
          <w:sz w:val="20"/>
        </w:rPr>
        <w:t xml:space="preserve">datum: </w:t>
      </w:r>
      <w:r w:rsidRPr="008E4270">
        <w:rPr>
          <w:rFonts w:cs="Arial"/>
          <w:b/>
          <w:sz w:val="20"/>
        </w:rPr>
        <w:t>03.06.</w:t>
      </w:r>
      <w:r w:rsidRPr="008E4270">
        <w:rPr>
          <w:rFonts w:cs="Arial"/>
          <w:sz w:val="20"/>
        </w:rPr>
        <w:tab/>
        <w:t>částka:</w:t>
      </w:r>
      <w:r w:rsidR="00776019" w:rsidRPr="008E4270">
        <w:rPr>
          <w:rFonts w:cs="Arial"/>
          <w:sz w:val="20"/>
        </w:rPr>
        <w:t xml:space="preserve"> </w:t>
      </w:r>
      <w:r w:rsidR="005C231B">
        <w:rPr>
          <w:rFonts w:cs="Arial"/>
          <w:b/>
          <w:bCs/>
          <w:sz w:val="20"/>
        </w:rPr>
        <w:t>475.000</w:t>
      </w:r>
      <w:r w:rsidRPr="008E4270">
        <w:rPr>
          <w:rFonts w:cs="Arial"/>
          <w:b/>
          <w:sz w:val="20"/>
        </w:rPr>
        <w:t>,- Kč</w:t>
      </w:r>
    </w:p>
    <w:p w14:paraId="394A3159" w14:textId="5484F81A" w:rsidR="0082630F" w:rsidRPr="008E4270" w:rsidRDefault="0082630F" w:rsidP="0082630F">
      <w:pPr>
        <w:tabs>
          <w:tab w:val="left" w:pos="-1560"/>
          <w:tab w:val="left" w:pos="-1418"/>
          <w:tab w:val="left" w:pos="3969"/>
        </w:tabs>
        <w:ind w:left="426"/>
        <w:jc w:val="both"/>
        <w:rPr>
          <w:rFonts w:cs="Arial"/>
          <w:b/>
          <w:sz w:val="20"/>
        </w:rPr>
      </w:pPr>
      <w:r w:rsidRPr="008E4270">
        <w:rPr>
          <w:rFonts w:cs="Arial"/>
          <w:sz w:val="20"/>
        </w:rPr>
        <w:t xml:space="preserve">datum: </w:t>
      </w:r>
      <w:r w:rsidRPr="008E4270">
        <w:rPr>
          <w:rFonts w:cs="Arial"/>
          <w:b/>
          <w:sz w:val="20"/>
        </w:rPr>
        <w:t>03.09.</w:t>
      </w:r>
      <w:r w:rsidRPr="008E4270">
        <w:rPr>
          <w:rFonts w:cs="Arial"/>
          <w:sz w:val="20"/>
        </w:rPr>
        <w:tab/>
        <w:t>částka:</w:t>
      </w:r>
      <w:r w:rsidR="00D26F85" w:rsidRPr="008E4270">
        <w:rPr>
          <w:rFonts w:cs="Arial"/>
          <w:sz w:val="20"/>
        </w:rPr>
        <w:t xml:space="preserve"> </w:t>
      </w:r>
      <w:r w:rsidR="005C231B">
        <w:rPr>
          <w:rFonts w:cs="Arial"/>
          <w:b/>
          <w:bCs/>
          <w:sz w:val="20"/>
        </w:rPr>
        <w:t>475.000</w:t>
      </w:r>
      <w:r w:rsidRPr="008E4270">
        <w:rPr>
          <w:rFonts w:cs="Arial"/>
          <w:b/>
          <w:sz w:val="20"/>
        </w:rPr>
        <w:t>,- Kč</w:t>
      </w:r>
    </w:p>
    <w:p w14:paraId="6E53E92A" w14:textId="08483F71" w:rsidR="0082630F" w:rsidRPr="008E4270" w:rsidRDefault="0082630F" w:rsidP="0082630F">
      <w:pPr>
        <w:tabs>
          <w:tab w:val="left" w:pos="-1560"/>
          <w:tab w:val="left" w:pos="-1418"/>
          <w:tab w:val="left" w:pos="3969"/>
        </w:tabs>
        <w:ind w:left="426"/>
        <w:jc w:val="both"/>
        <w:rPr>
          <w:rFonts w:cs="Arial"/>
          <w:b/>
          <w:sz w:val="20"/>
        </w:rPr>
      </w:pPr>
      <w:r w:rsidRPr="008E4270">
        <w:rPr>
          <w:rFonts w:cs="Arial"/>
          <w:sz w:val="20"/>
        </w:rPr>
        <w:t xml:space="preserve">datum: </w:t>
      </w:r>
      <w:r w:rsidRPr="008E4270">
        <w:rPr>
          <w:rFonts w:cs="Arial"/>
          <w:b/>
          <w:sz w:val="20"/>
        </w:rPr>
        <w:t>03.12.</w:t>
      </w:r>
      <w:r w:rsidRPr="008E4270">
        <w:rPr>
          <w:rFonts w:cs="Arial"/>
          <w:sz w:val="20"/>
        </w:rPr>
        <w:tab/>
        <w:t>částka:</w:t>
      </w:r>
      <w:r w:rsidR="00D26F85" w:rsidRPr="008E4270">
        <w:rPr>
          <w:rFonts w:cs="Arial"/>
          <w:sz w:val="20"/>
        </w:rPr>
        <w:t xml:space="preserve"> </w:t>
      </w:r>
      <w:r w:rsidR="005C231B">
        <w:rPr>
          <w:rFonts w:cs="Arial"/>
          <w:b/>
          <w:bCs/>
          <w:sz w:val="20"/>
        </w:rPr>
        <w:t>475.000</w:t>
      </w:r>
      <w:r w:rsidRPr="008E4270">
        <w:rPr>
          <w:rFonts w:cs="Arial"/>
          <w:b/>
          <w:sz w:val="20"/>
        </w:rPr>
        <w:t>,- Kč</w:t>
      </w:r>
    </w:p>
    <w:p w14:paraId="012B0E68" w14:textId="7E338419" w:rsidR="00DC0113" w:rsidRPr="008E4270" w:rsidRDefault="0082630F" w:rsidP="0082630F">
      <w:pPr>
        <w:tabs>
          <w:tab w:val="left" w:pos="-1560"/>
          <w:tab w:val="left" w:pos="-1418"/>
          <w:tab w:val="left" w:pos="3969"/>
        </w:tabs>
        <w:ind w:left="426"/>
        <w:jc w:val="both"/>
        <w:rPr>
          <w:rFonts w:cs="Arial"/>
          <w:b/>
          <w:sz w:val="20"/>
        </w:rPr>
      </w:pPr>
      <w:r w:rsidRPr="008E4270">
        <w:rPr>
          <w:rFonts w:cs="Arial"/>
          <w:sz w:val="20"/>
        </w:rPr>
        <w:t xml:space="preserve">datum: </w:t>
      </w:r>
      <w:r w:rsidRPr="008E4270">
        <w:rPr>
          <w:rFonts w:cs="Arial"/>
          <w:b/>
          <w:sz w:val="20"/>
        </w:rPr>
        <w:t>03.03.</w:t>
      </w:r>
      <w:r w:rsidRPr="008E4270">
        <w:rPr>
          <w:rFonts w:cs="Arial"/>
          <w:sz w:val="20"/>
        </w:rPr>
        <w:tab/>
        <w:t>částka:</w:t>
      </w:r>
      <w:r w:rsidR="00D26F85" w:rsidRPr="008E4270">
        <w:rPr>
          <w:rFonts w:cs="Arial"/>
          <w:sz w:val="20"/>
        </w:rPr>
        <w:t xml:space="preserve"> </w:t>
      </w:r>
      <w:r w:rsidR="005C231B">
        <w:rPr>
          <w:rFonts w:cs="Arial"/>
          <w:b/>
          <w:bCs/>
          <w:sz w:val="20"/>
        </w:rPr>
        <w:t>475.000</w:t>
      </w:r>
      <w:r w:rsidRPr="008E4270">
        <w:rPr>
          <w:rFonts w:cs="Arial"/>
          <w:b/>
          <w:sz w:val="20"/>
        </w:rPr>
        <w:t>,- Kč</w:t>
      </w:r>
    </w:p>
    <w:p w14:paraId="4785E164" w14:textId="579B087B" w:rsidR="006367AE" w:rsidRPr="008E4270" w:rsidRDefault="00FB2B5D" w:rsidP="007879FA">
      <w:pPr>
        <w:keepNext/>
        <w:numPr>
          <w:ilvl w:val="0"/>
          <w:numId w:val="25"/>
        </w:numPr>
        <w:tabs>
          <w:tab w:val="clear" w:pos="425"/>
          <w:tab w:val="left" w:pos="-1560"/>
          <w:tab w:val="num" w:pos="426"/>
        </w:tabs>
        <w:spacing w:before="60"/>
        <w:jc w:val="both"/>
        <w:rPr>
          <w:rFonts w:cs="Arial"/>
          <w:bCs/>
          <w:sz w:val="20"/>
          <w:szCs w:val="20"/>
        </w:rPr>
      </w:pPr>
      <w:r w:rsidRPr="008E4270">
        <w:rPr>
          <w:rFonts w:cs="Arial"/>
          <w:sz w:val="20"/>
        </w:rPr>
        <w:t xml:space="preserve">Pojistník je povinen uhradit pojistné v uvedené výši na účet </w:t>
      </w:r>
      <w:r w:rsidR="001367EC" w:rsidRPr="008E4270">
        <w:rPr>
          <w:rFonts w:cs="Arial"/>
          <w:sz w:val="20"/>
        </w:rPr>
        <w:t xml:space="preserve">pojistitele </w:t>
      </w:r>
      <w:r w:rsidR="00536632" w:rsidRPr="008E4270">
        <w:rPr>
          <w:rFonts w:cs="Arial"/>
          <w:sz w:val="20"/>
          <w:szCs w:val="20"/>
        </w:rPr>
        <w:t xml:space="preserve">č. ú. </w:t>
      </w:r>
      <w:proofErr w:type="spellStart"/>
      <w:r w:rsidR="001C6E44">
        <w:rPr>
          <w:rFonts w:cs="Arial"/>
          <w:sz w:val="20"/>
          <w:szCs w:val="20"/>
        </w:rPr>
        <w:t>xxxxxxxxxxxxxx</w:t>
      </w:r>
      <w:proofErr w:type="spellEnd"/>
      <w:r w:rsidR="00536632" w:rsidRPr="008E4270">
        <w:rPr>
          <w:rFonts w:cs="Arial"/>
          <w:sz w:val="20"/>
          <w:szCs w:val="20"/>
        </w:rPr>
        <w:t xml:space="preserve">, variabilní symbol: </w:t>
      </w:r>
      <w:proofErr w:type="spellStart"/>
      <w:r w:rsidR="001C6E44">
        <w:rPr>
          <w:rFonts w:cs="Arial"/>
          <w:sz w:val="20"/>
          <w:szCs w:val="20"/>
        </w:rPr>
        <w:t>xxxxxxxxxxxx</w:t>
      </w:r>
      <w:proofErr w:type="spellEnd"/>
      <w:r w:rsidR="00835444">
        <w:rPr>
          <w:rFonts w:cs="Arial"/>
          <w:sz w:val="20"/>
          <w:szCs w:val="20"/>
        </w:rPr>
        <w:t>.</w:t>
      </w:r>
    </w:p>
    <w:p w14:paraId="5C3E2B6D" w14:textId="6388C4FA" w:rsidR="003F52E9" w:rsidRPr="008E4270" w:rsidRDefault="00101054" w:rsidP="00B6390D">
      <w:pPr>
        <w:pStyle w:val="slovn-rove1-netun"/>
        <w:numPr>
          <w:ilvl w:val="0"/>
          <w:numId w:val="25"/>
        </w:numPr>
        <w:spacing w:before="60"/>
      </w:pPr>
      <w:r w:rsidRPr="008E4270">
        <w:t xml:space="preserve">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bookmarkEnd w:id="18"/>
    <w:p w14:paraId="5814D4E1" w14:textId="77777777" w:rsidR="000F692E" w:rsidRPr="008E4270" w:rsidRDefault="000F692E" w:rsidP="000E639E">
      <w:pPr>
        <w:pStyle w:val="Nadpislnk"/>
      </w:pPr>
      <w:r w:rsidRPr="008E4270">
        <w:t>Článek IV.</w:t>
      </w:r>
      <w:r w:rsidRPr="008E4270">
        <w:br/>
        <w:t>Hlášení škodných událostí</w:t>
      </w:r>
    </w:p>
    <w:p w14:paraId="35C159F6" w14:textId="3B25C5CC" w:rsidR="00B3110E" w:rsidRPr="008E4270" w:rsidRDefault="000F692E" w:rsidP="00B3110E">
      <w:pPr>
        <w:pStyle w:val="slovn-rove1-netunb"/>
        <w:spacing w:after="0"/>
        <w:rPr>
          <w:szCs w:val="20"/>
        </w:rPr>
      </w:pPr>
      <w:r w:rsidRPr="008E4270">
        <w:t xml:space="preserve">Vznik škodné události je pojistník (pojištěný) povinen oznámit </w:t>
      </w:r>
      <w:r w:rsidR="00B3110E" w:rsidRPr="008E4270">
        <w:rPr>
          <w:szCs w:val="20"/>
        </w:rPr>
        <w:t>prostřednictvím zplnomocněného samostatného zprostředkovatele v postavení pojišťovacího makléře bez zbytečného odkladu na jeden z níže uvedených kontaktních údajů:</w:t>
      </w:r>
    </w:p>
    <w:p w14:paraId="1BCAE569" w14:textId="55A504A3" w:rsidR="000F692E" w:rsidRPr="008E4270" w:rsidRDefault="000F692E" w:rsidP="009A381B">
      <w:pPr>
        <w:pStyle w:val="slovn-rove1-netunb"/>
        <w:numPr>
          <w:ilvl w:val="0"/>
          <w:numId w:val="0"/>
        </w:numPr>
        <w:spacing w:before="60" w:after="0"/>
        <w:ind w:left="425"/>
        <w:rPr>
          <w:szCs w:val="20"/>
        </w:rPr>
      </w:pPr>
      <w:r w:rsidRPr="008E4270">
        <w:rPr>
          <w:szCs w:val="20"/>
        </w:rPr>
        <w:t>Kooperativa pojišťovna, a.s., Vienna Insurance Group</w:t>
      </w:r>
    </w:p>
    <w:p w14:paraId="51CFB53A" w14:textId="77777777" w:rsidR="000F692E" w:rsidRPr="008E4270" w:rsidRDefault="000F692E" w:rsidP="000F692E">
      <w:pPr>
        <w:ind w:left="425"/>
        <w:rPr>
          <w:sz w:val="20"/>
          <w:szCs w:val="20"/>
        </w:rPr>
      </w:pPr>
      <w:r w:rsidRPr="008E4270">
        <w:rPr>
          <w:sz w:val="20"/>
          <w:szCs w:val="20"/>
        </w:rPr>
        <w:t>CENTRUM ZÁKAZNICKÉ PODPORY</w:t>
      </w:r>
    </w:p>
    <w:p w14:paraId="286841DF" w14:textId="77777777" w:rsidR="000F692E" w:rsidRPr="008E4270" w:rsidRDefault="000F692E" w:rsidP="000F692E">
      <w:pPr>
        <w:ind w:left="425"/>
        <w:rPr>
          <w:sz w:val="20"/>
          <w:szCs w:val="20"/>
        </w:rPr>
      </w:pPr>
      <w:r w:rsidRPr="008E4270">
        <w:rPr>
          <w:sz w:val="20"/>
          <w:szCs w:val="20"/>
        </w:rPr>
        <w:t>Centrální podatelna</w:t>
      </w:r>
    </w:p>
    <w:p w14:paraId="42B3CCA5" w14:textId="77777777" w:rsidR="000F692E" w:rsidRPr="008E4270" w:rsidRDefault="000F692E" w:rsidP="000F692E">
      <w:pPr>
        <w:ind w:left="425"/>
        <w:rPr>
          <w:sz w:val="20"/>
          <w:szCs w:val="20"/>
        </w:rPr>
      </w:pPr>
      <w:r w:rsidRPr="008E4270">
        <w:rPr>
          <w:sz w:val="20"/>
          <w:szCs w:val="20"/>
        </w:rPr>
        <w:t>Brněnská 634</w:t>
      </w:r>
    </w:p>
    <w:p w14:paraId="06BEBE78" w14:textId="77777777" w:rsidR="000F692E" w:rsidRPr="008E4270" w:rsidRDefault="000F692E" w:rsidP="000F692E">
      <w:pPr>
        <w:ind w:left="425"/>
        <w:rPr>
          <w:sz w:val="20"/>
          <w:szCs w:val="20"/>
        </w:rPr>
      </w:pPr>
      <w:r w:rsidRPr="008E4270">
        <w:rPr>
          <w:sz w:val="20"/>
          <w:szCs w:val="20"/>
        </w:rPr>
        <w:t>664 42 Modřice</w:t>
      </w:r>
    </w:p>
    <w:p w14:paraId="5E9DC3FB" w14:textId="7504CAA4" w:rsidR="000F692E" w:rsidRPr="008E4270" w:rsidRDefault="000F692E" w:rsidP="000F692E">
      <w:pPr>
        <w:ind w:left="425"/>
        <w:rPr>
          <w:sz w:val="20"/>
          <w:szCs w:val="20"/>
        </w:rPr>
      </w:pPr>
      <w:r w:rsidRPr="008E4270">
        <w:rPr>
          <w:sz w:val="20"/>
          <w:szCs w:val="20"/>
        </w:rPr>
        <w:t xml:space="preserve">tel.: </w:t>
      </w:r>
      <w:proofErr w:type="spellStart"/>
      <w:r w:rsidR="001C6E44">
        <w:rPr>
          <w:sz w:val="20"/>
          <w:szCs w:val="20"/>
        </w:rPr>
        <w:t>xxx</w:t>
      </w:r>
      <w:proofErr w:type="spellEnd"/>
      <w:r w:rsidR="001C6E44">
        <w:rPr>
          <w:sz w:val="20"/>
          <w:szCs w:val="20"/>
        </w:rPr>
        <w:t xml:space="preserve"> </w:t>
      </w:r>
      <w:proofErr w:type="spellStart"/>
      <w:r w:rsidR="001C6E44">
        <w:rPr>
          <w:sz w:val="20"/>
          <w:szCs w:val="20"/>
        </w:rPr>
        <w:t>xxx</w:t>
      </w:r>
      <w:proofErr w:type="spellEnd"/>
      <w:r w:rsidR="001C6E44">
        <w:rPr>
          <w:sz w:val="20"/>
          <w:szCs w:val="20"/>
        </w:rPr>
        <w:t xml:space="preserve"> </w:t>
      </w:r>
      <w:proofErr w:type="spellStart"/>
      <w:r w:rsidR="001C6E44">
        <w:rPr>
          <w:sz w:val="20"/>
          <w:szCs w:val="20"/>
        </w:rPr>
        <w:t>xxx</w:t>
      </w:r>
      <w:proofErr w:type="spellEnd"/>
    </w:p>
    <w:p w14:paraId="39805240" w14:textId="1E1B60A3" w:rsidR="00C47D55" w:rsidRPr="008E4270" w:rsidRDefault="00C47D55" w:rsidP="00C47D55">
      <w:pPr>
        <w:pStyle w:val="slovn-rove1-netunb"/>
        <w:numPr>
          <w:ilvl w:val="0"/>
          <w:numId w:val="0"/>
        </w:numPr>
        <w:spacing w:before="0" w:after="0"/>
        <w:ind w:left="425"/>
        <w:rPr>
          <w:rStyle w:val="Odkaznakoment"/>
        </w:rPr>
      </w:pPr>
      <w:r w:rsidRPr="008E4270">
        <w:t xml:space="preserve">datová schránka: </w:t>
      </w:r>
      <w:proofErr w:type="spellStart"/>
      <w:r w:rsidR="001C6E44">
        <w:t>xxxxxxxx</w:t>
      </w:r>
      <w:proofErr w:type="spellEnd"/>
    </w:p>
    <w:p w14:paraId="0AE02D4E" w14:textId="5BEAA167" w:rsidR="00C47D55" w:rsidRPr="008E4270" w:rsidRDefault="001C6E44" w:rsidP="009A381B">
      <w:pPr>
        <w:pStyle w:val="slovn-rove1-netunb"/>
        <w:numPr>
          <w:ilvl w:val="0"/>
          <w:numId w:val="0"/>
        </w:numPr>
        <w:spacing w:before="0" w:after="0"/>
        <w:ind w:left="425"/>
      </w:pPr>
      <w:proofErr w:type="spellStart"/>
      <w:r>
        <w:t>xxxxxxxxxxx</w:t>
      </w:r>
      <w:proofErr w:type="spellEnd"/>
    </w:p>
    <w:p w14:paraId="0D60AA7F" w14:textId="5AFFD6A8" w:rsidR="00CF5713" w:rsidRPr="008E4270" w:rsidRDefault="000F692E" w:rsidP="00202E7E">
      <w:pPr>
        <w:pStyle w:val="slovn-rove1-netunb"/>
        <w:spacing w:before="60" w:after="0"/>
      </w:pPr>
      <w:r w:rsidRPr="008E4270">
        <w:t xml:space="preserve">Na výzvu pojistitele je pojistník (pojištěný nebo jakákoliv jiná osoba) povinen oznámit vznik škodné události písemnou formou. </w:t>
      </w:r>
    </w:p>
    <w:p w14:paraId="23D3B5BE" w14:textId="678250BF" w:rsidR="00FB2B5D" w:rsidRPr="008E4270" w:rsidRDefault="00FB2B5D" w:rsidP="00CC2735">
      <w:pPr>
        <w:spacing w:before="240"/>
        <w:jc w:val="center"/>
        <w:rPr>
          <w:rFonts w:cs="Arial"/>
          <w:b/>
          <w:bCs/>
          <w:sz w:val="24"/>
        </w:rPr>
      </w:pPr>
      <w:r w:rsidRPr="008E4270">
        <w:rPr>
          <w:rFonts w:cs="Arial"/>
          <w:b/>
          <w:bCs/>
          <w:sz w:val="24"/>
        </w:rPr>
        <w:t>Článek V.</w:t>
      </w:r>
    </w:p>
    <w:p w14:paraId="0BF00195" w14:textId="7F0C09C9" w:rsidR="00FB2B5D" w:rsidRPr="008E4270" w:rsidRDefault="00FB2B5D" w:rsidP="00006E30">
      <w:pPr>
        <w:jc w:val="center"/>
        <w:rPr>
          <w:rFonts w:cs="Arial"/>
          <w:b/>
          <w:bCs/>
          <w:sz w:val="24"/>
        </w:rPr>
      </w:pPr>
      <w:r w:rsidRPr="008E4270">
        <w:rPr>
          <w:rFonts w:cs="Arial"/>
          <w:b/>
          <w:bCs/>
          <w:sz w:val="24"/>
        </w:rPr>
        <w:t>Zvláštní ujednání</w:t>
      </w:r>
    </w:p>
    <w:p w14:paraId="372D3B85" w14:textId="77777777" w:rsidR="00B725AD" w:rsidRPr="008E4270" w:rsidRDefault="00B725AD" w:rsidP="00B725AD">
      <w:pPr>
        <w:tabs>
          <w:tab w:val="left" w:pos="-1418"/>
        </w:tabs>
        <w:spacing w:before="120"/>
        <w:rPr>
          <w:rFonts w:cs="Arial"/>
          <w:sz w:val="20"/>
          <w:szCs w:val="20"/>
          <w:u w:val="single"/>
        </w:rPr>
      </w:pPr>
      <w:r w:rsidRPr="008E4270">
        <w:rPr>
          <w:rFonts w:cs="Arial"/>
          <w:sz w:val="20"/>
          <w:szCs w:val="20"/>
          <w:u w:val="single"/>
        </w:rPr>
        <w:t>Ujednání k živelnímu pojištění:</w:t>
      </w:r>
    </w:p>
    <w:p w14:paraId="3C041E59" w14:textId="3321F036" w:rsidR="00807A42" w:rsidRPr="008E4270" w:rsidRDefault="00807A42" w:rsidP="003733DF">
      <w:pPr>
        <w:numPr>
          <w:ilvl w:val="0"/>
          <w:numId w:val="24"/>
        </w:numPr>
        <w:tabs>
          <w:tab w:val="left" w:pos="-1418"/>
        </w:tabs>
        <w:spacing w:before="60"/>
        <w:ind w:left="284" w:hanging="284"/>
        <w:rPr>
          <w:rFonts w:cs="Arial"/>
          <w:sz w:val="20"/>
          <w:szCs w:val="20"/>
        </w:rPr>
      </w:pPr>
      <w:r w:rsidRPr="008E4270">
        <w:rPr>
          <w:rFonts w:cs="Arial"/>
          <w:sz w:val="20"/>
          <w:szCs w:val="20"/>
        </w:rPr>
        <w:t>Ujednává se, že se ruší ustanovení čl. 1 odst. 7) a 8), čl. 3 odst. 5), čl. 6 odst. 3) a čl. 9 ZPP P-150/14.</w:t>
      </w:r>
    </w:p>
    <w:p w14:paraId="61FE020C" w14:textId="4946EB97" w:rsidR="009F00E7" w:rsidRPr="008E4270" w:rsidRDefault="009F00E7" w:rsidP="003733DF">
      <w:pPr>
        <w:numPr>
          <w:ilvl w:val="0"/>
          <w:numId w:val="24"/>
        </w:numPr>
        <w:tabs>
          <w:tab w:val="left" w:pos="-1418"/>
        </w:tabs>
        <w:spacing w:before="60"/>
        <w:ind w:left="284" w:hanging="284"/>
        <w:jc w:val="both"/>
        <w:rPr>
          <w:rFonts w:cs="Arial"/>
          <w:sz w:val="20"/>
          <w:szCs w:val="20"/>
        </w:rPr>
      </w:pPr>
      <w:r w:rsidRPr="008E4270">
        <w:rPr>
          <w:rFonts w:cs="Arial"/>
          <w:sz w:val="20"/>
          <w:szCs w:val="20"/>
        </w:rPr>
        <w:t>V rámci pojištění budov a staveb jsou pojištěny také škody na veškerém příslušenství budov, stavebních součástech, technologiích souvisejících s provozem budov a všech souvisejících stavbách, např. oplocení</w:t>
      </w:r>
      <w:r w:rsidR="00D064CE" w:rsidRPr="008E4270">
        <w:rPr>
          <w:rFonts w:cs="Arial"/>
          <w:sz w:val="20"/>
          <w:szCs w:val="20"/>
        </w:rPr>
        <w:t xml:space="preserve">; </w:t>
      </w:r>
      <w:r w:rsidRPr="008E4270">
        <w:rPr>
          <w:rFonts w:cs="Arial"/>
          <w:sz w:val="20"/>
          <w:szCs w:val="20"/>
        </w:rPr>
        <w:t>zpevněné plochy, opěrné zdi, terénní úpravy, nakládací rampy, venkovní schodiště; inženýrské sítě a kanalizace (rozvody elektrických sítí, optické kabely, odpadní potrubí, vodovodní potrubí, rozvody plynu apod.), včetně inženýrských sítí a kanalizace umístěné mimo budovy; výměníkové stanice, trafostanice, regulační stanice plynu, rozvodové skříně; jeřábové dráhy, kolejové dráhy, dopravní pásy a jiné dopravní cesty v areálu; billboardy (i pokud nejsou připevněny na budově), reklamní stavby; výtahy a jejich pohonné systémy, včetně strojních součástí a vybavení kabin výtahů, a další.</w:t>
      </w:r>
    </w:p>
    <w:p w14:paraId="644B12BC" w14:textId="78CC5A02" w:rsidR="00800D0A" w:rsidRPr="008E4270" w:rsidRDefault="00800D0A" w:rsidP="003733DF">
      <w:pPr>
        <w:numPr>
          <w:ilvl w:val="0"/>
          <w:numId w:val="24"/>
        </w:numPr>
        <w:tabs>
          <w:tab w:val="left" w:pos="-1418"/>
        </w:tabs>
        <w:spacing w:before="60"/>
        <w:ind w:left="284" w:hanging="284"/>
        <w:jc w:val="both"/>
        <w:rPr>
          <w:rFonts w:cs="Arial"/>
          <w:sz w:val="20"/>
          <w:szCs w:val="20"/>
        </w:rPr>
      </w:pPr>
      <w:r w:rsidRPr="008E4270">
        <w:rPr>
          <w:rFonts w:cs="Arial"/>
          <w:sz w:val="20"/>
          <w:szCs w:val="20"/>
        </w:rPr>
        <w:lastRenderedPageBreak/>
        <w:t>Pojistné nebezpečí „povodeň, záplava“ se vztahuje i na škody způsobené vystoupáním vody z odpadních potrubí a kanalizace.</w:t>
      </w:r>
    </w:p>
    <w:p w14:paraId="751044A9" w14:textId="65896DED" w:rsidR="00002BE2" w:rsidRPr="008E4270" w:rsidRDefault="00002BE2" w:rsidP="003733DF">
      <w:pPr>
        <w:numPr>
          <w:ilvl w:val="0"/>
          <w:numId w:val="24"/>
        </w:numPr>
        <w:tabs>
          <w:tab w:val="left" w:pos="-1418"/>
        </w:tabs>
        <w:spacing w:before="60"/>
        <w:ind w:left="284" w:hanging="284"/>
        <w:jc w:val="both"/>
        <w:rPr>
          <w:rFonts w:cs="Arial"/>
          <w:sz w:val="20"/>
          <w:szCs w:val="20"/>
        </w:rPr>
      </w:pPr>
      <w:r w:rsidRPr="008E4270">
        <w:rPr>
          <w:sz w:val="20"/>
          <w:szCs w:val="20"/>
        </w:rPr>
        <w:t>Za „vodovodní škody“ se považují škody způsobené tekutinou z poškozeného vodovodního řádu, potrubí, nádrží, kotlů, dalších zařízení, hasicích zařízení apod.</w:t>
      </w:r>
    </w:p>
    <w:p w14:paraId="29E65FD8" w14:textId="3B5D9CD6" w:rsidR="00002BE2" w:rsidRPr="008E4270" w:rsidRDefault="00002BE2" w:rsidP="003733DF">
      <w:pPr>
        <w:numPr>
          <w:ilvl w:val="0"/>
          <w:numId w:val="24"/>
        </w:numPr>
        <w:tabs>
          <w:tab w:val="left" w:pos="-1418"/>
        </w:tabs>
        <w:spacing w:before="60"/>
        <w:ind w:left="284" w:hanging="284"/>
        <w:jc w:val="both"/>
        <w:rPr>
          <w:rFonts w:cs="Arial"/>
          <w:sz w:val="20"/>
          <w:szCs w:val="20"/>
        </w:rPr>
      </w:pPr>
      <w:r w:rsidRPr="008E4270">
        <w:rPr>
          <w:rFonts w:cs="Arial"/>
          <w:sz w:val="20"/>
          <w:szCs w:val="20"/>
        </w:rPr>
        <w:t>Pojištění se vztahuje také na škody způsobené přetlakem kapaliny nebo páry nebo zamrznutím vody v pojištěné věci.</w:t>
      </w:r>
    </w:p>
    <w:p w14:paraId="1156A0F3" w14:textId="52949140" w:rsidR="00002BE2" w:rsidRPr="008E4270" w:rsidRDefault="00002BE2" w:rsidP="003733DF">
      <w:pPr>
        <w:numPr>
          <w:ilvl w:val="0"/>
          <w:numId w:val="24"/>
        </w:numPr>
        <w:tabs>
          <w:tab w:val="left" w:pos="-1418"/>
        </w:tabs>
        <w:spacing w:before="60"/>
        <w:ind w:left="284" w:hanging="284"/>
        <w:jc w:val="both"/>
        <w:rPr>
          <w:rFonts w:cs="Arial"/>
          <w:sz w:val="20"/>
          <w:szCs w:val="20"/>
        </w:rPr>
      </w:pPr>
      <w:r w:rsidRPr="008E4270">
        <w:rPr>
          <w:rFonts w:cs="Arial"/>
          <w:sz w:val="20"/>
          <w:szCs w:val="20"/>
        </w:rPr>
        <w:t>Pojištění „vodovodních škod“ se dále vztahuje na škody způsobené vodou vytékající z klimatizačních zařízení, sprinklerových a samočinných hasicích zařízení v důsledku poruchy tohoto zařízení, včetně škod způsobených v důsledku provádění tlakových zkoušek hasicího zařízení.</w:t>
      </w:r>
    </w:p>
    <w:p w14:paraId="2895359E" w14:textId="654BC4A4" w:rsidR="00002BE2" w:rsidRPr="008E4270" w:rsidRDefault="00002BE2" w:rsidP="003733DF">
      <w:pPr>
        <w:numPr>
          <w:ilvl w:val="0"/>
          <w:numId w:val="24"/>
        </w:numPr>
        <w:tabs>
          <w:tab w:val="left" w:pos="-1418"/>
        </w:tabs>
        <w:spacing w:before="60"/>
        <w:ind w:left="284" w:hanging="284"/>
        <w:jc w:val="both"/>
        <w:rPr>
          <w:rFonts w:cs="Arial"/>
          <w:sz w:val="20"/>
          <w:szCs w:val="20"/>
        </w:rPr>
      </w:pPr>
      <w:r w:rsidRPr="008E4270">
        <w:rPr>
          <w:rFonts w:cs="Arial"/>
          <w:sz w:val="20"/>
          <w:szCs w:val="20"/>
        </w:rPr>
        <w:t>Pojištění se vztahuje také na škody na vodovodních zařízeních, na vodovodních či kanalizačních potrubích a zařízeních připojených na potrubí, včetně nákladů na odstranění závady a škod na těchto zařízeních.</w:t>
      </w:r>
    </w:p>
    <w:p w14:paraId="26C3ABD6" w14:textId="5F5442E4" w:rsidR="00002BE2" w:rsidRPr="008E4270" w:rsidRDefault="00BA0032" w:rsidP="003733DF">
      <w:pPr>
        <w:numPr>
          <w:ilvl w:val="0"/>
          <w:numId w:val="24"/>
        </w:numPr>
        <w:tabs>
          <w:tab w:val="left" w:pos="-1418"/>
        </w:tabs>
        <w:spacing w:before="60"/>
        <w:ind w:left="284" w:hanging="284"/>
        <w:jc w:val="both"/>
        <w:rPr>
          <w:rFonts w:cs="Arial"/>
          <w:sz w:val="20"/>
          <w:szCs w:val="20"/>
        </w:rPr>
      </w:pPr>
      <w:r w:rsidRPr="008E4270">
        <w:rPr>
          <w:rFonts w:cs="Arial"/>
          <w:sz w:val="20"/>
          <w:szCs w:val="20"/>
        </w:rPr>
        <w:t>Vznikne-li pojistná událost působením vodovodního nebezpečí, poskytne pojistitel plnění i za „vodné a stočné“ účtované za únik vody, ke kterému došlo v souvislosti s pojistnou událostí. Pojištěný je povinen prokázat výši škody dokladem od smluvního dodavatele vody, ze kterého bude zřejmá mimořádná spotřeba vody v době pojistné události, případně doložit jiné podklady k doložení svého nároku (např. uhrazené faktury za předchozí stejně dlouhá účtovaná období).</w:t>
      </w:r>
    </w:p>
    <w:p w14:paraId="3E970855" w14:textId="3B5FE136" w:rsidR="00BA0032" w:rsidRPr="008E4270" w:rsidRDefault="00BA0032" w:rsidP="00BA0032">
      <w:pPr>
        <w:tabs>
          <w:tab w:val="left" w:pos="-1418"/>
        </w:tabs>
        <w:ind w:left="284"/>
        <w:jc w:val="both"/>
        <w:rPr>
          <w:rFonts w:cs="Arial"/>
          <w:sz w:val="20"/>
          <w:szCs w:val="20"/>
        </w:rPr>
      </w:pPr>
      <w:r w:rsidRPr="008E4270">
        <w:rPr>
          <w:rFonts w:cs="Arial"/>
          <w:sz w:val="20"/>
          <w:szCs w:val="20"/>
        </w:rPr>
        <w:t>Limit pojistného plnění pro jeden pojistný rok činí 300 000 Kč a spoluúčast 5 000 Kč.</w:t>
      </w:r>
    </w:p>
    <w:p w14:paraId="64720A7E" w14:textId="520E61CF" w:rsidR="00536193" w:rsidRPr="008E4270" w:rsidRDefault="00536193" w:rsidP="003733DF">
      <w:pPr>
        <w:numPr>
          <w:ilvl w:val="0"/>
          <w:numId w:val="24"/>
        </w:numPr>
        <w:tabs>
          <w:tab w:val="left" w:pos="-1418"/>
        </w:tabs>
        <w:spacing w:before="60"/>
        <w:ind w:left="284" w:hanging="284"/>
        <w:jc w:val="both"/>
        <w:rPr>
          <w:rFonts w:cs="Arial"/>
          <w:sz w:val="20"/>
          <w:szCs w:val="20"/>
        </w:rPr>
      </w:pPr>
      <w:r w:rsidRPr="008E4270">
        <w:rPr>
          <w:rFonts w:cs="Arial"/>
          <w:sz w:val="20"/>
          <w:szCs w:val="20"/>
        </w:rPr>
        <w:t xml:space="preserve">Pojistné krytí dle doložek </w:t>
      </w:r>
      <w:r w:rsidR="007065E3" w:rsidRPr="008E4270">
        <w:rPr>
          <w:rFonts w:cs="Arial"/>
          <w:sz w:val="20"/>
          <w:szCs w:val="20"/>
        </w:rPr>
        <w:t>DOB104 - Demolice, suť a DOB108 - Dočasné přemístění pojištěných věcí movitého charakteru se vztahuje na: pojištění nákladů na demolici; pojištění nákladů na likvidaci zbytků a následků pojistné události; pojištění nákladů na odvoz suti a zbytků k nejbližšímu složišti, včetně nákladů za jejich uložení, případně zničení; pojištění nákladů na vyklizení místa pojištění; pojištění nákladů na dočasné přemístění majetku; pojištění nákladů na hašení; pojištění nákladů na stavební úpravy, demontáž nebo remontáž ostatních nepoškozených pojištěných věcí, pokud budou takové náklady vynaloženy v souvislosti se znovupořízením nebo opravou věcí poškozených, zničených nebo ztracených při pojistné události; pojištění nákladů na obnovení výrobní a provozní dokumentace.</w:t>
      </w:r>
    </w:p>
    <w:p w14:paraId="70C6DF06" w14:textId="344C93E7" w:rsidR="007065E3" w:rsidRPr="008E4270" w:rsidRDefault="007065E3" w:rsidP="007065E3">
      <w:pPr>
        <w:tabs>
          <w:tab w:val="left" w:pos="-1418"/>
        </w:tabs>
        <w:ind w:left="284"/>
        <w:jc w:val="both"/>
        <w:rPr>
          <w:rFonts w:cs="Arial"/>
          <w:sz w:val="20"/>
          <w:szCs w:val="20"/>
        </w:rPr>
      </w:pPr>
      <w:r w:rsidRPr="008E4270">
        <w:rPr>
          <w:rFonts w:cs="Arial"/>
          <w:sz w:val="20"/>
          <w:szCs w:val="20"/>
        </w:rPr>
        <w:t>Výše uvedená rizika se sjednávají s ročním limitem pojistného plnění ve výši 5 000 000 Kč a spoluúčastí      5 000 Kč.</w:t>
      </w:r>
    </w:p>
    <w:p w14:paraId="3DE40CAB" w14:textId="32029D58" w:rsidR="007065E3" w:rsidRPr="008E4270" w:rsidRDefault="00B24DFC" w:rsidP="00B24DFC">
      <w:pPr>
        <w:tabs>
          <w:tab w:val="left" w:pos="-1418"/>
        </w:tabs>
        <w:spacing w:before="120"/>
        <w:rPr>
          <w:rFonts w:cs="Arial"/>
          <w:sz w:val="20"/>
          <w:szCs w:val="20"/>
          <w:u w:val="single"/>
        </w:rPr>
      </w:pPr>
      <w:r w:rsidRPr="008E4270">
        <w:rPr>
          <w:rFonts w:cs="Arial"/>
          <w:sz w:val="20"/>
          <w:szCs w:val="20"/>
          <w:u w:val="single"/>
        </w:rPr>
        <w:t>Ujednání k pojištění pro případ odcizení:</w:t>
      </w:r>
    </w:p>
    <w:p w14:paraId="6F6C25FB" w14:textId="126A2B85" w:rsidR="00B24DFC" w:rsidRPr="008E4270" w:rsidRDefault="00252C66"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Pro účely tohoto pojištění se krádeží rozumí také přisvojení si pojištěné věci tak, že se jí pachatel zmocnil dále uvedeným způsobem:</w:t>
      </w:r>
    </w:p>
    <w:p w14:paraId="0E1438DA" w14:textId="08B74729" w:rsidR="00252C66" w:rsidRPr="008E4270" w:rsidRDefault="00252C66" w:rsidP="002549E8">
      <w:pPr>
        <w:tabs>
          <w:tab w:val="left" w:pos="-1418"/>
        </w:tabs>
        <w:ind w:left="426" w:hanging="142"/>
        <w:jc w:val="both"/>
        <w:rPr>
          <w:rFonts w:cs="Arial"/>
          <w:sz w:val="20"/>
          <w:szCs w:val="20"/>
        </w:rPr>
      </w:pPr>
      <w:r w:rsidRPr="008E4270">
        <w:rPr>
          <w:rFonts w:cs="Arial"/>
          <w:sz w:val="20"/>
          <w:szCs w:val="20"/>
        </w:rPr>
        <w:t>- do místa, kde byla pojištěná věc uzamčena nebo do pojištěné věci se dostal tak, že ji otevřel nástroji, které nejsou určeny k řádnému otevírání, nebo</w:t>
      </w:r>
    </w:p>
    <w:p w14:paraId="06AC08E9" w14:textId="3CDB2F3C" w:rsidR="00252C66" w:rsidRPr="008E4270" w:rsidRDefault="00252C66" w:rsidP="00862C63">
      <w:pPr>
        <w:tabs>
          <w:tab w:val="left" w:pos="-1418"/>
        </w:tabs>
        <w:ind w:left="426" w:hanging="142"/>
        <w:jc w:val="both"/>
        <w:rPr>
          <w:rFonts w:cs="Arial"/>
          <w:sz w:val="20"/>
          <w:szCs w:val="20"/>
        </w:rPr>
      </w:pPr>
      <w:r w:rsidRPr="008E4270">
        <w:rPr>
          <w:rFonts w:cs="Arial"/>
          <w:sz w:val="20"/>
          <w:szCs w:val="20"/>
        </w:rPr>
        <w:t>- v místě, kde byla pojištěná věc uzamčena, nebo v pojištěné věci se skryl, a po jejím uzamčení se věci zmocnil, nebo</w:t>
      </w:r>
    </w:p>
    <w:p w14:paraId="57B147AA" w14:textId="1012EA88" w:rsidR="006E1690" w:rsidRPr="008E4270" w:rsidRDefault="00252C66" w:rsidP="003B0965">
      <w:pPr>
        <w:tabs>
          <w:tab w:val="left" w:pos="-1418"/>
        </w:tabs>
        <w:ind w:left="426" w:hanging="142"/>
        <w:jc w:val="both"/>
        <w:rPr>
          <w:rFonts w:cs="Arial"/>
          <w:sz w:val="20"/>
          <w:szCs w:val="20"/>
        </w:rPr>
      </w:pPr>
      <w:r w:rsidRPr="008E4270">
        <w:rPr>
          <w:rFonts w:cs="Arial"/>
          <w:sz w:val="20"/>
          <w:szCs w:val="20"/>
        </w:rPr>
        <w:t>- místo, kde byla pojištěná věc uzamčena nebo pojištěnou věc otevřel nelegálně zhotoveným duplikátem klíče, nebo originálním klíčem, jehož se zmocnil krádeží nebo loupeží.</w:t>
      </w:r>
    </w:p>
    <w:p w14:paraId="6C82AF18" w14:textId="28332351" w:rsidR="00B24DFC" w:rsidRPr="008E4270" w:rsidRDefault="00946B07"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Zvláštní ujednání pro věci umístěné na volném prostranství, včetně stavebních součástí:</w:t>
      </w:r>
    </w:p>
    <w:p w14:paraId="56E2BF44" w14:textId="59FDA047" w:rsidR="00946B07" w:rsidRPr="008E4270" w:rsidRDefault="00946B07" w:rsidP="002549E8">
      <w:pPr>
        <w:tabs>
          <w:tab w:val="left" w:pos="-1418"/>
        </w:tabs>
        <w:ind w:left="284"/>
        <w:jc w:val="both"/>
        <w:rPr>
          <w:rFonts w:cs="Arial"/>
          <w:sz w:val="20"/>
          <w:szCs w:val="20"/>
        </w:rPr>
      </w:pPr>
      <w:r w:rsidRPr="008E4270">
        <w:rPr>
          <w:rFonts w:cs="Arial"/>
          <w:sz w:val="20"/>
          <w:szCs w:val="20"/>
        </w:rPr>
        <w:t>Pro účely tohoto pojištění se krádeží rozumí přivlastnění si pojištěné věci, její části nebo jejího příslušenství tak, že se jí pachatel zmocnil dále uvedeným způsobem:</w:t>
      </w:r>
    </w:p>
    <w:p w14:paraId="4CDEB324" w14:textId="35805290" w:rsidR="00946B07" w:rsidRPr="008E4270" w:rsidRDefault="00946B07" w:rsidP="007E1F5D">
      <w:pPr>
        <w:tabs>
          <w:tab w:val="left" w:pos="-1418"/>
        </w:tabs>
        <w:ind w:left="284"/>
        <w:jc w:val="both"/>
        <w:rPr>
          <w:rFonts w:cs="Arial"/>
          <w:sz w:val="20"/>
          <w:szCs w:val="20"/>
        </w:rPr>
      </w:pPr>
      <w:r w:rsidRPr="008E4270">
        <w:rPr>
          <w:rFonts w:cs="Arial"/>
          <w:sz w:val="20"/>
          <w:szCs w:val="20"/>
        </w:rPr>
        <w:t>- zmocnil se pojištěné věci překonáním konstrukčního upevnění věci, nebo</w:t>
      </w:r>
    </w:p>
    <w:p w14:paraId="16EC1E3B" w14:textId="782B9B16" w:rsidR="00946B07" w:rsidRPr="008E4270" w:rsidRDefault="00A82CC5" w:rsidP="00862C63">
      <w:pPr>
        <w:tabs>
          <w:tab w:val="left" w:pos="-1418"/>
        </w:tabs>
        <w:ind w:left="284"/>
        <w:jc w:val="both"/>
        <w:rPr>
          <w:rFonts w:cs="Arial"/>
          <w:sz w:val="20"/>
          <w:szCs w:val="20"/>
        </w:rPr>
      </w:pPr>
      <w:r w:rsidRPr="008E4270">
        <w:rPr>
          <w:rFonts w:cs="Arial"/>
          <w:sz w:val="20"/>
          <w:szCs w:val="20"/>
        </w:rPr>
        <w:t>- zmocnil se pojištěné věci pomocí nástroje nebo nástrojů, nebo</w:t>
      </w:r>
    </w:p>
    <w:p w14:paraId="22A79050" w14:textId="4A2F7637" w:rsidR="00B24DFC" w:rsidRPr="008E4270" w:rsidRDefault="00A82CC5" w:rsidP="00862C63">
      <w:pPr>
        <w:tabs>
          <w:tab w:val="left" w:pos="-1418"/>
        </w:tabs>
        <w:ind w:left="284"/>
        <w:jc w:val="both"/>
        <w:rPr>
          <w:rFonts w:cs="Arial"/>
          <w:sz w:val="20"/>
          <w:szCs w:val="20"/>
        </w:rPr>
      </w:pPr>
      <w:r w:rsidRPr="008E4270">
        <w:rPr>
          <w:rFonts w:cs="Arial"/>
          <w:sz w:val="20"/>
          <w:szCs w:val="20"/>
        </w:rPr>
        <w:t>- zmocnil se pojištěné věci z místa, které bylo opatřeno funkčním oplocením a uzamčenými vraty.</w:t>
      </w:r>
    </w:p>
    <w:p w14:paraId="2400B514" w14:textId="279F3C25" w:rsidR="00A82CC5" w:rsidRPr="008E4270" w:rsidRDefault="00A82CC5"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U pojištěných věcí, jejichž hmotnost nebo rozměry jsou tak veliké, že neumožňují manipulaci s nimi bez použití mechanizace nebo speciální techniky, se za překonání překážky považuje překonání jejich hmotnosti nebo rozměrů.</w:t>
      </w:r>
    </w:p>
    <w:p w14:paraId="22D320B9" w14:textId="6243E484" w:rsidR="00A82CC5" w:rsidRDefault="00A82CC5"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U věcí umělecké a sběratelské hodnoty bude dílo snímáno kamerovým systémem napojeným na Městskou policii a opatřeno konstrukčním upevněním. Za konstrukční upevnění se považuje takové upevnění, které nelze demontovat bez je</w:t>
      </w:r>
      <w:r w:rsidR="00862C63" w:rsidRPr="008E4270">
        <w:rPr>
          <w:rFonts w:cs="Arial"/>
          <w:sz w:val="20"/>
          <w:szCs w:val="20"/>
        </w:rPr>
        <w:t>ho</w:t>
      </w:r>
      <w:r w:rsidRPr="008E4270">
        <w:rPr>
          <w:rFonts w:cs="Arial"/>
          <w:sz w:val="20"/>
          <w:szCs w:val="20"/>
        </w:rPr>
        <w:t xml:space="preserve"> destrukčního narušení. Za konstrukční upevnění se považuje taková odolnost upevnění, ke kterému je potřeba minimálně ručního nářadí k jeho narušení. Pokud je hmotnost uměleckého díla vyšší jak     300 kg, považuje se za zabezpečení i jeho hmotnost samotná a nevyžaduje se kamerový systém, či konstrukční upevnění.</w:t>
      </w:r>
    </w:p>
    <w:p w14:paraId="4FFCEAE7" w14:textId="77777777" w:rsidR="0065631D" w:rsidRDefault="0065631D" w:rsidP="0065631D">
      <w:pPr>
        <w:tabs>
          <w:tab w:val="left" w:pos="-1418"/>
        </w:tabs>
        <w:spacing w:before="60"/>
        <w:jc w:val="both"/>
        <w:rPr>
          <w:rFonts w:cs="Arial"/>
          <w:sz w:val="20"/>
          <w:szCs w:val="20"/>
        </w:rPr>
      </w:pPr>
    </w:p>
    <w:p w14:paraId="173ECC0B" w14:textId="77777777" w:rsidR="0065631D" w:rsidRDefault="0065631D" w:rsidP="0065631D">
      <w:pPr>
        <w:tabs>
          <w:tab w:val="left" w:pos="-1418"/>
        </w:tabs>
        <w:spacing w:before="60"/>
        <w:jc w:val="both"/>
        <w:rPr>
          <w:rFonts w:cs="Arial"/>
          <w:sz w:val="20"/>
          <w:szCs w:val="20"/>
        </w:rPr>
      </w:pPr>
    </w:p>
    <w:p w14:paraId="61CE909E" w14:textId="77777777" w:rsidR="0065631D" w:rsidRDefault="0065631D" w:rsidP="0065631D">
      <w:pPr>
        <w:tabs>
          <w:tab w:val="left" w:pos="-1418"/>
        </w:tabs>
        <w:spacing w:before="60"/>
        <w:jc w:val="both"/>
        <w:rPr>
          <w:rFonts w:cs="Arial"/>
          <w:sz w:val="20"/>
          <w:szCs w:val="20"/>
        </w:rPr>
      </w:pPr>
    </w:p>
    <w:p w14:paraId="22ACC540" w14:textId="77777777" w:rsidR="0065631D" w:rsidRDefault="0065631D" w:rsidP="0065631D">
      <w:pPr>
        <w:tabs>
          <w:tab w:val="left" w:pos="-1418"/>
        </w:tabs>
        <w:spacing w:before="60"/>
        <w:jc w:val="both"/>
        <w:rPr>
          <w:rFonts w:cs="Arial"/>
          <w:sz w:val="20"/>
          <w:szCs w:val="20"/>
        </w:rPr>
      </w:pPr>
    </w:p>
    <w:p w14:paraId="4F64FB23" w14:textId="77777777" w:rsidR="001C6E44" w:rsidRDefault="001C6E44" w:rsidP="0065631D">
      <w:pPr>
        <w:tabs>
          <w:tab w:val="left" w:pos="-1418"/>
        </w:tabs>
        <w:spacing w:before="60"/>
        <w:jc w:val="both"/>
        <w:rPr>
          <w:rFonts w:cs="Arial"/>
          <w:sz w:val="20"/>
          <w:szCs w:val="20"/>
        </w:rPr>
      </w:pPr>
    </w:p>
    <w:p w14:paraId="48A92696" w14:textId="77777777" w:rsidR="001C6E44" w:rsidRDefault="001C6E44" w:rsidP="0065631D">
      <w:pPr>
        <w:tabs>
          <w:tab w:val="left" w:pos="-1418"/>
        </w:tabs>
        <w:spacing w:before="60"/>
        <w:jc w:val="both"/>
        <w:rPr>
          <w:rFonts w:cs="Arial"/>
          <w:sz w:val="20"/>
          <w:szCs w:val="20"/>
        </w:rPr>
      </w:pPr>
    </w:p>
    <w:p w14:paraId="7CD0EDB8" w14:textId="77777777" w:rsidR="001C6E44" w:rsidRDefault="001C6E44" w:rsidP="0065631D">
      <w:pPr>
        <w:tabs>
          <w:tab w:val="left" w:pos="-1418"/>
        </w:tabs>
        <w:spacing w:before="60"/>
        <w:jc w:val="both"/>
        <w:rPr>
          <w:rFonts w:cs="Arial"/>
          <w:sz w:val="20"/>
          <w:szCs w:val="20"/>
        </w:rPr>
      </w:pPr>
    </w:p>
    <w:p w14:paraId="1244C73A" w14:textId="77777777" w:rsidR="001C6E44" w:rsidRDefault="001C6E44" w:rsidP="0065631D">
      <w:pPr>
        <w:tabs>
          <w:tab w:val="left" w:pos="-1418"/>
        </w:tabs>
        <w:spacing w:before="60"/>
        <w:jc w:val="both"/>
        <w:rPr>
          <w:rFonts w:cs="Arial"/>
          <w:sz w:val="20"/>
          <w:szCs w:val="20"/>
        </w:rPr>
      </w:pPr>
    </w:p>
    <w:p w14:paraId="3978FF33" w14:textId="77777777" w:rsidR="001C6E44" w:rsidRPr="008E4270" w:rsidRDefault="001C6E44" w:rsidP="0065631D">
      <w:pPr>
        <w:tabs>
          <w:tab w:val="left" w:pos="-1418"/>
        </w:tabs>
        <w:spacing w:before="60"/>
        <w:jc w:val="both"/>
        <w:rPr>
          <w:rFonts w:cs="Arial"/>
          <w:sz w:val="20"/>
          <w:szCs w:val="20"/>
        </w:rPr>
      </w:pPr>
    </w:p>
    <w:p w14:paraId="0E1C965F" w14:textId="53A7B2F2" w:rsidR="00D019A5" w:rsidRPr="008E4270" w:rsidRDefault="00D019A5"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lastRenderedPageBreak/>
        <w:t>Požadavky na zabezpečení věcí movitých umístěných v uzavřeném prostoru:</w:t>
      </w:r>
    </w:p>
    <w:p w14:paraId="6388C607" w14:textId="4EDC2452" w:rsidR="00D019A5" w:rsidRPr="008E4270" w:rsidRDefault="00D019A5" w:rsidP="007E1F5D">
      <w:pPr>
        <w:tabs>
          <w:tab w:val="left" w:pos="-1418"/>
        </w:tabs>
        <w:ind w:left="284"/>
        <w:jc w:val="both"/>
        <w:rPr>
          <w:rFonts w:cs="Arial"/>
          <w:sz w:val="20"/>
          <w:szCs w:val="20"/>
        </w:rPr>
      </w:pPr>
      <w:r w:rsidRPr="008E4270">
        <w:rPr>
          <w:rFonts w:cs="Arial"/>
          <w:sz w:val="20"/>
          <w:szCs w:val="20"/>
        </w:rPr>
        <w:t>Ujednává se, že pro věci movité umístěné v uzavřeném prostoru, bude vyplaceno pojistné plnění z rizika „krádež“ pouze tehdy, pokud byly splněny níže uvedené minimální podmínky zabezpečení pro příslušné limity plnění:</w:t>
      </w:r>
    </w:p>
    <w:p w14:paraId="6E6A2A23" w14:textId="319ED222" w:rsidR="00D019A5" w:rsidRPr="008E4270" w:rsidRDefault="00D019A5" w:rsidP="007E1F5D">
      <w:pPr>
        <w:tabs>
          <w:tab w:val="left" w:pos="-1418"/>
        </w:tabs>
        <w:ind w:left="426" w:hanging="142"/>
        <w:jc w:val="both"/>
        <w:rPr>
          <w:rFonts w:cs="Arial"/>
          <w:sz w:val="20"/>
          <w:szCs w:val="20"/>
        </w:rPr>
      </w:pPr>
      <w:r w:rsidRPr="008E4270">
        <w:rPr>
          <w:rFonts w:cs="Arial"/>
          <w:sz w:val="20"/>
          <w:szCs w:val="20"/>
        </w:rPr>
        <w:t xml:space="preserve">- do 100 000 Kč </w:t>
      </w:r>
      <w:r w:rsidR="00862C63" w:rsidRPr="008E4270">
        <w:rPr>
          <w:rFonts w:cs="Arial"/>
          <w:sz w:val="20"/>
          <w:szCs w:val="20"/>
        </w:rPr>
        <w:t>-</w:t>
      </w:r>
      <w:r w:rsidRPr="008E4270">
        <w:rPr>
          <w:rFonts w:cs="Arial"/>
          <w:sz w:val="20"/>
          <w:szCs w:val="20"/>
        </w:rPr>
        <w:t xml:space="preserve"> jsou-li pojištěné věci v době pojistné události umístěny v uzavřeném prostoru, jehož vstupní otvory jsou uzamčeny</w:t>
      </w:r>
    </w:p>
    <w:p w14:paraId="505B8ECF" w14:textId="7E02E3D3" w:rsidR="00D019A5" w:rsidRPr="008E4270" w:rsidRDefault="00D019A5" w:rsidP="007E1F5D">
      <w:pPr>
        <w:tabs>
          <w:tab w:val="left" w:pos="-1418"/>
        </w:tabs>
        <w:ind w:left="426" w:hanging="142"/>
        <w:jc w:val="both"/>
        <w:rPr>
          <w:rFonts w:cs="Arial"/>
          <w:sz w:val="20"/>
          <w:szCs w:val="20"/>
        </w:rPr>
      </w:pPr>
      <w:r w:rsidRPr="008E4270">
        <w:rPr>
          <w:rFonts w:cs="Arial"/>
          <w:sz w:val="20"/>
          <w:szCs w:val="20"/>
        </w:rPr>
        <w:t xml:space="preserve">- od 100 000 Kč do 500 000 Kč </w:t>
      </w:r>
      <w:r w:rsidR="00862C63" w:rsidRPr="008E4270">
        <w:rPr>
          <w:rFonts w:cs="Arial"/>
          <w:sz w:val="20"/>
          <w:szCs w:val="20"/>
        </w:rPr>
        <w:t>-</w:t>
      </w:r>
      <w:r w:rsidRPr="008E4270">
        <w:rPr>
          <w:rFonts w:cs="Arial"/>
          <w:sz w:val="20"/>
          <w:szCs w:val="20"/>
        </w:rPr>
        <w:t xml:space="preserve"> </w:t>
      </w:r>
      <w:r w:rsidR="004B3B07" w:rsidRPr="008E4270">
        <w:rPr>
          <w:rFonts w:cs="Arial"/>
          <w:sz w:val="20"/>
          <w:szCs w:val="20"/>
        </w:rPr>
        <w:t>jsou-li pojištěné věci v době pojistné události umístěny v uzavřeném prostoru, jehož vstupní otvory jsou uzamčeny zámkem s bezpečnostní cylindrickou vložkou</w:t>
      </w:r>
    </w:p>
    <w:p w14:paraId="6F1DFA7E" w14:textId="56DB5A09" w:rsidR="004B3B07" w:rsidRPr="008E4270" w:rsidRDefault="004B3B07" w:rsidP="007E1F5D">
      <w:pPr>
        <w:tabs>
          <w:tab w:val="left" w:pos="-1418"/>
        </w:tabs>
        <w:ind w:left="426" w:hanging="142"/>
        <w:jc w:val="both"/>
        <w:rPr>
          <w:rFonts w:cs="Arial"/>
          <w:sz w:val="20"/>
          <w:szCs w:val="20"/>
        </w:rPr>
      </w:pPr>
      <w:r w:rsidRPr="008E4270">
        <w:rPr>
          <w:rFonts w:cs="Arial"/>
          <w:sz w:val="20"/>
          <w:szCs w:val="20"/>
        </w:rPr>
        <w:t xml:space="preserve">- nad 500 000 Kč </w:t>
      </w:r>
      <w:r w:rsidR="00862C63" w:rsidRPr="008E4270">
        <w:rPr>
          <w:rFonts w:cs="Arial"/>
          <w:sz w:val="20"/>
          <w:szCs w:val="20"/>
        </w:rPr>
        <w:t>-</w:t>
      </w:r>
      <w:r w:rsidRPr="008E4270">
        <w:rPr>
          <w:rFonts w:cs="Arial"/>
          <w:sz w:val="20"/>
          <w:szCs w:val="20"/>
        </w:rPr>
        <w:t xml:space="preserve"> jsou-li pojištěné věci v době pojistné události umístěny v uza</w:t>
      </w:r>
      <w:r w:rsidR="00862C63" w:rsidRPr="008E4270">
        <w:rPr>
          <w:rFonts w:cs="Arial"/>
          <w:sz w:val="20"/>
          <w:szCs w:val="20"/>
        </w:rPr>
        <w:t>vřen</w:t>
      </w:r>
      <w:r w:rsidRPr="008E4270">
        <w:rPr>
          <w:rFonts w:cs="Arial"/>
          <w:sz w:val="20"/>
          <w:szCs w:val="20"/>
        </w:rPr>
        <w:t>ém prostoru, jehož vstupní otvory jsou uzamčeny bezpečnostním zámkem a chráněny EZS minimálně bezpečnostní třídy 2 s vývodem na pult centrální ochrany</w:t>
      </w:r>
      <w:r w:rsidR="0014433E" w:rsidRPr="008E4270">
        <w:rPr>
          <w:rFonts w:cs="Arial"/>
          <w:sz w:val="20"/>
          <w:szCs w:val="20"/>
        </w:rPr>
        <w:t xml:space="preserve"> či Městskou policii</w:t>
      </w:r>
    </w:p>
    <w:p w14:paraId="6DF71D43" w14:textId="1E4A7227" w:rsidR="0014433E" w:rsidRPr="008E4270" w:rsidRDefault="0014433E" w:rsidP="007E1F5D">
      <w:pPr>
        <w:tabs>
          <w:tab w:val="left" w:pos="-1418"/>
        </w:tabs>
        <w:ind w:left="284"/>
        <w:jc w:val="both"/>
        <w:rPr>
          <w:rFonts w:cs="Arial"/>
          <w:sz w:val="20"/>
          <w:szCs w:val="20"/>
        </w:rPr>
      </w:pPr>
      <w:r w:rsidRPr="008E4270">
        <w:rPr>
          <w:rFonts w:cs="Arial"/>
          <w:sz w:val="20"/>
          <w:szCs w:val="20"/>
        </w:rPr>
        <w:t>Ujednává se, že pokud klient nesplňuje jednu z výše uvedených kombinací zabezpečení, pak platí standardní podmínky zabezpečení pojistitele.</w:t>
      </w:r>
    </w:p>
    <w:p w14:paraId="47E11373" w14:textId="3EF58E7C" w:rsidR="0014433E" w:rsidRPr="008E4270" w:rsidRDefault="0014433E"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Zvláštní ujednání na zabezpečení cenností umístěných v uzavřeném prostoru:</w:t>
      </w:r>
    </w:p>
    <w:p w14:paraId="6D6813A5" w14:textId="1A60B1C8" w:rsidR="0014433E" w:rsidRPr="008E4270" w:rsidRDefault="0014433E" w:rsidP="007E1F5D">
      <w:pPr>
        <w:tabs>
          <w:tab w:val="left" w:pos="-1418"/>
        </w:tabs>
        <w:ind w:left="284"/>
        <w:jc w:val="both"/>
        <w:rPr>
          <w:rFonts w:cs="Arial"/>
          <w:sz w:val="20"/>
          <w:szCs w:val="20"/>
        </w:rPr>
      </w:pPr>
      <w:r w:rsidRPr="008E4270">
        <w:rPr>
          <w:rFonts w:cs="Arial"/>
          <w:sz w:val="20"/>
          <w:szCs w:val="20"/>
        </w:rPr>
        <w:t>Ujednává se,</w:t>
      </w:r>
      <w:r w:rsidR="00D02C62" w:rsidRPr="008E4270">
        <w:rPr>
          <w:rFonts w:cs="Arial"/>
          <w:sz w:val="20"/>
          <w:szCs w:val="20"/>
        </w:rPr>
        <w:t xml:space="preserve"> že cennosti umístěné v uzavřeném prostoru, bude vyplaceno pojistné plnění z rizika „krádež“ pouze tehdy, pokud byly splněny níže uvedené minimální podmínky zabezpečení pro příslušné limity plnění:</w:t>
      </w:r>
    </w:p>
    <w:p w14:paraId="0A9113CF" w14:textId="4D34004F" w:rsidR="00D02C62" w:rsidRPr="008E4270" w:rsidRDefault="00D02C62" w:rsidP="007E1F5D">
      <w:pPr>
        <w:tabs>
          <w:tab w:val="left" w:pos="-1418"/>
        </w:tabs>
        <w:ind w:left="426" w:hanging="142"/>
        <w:jc w:val="both"/>
        <w:rPr>
          <w:rFonts w:cs="Arial"/>
          <w:sz w:val="20"/>
          <w:szCs w:val="20"/>
        </w:rPr>
      </w:pPr>
      <w:r w:rsidRPr="008E4270">
        <w:rPr>
          <w:rFonts w:cs="Arial"/>
          <w:sz w:val="20"/>
          <w:szCs w:val="20"/>
        </w:rPr>
        <w:t>- do 200 000 Kč - jsou-li cennosti v době pojistné události umístěny v uzavřeném prostoru, jehož vstupní otvory jsou uzamčeny a cennosti jsou uzamčeny minimálně v kovové příruční pokladně</w:t>
      </w:r>
    </w:p>
    <w:p w14:paraId="5EFCA91E" w14:textId="26E6F499" w:rsidR="00D02C62" w:rsidRPr="008E4270" w:rsidRDefault="00D02C62" w:rsidP="007E1F5D">
      <w:pPr>
        <w:tabs>
          <w:tab w:val="left" w:pos="-1418"/>
        </w:tabs>
        <w:ind w:left="426" w:hanging="142"/>
        <w:jc w:val="both"/>
        <w:rPr>
          <w:rFonts w:cs="Arial"/>
          <w:sz w:val="20"/>
          <w:szCs w:val="20"/>
        </w:rPr>
      </w:pPr>
      <w:r w:rsidRPr="008E4270">
        <w:rPr>
          <w:rFonts w:cs="Arial"/>
          <w:sz w:val="20"/>
          <w:szCs w:val="20"/>
        </w:rPr>
        <w:t>- od 200 000 Kč do 500 000 Kč - jsou-li cennosti v době pojistné události umístěny v uzavřeném prostoru, jehož vstupní otvory jsou uzamčeny zámkem s bezpečnostní cylindrickou vložkou a cennosti jsou umístěny v uzamčeném trezoru s minimální bezpečnostní třídou BT1</w:t>
      </w:r>
    </w:p>
    <w:p w14:paraId="0542655B" w14:textId="46E590CE" w:rsidR="00D02C62" w:rsidRPr="008E4270" w:rsidRDefault="00D02C62" w:rsidP="007E1F5D">
      <w:pPr>
        <w:tabs>
          <w:tab w:val="left" w:pos="-1418"/>
        </w:tabs>
        <w:ind w:left="426" w:hanging="142"/>
        <w:jc w:val="both"/>
        <w:rPr>
          <w:rFonts w:cs="Arial"/>
          <w:sz w:val="20"/>
          <w:szCs w:val="20"/>
        </w:rPr>
      </w:pPr>
      <w:r w:rsidRPr="008E4270">
        <w:rPr>
          <w:rFonts w:cs="Arial"/>
          <w:sz w:val="20"/>
          <w:szCs w:val="20"/>
        </w:rPr>
        <w:t>- nad 500 000 Kč - jsou-li cennosti v době pojistné události umístěny v uzavřeném prostoru, jehož vstupní otvory jsou uzamčeny bezpečnostním zámkem a chráněny EZS minimálně bezpečnostní třídy 2 s vývodem na pult centrální ochrany či Městskou policii. Cennosti jsou umístěny v uzamčeném trezoru s minimální bezpečnostní třídou BT3</w:t>
      </w:r>
    </w:p>
    <w:p w14:paraId="6FF0FC4F" w14:textId="1102D8B5" w:rsidR="00D02C62" w:rsidRPr="008E4270" w:rsidRDefault="00D02C62" w:rsidP="007E1F5D">
      <w:pPr>
        <w:tabs>
          <w:tab w:val="left" w:pos="-1418"/>
        </w:tabs>
        <w:ind w:left="284"/>
        <w:jc w:val="both"/>
        <w:rPr>
          <w:rFonts w:cs="Arial"/>
          <w:sz w:val="20"/>
          <w:szCs w:val="20"/>
        </w:rPr>
      </w:pPr>
      <w:r w:rsidRPr="008E4270">
        <w:rPr>
          <w:rFonts w:cs="Arial"/>
          <w:sz w:val="20"/>
          <w:szCs w:val="20"/>
        </w:rPr>
        <w:t>Ujednává se, že pokud klient nesplňuje jednu z výše uvedených kombinací zabezpečení, pak platí standardní podmínky zabezpečení pojistitele.</w:t>
      </w:r>
    </w:p>
    <w:p w14:paraId="02084047" w14:textId="0BE2FB06" w:rsidR="00D622EC" w:rsidRPr="008E4270" w:rsidRDefault="00D622EC"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Za „uzavřený prostor“ z hlediska posouzení zabezpečení se bude posuzovat celá budova nebo konkrétní místnost (např. počítačová učebna, kancelář, dílna, laboratoř…). Za uzavřený prostor se zároveň považuje i prostor ze sádrokartonových konstrukcí, sendvičových opláštění, jednoduchých opláštění profilovaným plechem apod.</w:t>
      </w:r>
    </w:p>
    <w:p w14:paraId="1DC4CCDB" w14:textId="251A347D" w:rsidR="00D622EC" w:rsidRPr="008E4270" w:rsidRDefault="000347C6"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Pojištění se vztahuje i na případy, kdy pachatel bezprostředně před nebo při přepravě cenností použije proti pojištěnému, jeho pracovníkovi nebo jiné osobě pověřené pojištěným, násilí nebo hrozbu bezprostředního násilí.</w:t>
      </w:r>
    </w:p>
    <w:p w14:paraId="67C0906C" w14:textId="0DA0A9C4" w:rsidR="006E1690" w:rsidRPr="008E4270" w:rsidRDefault="000347C6"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Pojištění se vztahuje i na odcizení nebo ztrátu přepravovaných peněz při dopravní nebo jiné nehodě, následkem které byla pověřená osoba zbavena možnosti svěřené peníze opatrovat.</w:t>
      </w:r>
    </w:p>
    <w:p w14:paraId="5AD2EF52" w14:textId="5202A7A2" w:rsidR="000347C6" w:rsidRPr="008E4270" w:rsidRDefault="000347C6" w:rsidP="003B0965">
      <w:pPr>
        <w:numPr>
          <w:ilvl w:val="0"/>
          <w:numId w:val="29"/>
        </w:numPr>
        <w:tabs>
          <w:tab w:val="left" w:pos="-1418"/>
        </w:tabs>
        <w:spacing w:before="60"/>
        <w:ind w:left="284" w:hanging="284"/>
        <w:jc w:val="both"/>
        <w:rPr>
          <w:rFonts w:cs="Arial"/>
          <w:sz w:val="20"/>
          <w:szCs w:val="20"/>
        </w:rPr>
      </w:pPr>
      <w:r w:rsidRPr="008E4270">
        <w:rPr>
          <w:rFonts w:cs="Arial"/>
          <w:sz w:val="20"/>
          <w:szCs w:val="20"/>
        </w:rPr>
        <w:t>V místě pojištění Nádražní 102, Rakovník, se nachází tzv. platbomat. Jedná se o zařízení, které mohou občané využívat v pracovní době úřadu k platbám poplatků. Platbomat je umístěn v samostatné místnosti úřadu a chráněn kamerovým systémem napojeným na Městskou policii. Pro tento platbomat tak platí ujednání o zabezpečení:</w:t>
      </w:r>
    </w:p>
    <w:p w14:paraId="00ADA092" w14:textId="5E0B64C1" w:rsidR="00B725AD" w:rsidRPr="008E4270" w:rsidRDefault="000347C6" w:rsidP="005B29A8">
      <w:pPr>
        <w:tabs>
          <w:tab w:val="left" w:pos="-1418"/>
        </w:tabs>
        <w:ind w:left="284"/>
        <w:jc w:val="both"/>
        <w:rPr>
          <w:rFonts w:cs="Arial"/>
          <w:sz w:val="20"/>
          <w:szCs w:val="20"/>
        </w:rPr>
      </w:pPr>
      <w:r w:rsidRPr="008E4270">
        <w:rPr>
          <w:rFonts w:cs="Arial"/>
          <w:sz w:val="20"/>
          <w:szCs w:val="20"/>
        </w:rPr>
        <w:t xml:space="preserve">Ujednává se, že pro limit plnění 500 000 Kč pro riziko odcizení finančních prostředků z platbomatu umístěného na adrese </w:t>
      </w:r>
      <w:r w:rsidR="009F00E7" w:rsidRPr="008E4270">
        <w:rPr>
          <w:rFonts w:cs="Arial"/>
          <w:sz w:val="20"/>
          <w:szCs w:val="20"/>
        </w:rPr>
        <w:t>Nádražní 102</w:t>
      </w:r>
      <w:r w:rsidRPr="008E4270">
        <w:rPr>
          <w:rFonts w:cs="Arial"/>
          <w:sz w:val="20"/>
          <w:szCs w:val="20"/>
        </w:rPr>
        <w:t>, Rakovník, je dostatečný způsob zabezpečení</w:t>
      </w:r>
      <w:r w:rsidR="006D674F" w:rsidRPr="008E4270">
        <w:rPr>
          <w:rFonts w:cs="Arial"/>
          <w:sz w:val="20"/>
          <w:szCs w:val="20"/>
        </w:rPr>
        <w:t>:</w:t>
      </w:r>
      <w:r w:rsidRPr="008E4270">
        <w:rPr>
          <w:rFonts w:cs="Arial"/>
          <w:sz w:val="20"/>
          <w:szCs w:val="20"/>
        </w:rPr>
        <w:t xml:space="preserve"> uzamčený prostor</w:t>
      </w:r>
      <w:r w:rsidR="006D674F" w:rsidRPr="008E4270">
        <w:rPr>
          <w:rFonts w:cs="Arial"/>
          <w:sz w:val="20"/>
          <w:szCs w:val="20"/>
        </w:rPr>
        <w:t xml:space="preserve"> místnosti, ve které se platbomat nachází, bezpečnostním uzamykacím systémem nebo zámkem s bezpečnostní cylindrickou vložkou a bezpečnostním kováním. Prostor je zároveň napojen </w:t>
      </w:r>
      <w:r w:rsidRPr="008E4270">
        <w:rPr>
          <w:rFonts w:cs="Arial"/>
          <w:sz w:val="20"/>
          <w:szCs w:val="20"/>
        </w:rPr>
        <w:t>na kamerový systém Městské policie.</w:t>
      </w:r>
    </w:p>
    <w:p w14:paraId="71152726" w14:textId="151346BB" w:rsidR="00E1750A" w:rsidRPr="008E4270" w:rsidRDefault="00E1750A" w:rsidP="009665EB">
      <w:pPr>
        <w:tabs>
          <w:tab w:val="left" w:pos="-1418"/>
        </w:tabs>
        <w:spacing w:before="120"/>
        <w:rPr>
          <w:rFonts w:cs="Arial"/>
          <w:sz w:val="20"/>
          <w:szCs w:val="20"/>
          <w:u w:val="single"/>
        </w:rPr>
      </w:pPr>
      <w:r w:rsidRPr="008E4270">
        <w:rPr>
          <w:rFonts w:cs="Arial"/>
          <w:sz w:val="20"/>
          <w:szCs w:val="20"/>
          <w:u w:val="single"/>
        </w:rPr>
        <w:t>Ujednání k pojištění odpovědnosti za újmu:</w:t>
      </w:r>
    </w:p>
    <w:p w14:paraId="112CE116" w14:textId="77777777" w:rsidR="002511E3" w:rsidRPr="008E4270" w:rsidRDefault="002511E3" w:rsidP="00E75655">
      <w:pPr>
        <w:pStyle w:val="slovn-rove1-netunb"/>
        <w:numPr>
          <w:ilvl w:val="0"/>
          <w:numId w:val="17"/>
        </w:numPr>
        <w:spacing w:before="60" w:after="0"/>
        <w:rPr>
          <w:szCs w:val="20"/>
        </w:rPr>
      </w:pPr>
      <w:r w:rsidRPr="008E4270">
        <w:rPr>
          <w:szCs w:val="20"/>
        </w:rPr>
        <w:t>Ujednává se, že se ustanovení čl. 25 odst. 6) ZPP P-6000/21 ruší a nově zní:</w:t>
      </w:r>
    </w:p>
    <w:p w14:paraId="233D0744" w14:textId="799C40A1" w:rsidR="00E40FD3" w:rsidRPr="008E4270" w:rsidRDefault="00E40FD3" w:rsidP="001B3158">
      <w:pPr>
        <w:tabs>
          <w:tab w:val="left" w:pos="284"/>
          <w:tab w:val="left" w:pos="851"/>
        </w:tabs>
        <w:ind w:left="425"/>
        <w:rPr>
          <w:rFonts w:eastAsia="Calibri" w:cs="Calibri"/>
          <w:sz w:val="20"/>
          <w:szCs w:val="20"/>
        </w:rPr>
      </w:pPr>
      <w:r w:rsidRPr="008E4270">
        <w:rPr>
          <w:szCs w:val="20"/>
        </w:rPr>
        <w:t>„</w:t>
      </w:r>
      <w:r w:rsidRPr="008E4270">
        <w:rPr>
          <w:sz w:val="20"/>
          <w:szCs w:val="20"/>
        </w:rPr>
        <w:t xml:space="preserve">6) </w:t>
      </w:r>
      <w:r w:rsidRPr="008E4270">
        <w:rPr>
          <w:rFonts w:eastAsia="Calibri" w:cs="Calibri"/>
          <w:b/>
          <w:bCs/>
          <w:sz w:val="20"/>
          <w:szCs w:val="20"/>
        </w:rPr>
        <w:t>Motorovým vozidlem</w:t>
      </w:r>
      <w:r w:rsidRPr="008E4270">
        <w:rPr>
          <w:rFonts w:eastAsia="Calibri" w:cs="Calibri"/>
          <w:sz w:val="20"/>
          <w:szCs w:val="20"/>
        </w:rPr>
        <w:t xml:space="preserve"> se rozumí:</w:t>
      </w:r>
    </w:p>
    <w:p w14:paraId="774C82F5" w14:textId="77777777" w:rsidR="00E40FD3" w:rsidRPr="008E4270" w:rsidRDefault="00E40FD3" w:rsidP="001B3158">
      <w:pPr>
        <w:ind w:left="709" w:hanging="284"/>
        <w:jc w:val="both"/>
        <w:rPr>
          <w:rFonts w:eastAsia="Calibri" w:cs="Calibri"/>
          <w:sz w:val="20"/>
          <w:szCs w:val="20"/>
        </w:rPr>
      </w:pPr>
      <w:r w:rsidRPr="008E4270">
        <w:rPr>
          <w:rFonts w:eastAsia="Calibri" w:cs="Calibri"/>
          <w:sz w:val="20"/>
          <w:szCs w:val="20"/>
        </w:rPr>
        <w:t>a)</w:t>
      </w:r>
      <w:r w:rsidRPr="008E4270">
        <w:rPr>
          <w:rFonts w:eastAsia="Calibri" w:cs="Calibri"/>
          <w:sz w:val="20"/>
          <w:szCs w:val="20"/>
        </w:rPr>
        <w:tab/>
        <w:t>nekolejové vozidlo poháněné motorem (mechanickým pohonem) určené k pohybu po zemi – včetně motorových vozidel sloužících jako pracovní stroje (např. bagr, autojeřáb, rolba, pásový nebo kolový finišer), trolejbusů, elektrovozidel, sanitek, motorových invalidních vozíků, vozítek segway, motorových koloběžek, mopedů, elektrokol, elektrických jednokolek apod. – bez ohledu na to, jestli:</w:t>
      </w:r>
    </w:p>
    <w:p w14:paraId="4D48E73E" w14:textId="77777777" w:rsidR="00E40FD3" w:rsidRPr="008E4270" w:rsidRDefault="00E40FD3" w:rsidP="001B3158">
      <w:pPr>
        <w:ind w:left="709"/>
        <w:jc w:val="both"/>
        <w:rPr>
          <w:rFonts w:eastAsia="Calibri" w:cs="Calibri"/>
          <w:sz w:val="20"/>
          <w:szCs w:val="20"/>
        </w:rPr>
      </w:pPr>
      <w:r w:rsidRPr="008E4270">
        <w:rPr>
          <w:rFonts w:eastAsia="Calibri" w:cs="Calibri"/>
          <w:sz w:val="20"/>
          <w:szCs w:val="20"/>
        </w:rPr>
        <w:t>- je takové vozidlo určeno k provozu na pozemních komunikacích,</w:t>
      </w:r>
    </w:p>
    <w:p w14:paraId="00DC0148" w14:textId="77777777" w:rsidR="00E40FD3" w:rsidRPr="008E4270" w:rsidRDefault="00E40FD3" w:rsidP="001B3158">
      <w:pPr>
        <w:ind w:left="709"/>
        <w:jc w:val="both"/>
        <w:rPr>
          <w:rFonts w:eastAsia="Calibri" w:cs="Calibri"/>
          <w:sz w:val="20"/>
          <w:szCs w:val="20"/>
        </w:rPr>
      </w:pPr>
      <w:r w:rsidRPr="008E4270">
        <w:rPr>
          <w:rFonts w:eastAsia="Calibri" w:cs="Calibri"/>
          <w:sz w:val="20"/>
          <w:szCs w:val="20"/>
        </w:rPr>
        <w:t>- byla takovému vozidlu přidělena registrační značka (státní poznávací značka),</w:t>
      </w:r>
    </w:p>
    <w:p w14:paraId="1329CCC6" w14:textId="77777777" w:rsidR="00E40FD3" w:rsidRPr="008E4270" w:rsidRDefault="00E40FD3" w:rsidP="001B3158">
      <w:pPr>
        <w:ind w:left="709"/>
        <w:jc w:val="both"/>
        <w:rPr>
          <w:rFonts w:eastAsia="Calibri" w:cs="Calibri"/>
          <w:sz w:val="20"/>
          <w:szCs w:val="20"/>
        </w:rPr>
      </w:pPr>
      <w:r w:rsidRPr="008E4270">
        <w:rPr>
          <w:rFonts w:eastAsia="Calibri" w:cs="Calibri"/>
          <w:sz w:val="20"/>
          <w:szCs w:val="20"/>
        </w:rPr>
        <w:t>- bylo takové vozidlo použito jako dopravní prostředek,</w:t>
      </w:r>
    </w:p>
    <w:p w14:paraId="45A18273" w14:textId="77777777" w:rsidR="00E40FD3" w:rsidRPr="008E4270" w:rsidRDefault="00E40FD3" w:rsidP="001B3158">
      <w:pPr>
        <w:ind w:left="709"/>
        <w:jc w:val="both"/>
        <w:rPr>
          <w:rFonts w:eastAsia="Calibri" w:cs="Calibri"/>
          <w:strike/>
          <w:sz w:val="20"/>
          <w:szCs w:val="20"/>
        </w:rPr>
      </w:pPr>
      <w:r w:rsidRPr="008E4270">
        <w:rPr>
          <w:rFonts w:eastAsia="Calibri" w:cs="Calibri"/>
          <w:sz w:val="20"/>
          <w:szCs w:val="20"/>
        </w:rPr>
        <w:t>- je takové vozidlo poháněno výhradně motorem (mechanickým pohonem).</w:t>
      </w:r>
    </w:p>
    <w:p w14:paraId="254FB8D5" w14:textId="68E842DD" w:rsidR="00E40FD3" w:rsidRDefault="00E40FD3" w:rsidP="002F7552">
      <w:pPr>
        <w:ind w:left="709" w:hanging="284"/>
        <w:jc w:val="both"/>
        <w:rPr>
          <w:rFonts w:eastAsia="Calibri" w:cs="Calibri"/>
          <w:sz w:val="20"/>
          <w:szCs w:val="20"/>
        </w:rPr>
      </w:pPr>
      <w:r w:rsidRPr="008E4270">
        <w:rPr>
          <w:rFonts w:eastAsia="Calibri" w:cs="Calibri"/>
          <w:sz w:val="20"/>
          <w:szCs w:val="20"/>
        </w:rPr>
        <w:t xml:space="preserve">b) </w:t>
      </w:r>
      <w:r w:rsidRPr="008E4270">
        <w:rPr>
          <w:rFonts w:eastAsia="Calibri" w:cs="Calibri"/>
          <w:sz w:val="20"/>
          <w:szCs w:val="20"/>
        </w:rPr>
        <w:tab/>
        <w:t>přípojné vozidlo určené k užití s vozidlem uvedeným v písmenu a).“</w:t>
      </w:r>
    </w:p>
    <w:p w14:paraId="07DBAC21" w14:textId="77777777" w:rsidR="0065631D" w:rsidRDefault="0065631D" w:rsidP="002F7552">
      <w:pPr>
        <w:ind w:left="709" w:hanging="284"/>
        <w:jc w:val="both"/>
        <w:rPr>
          <w:rFonts w:eastAsia="Calibri" w:cs="Calibri"/>
          <w:sz w:val="20"/>
          <w:szCs w:val="20"/>
        </w:rPr>
      </w:pPr>
    </w:p>
    <w:p w14:paraId="32475C07" w14:textId="77777777" w:rsidR="001C6E44" w:rsidRDefault="001C6E44" w:rsidP="002F7552">
      <w:pPr>
        <w:ind w:left="709" w:hanging="284"/>
        <w:jc w:val="both"/>
        <w:rPr>
          <w:rFonts w:eastAsia="Calibri" w:cs="Calibri"/>
          <w:sz w:val="20"/>
          <w:szCs w:val="20"/>
        </w:rPr>
      </w:pPr>
    </w:p>
    <w:p w14:paraId="43385693" w14:textId="77777777" w:rsidR="0065631D" w:rsidRDefault="0065631D" w:rsidP="002F7552">
      <w:pPr>
        <w:ind w:left="709" w:hanging="284"/>
        <w:jc w:val="both"/>
        <w:rPr>
          <w:rFonts w:eastAsia="Calibri" w:cs="Calibri"/>
          <w:sz w:val="20"/>
          <w:szCs w:val="20"/>
        </w:rPr>
      </w:pPr>
    </w:p>
    <w:p w14:paraId="2F2EA4AF" w14:textId="77777777" w:rsidR="0065631D" w:rsidRPr="008E4270" w:rsidRDefault="0065631D" w:rsidP="002F7552">
      <w:pPr>
        <w:ind w:left="709" w:hanging="284"/>
        <w:jc w:val="both"/>
        <w:rPr>
          <w:rFonts w:cs="Arial"/>
          <w:b/>
          <w:sz w:val="20"/>
          <w:szCs w:val="20"/>
        </w:rPr>
      </w:pPr>
    </w:p>
    <w:p w14:paraId="4398FD9F" w14:textId="77777777" w:rsidR="00502430" w:rsidRPr="008E4270" w:rsidRDefault="00502430" w:rsidP="008D48F5">
      <w:pPr>
        <w:pStyle w:val="slovn-rove1-netunb"/>
        <w:numPr>
          <w:ilvl w:val="0"/>
          <w:numId w:val="17"/>
        </w:numPr>
        <w:autoSpaceDE w:val="0"/>
        <w:autoSpaceDN w:val="0"/>
        <w:adjustRightInd w:val="0"/>
        <w:spacing w:before="60" w:after="0"/>
        <w:rPr>
          <w:rFonts w:eastAsia="Calibri" w:cs="Helvetica"/>
          <w:lang w:eastAsia="en-US"/>
        </w:rPr>
      </w:pPr>
      <w:r w:rsidRPr="008E4270">
        <w:rPr>
          <w:rFonts w:eastAsia="Calibri" w:cs="Calibri"/>
          <w:lang w:eastAsia="en-US"/>
        </w:rPr>
        <w:lastRenderedPageBreak/>
        <w:t>Pojistitel poskytne pojistné plnění poškozenému až na základě výslovného písemného potvrzení pojištěného, že za uplatněnou újmu odpovídá a to i na základě dodatečného uznání nebo na základě rozhodnutí soudu. Pokud pojistitel písemně potvrdí, že je připraven odškodnit poškozeného a pojištěný svůj souhlas s plněním dle tohoto ujednání nepotvrdí písemně, není pojistitel povinen plnit případné náklady soudního řízení. Pojištěný má však možnost písemně oznámit pojistiteli, že nechává řešení plně v jeho kompetenci. V tomto případě není vyžadováno písemné potvrzení o uznáni odpovědnosti pojištěného. Pojištěný je povinen dodat veškeré požadované poklady nutné k posouzení oprávněnosti nároku poškozeného k uplatňované náhradě újmy způsobené pojištěným</w:t>
      </w:r>
      <w:r w:rsidRPr="008E4270">
        <w:rPr>
          <w:rFonts w:eastAsia="Calibri" w:cs="Helvetica"/>
          <w:lang w:eastAsia="en-US"/>
        </w:rPr>
        <w:t>.</w:t>
      </w:r>
    </w:p>
    <w:p w14:paraId="73F08711" w14:textId="49D14E3A" w:rsidR="00CE01D2" w:rsidRPr="008E4270" w:rsidRDefault="00CE01D2" w:rsidP="008D48F5">
      <w:pPr>
        <w:pStyle w:val="slovn-rove1-netunb"/>
        <w:numPr>
          <w:ilvl w:val="0"/>
          <w:numId w:val="17"/>
        </w:numPr>
        <w:autoSpaceDE w:val="0"/>
        <w:autoSpaceDN w:val="0"/>
        <w:adjustRightInd w:val="0"/>
        <w:spacing w:before="60" w:after="0"/>
        <w:rPr>
          <w:rFonts w:eastAsia="Calibri" w:cs="Calibri"/>
          <w:szCs w:val="20"/>
          <w:lang w:eastAsia="en-US"/>
        </w:rPr>
      </w:pPr>
      <w:r w:rsidRPr="008E4270">
        <w:rPr>
          <w:rFonts w:eastAsia="Calibri" w:cs="Calibri"/>
          <w:szCs w:val="20"/>
          <w:lang w:eastAsia="en-US"/>
        </w:rPr>
        <w:t>Pojištění se vztahuje i na povinnost pojištěného k náhradě jiné újmy na jmění vyplývající z pokut, penále a správních sankcí uložených nebo uplatňovaných orgány státní správy, které byly uloženy třetí osobě v důsledk</w:t>
      </w:r>
      <w:r w:rsidR="00F20AE3" w:rsidRPr="008E4270">
        <w:rPr>
          <w:rFonts w:eastAsia="Calibri" w:cs="Calibri"/>
          <w:szCs w:val="20"/>
          <w:lang w:eastAsia="en-US"/>
        </w:rPr>
        <w:t>u</w:t>
      </w:r>
      <w:r w:rsidRPr="008E4270">
        <w:rPr>
          <w:rFonts w:eastAsia="Calibri" w:cs="Calibri"/>
          <w:szCs w:val="20"/>
          <w:lang w:eastAsia="en-US"/>
        </w:rPr>
        <w:t xml:space="preserve"> jednání pojištěného. Z tohoto ujednání jsou vyloučeny pokuty, penále a sankce, které udělí přímo pojištěný. Toto ujednání se sjednává s ročním limitem pojistného plnění 5 000 000 Kč. </w:t>
      </w:r>
    </w:p>
    <w:p w14:paraId="6D7A8099" w14:textId="69DB4DAF" w:rsidR="00CE01D2" w:rsidRPr="008E4270" w:rsidRDefault="00CE01D2" w:rsidP="008D48F5">
      <w:pPr>
        <w:pStyle w:val="slovn-rove1-netunb"/>
        <w:numPr>
          <w:ilvl w:val="0"/>
          <w:numId w:val="17"/>
        </w:numPr>
        <w:autoSpaceDE w:val="0"/>
        <w:autoSpaceDN w:val="0"/>
        <w:adjustRightInd w:val="0"/>
        <w:spacing w:before="60" w:after="0"/>
        <w:rPr>
          <w:rFonts w:eastAsia="Calibri" w:cs="Calibri"/>
          <w:szCs w:val="20"/>
          <w:lang w:eastAsia="en-US"/>
        </w:rPr>
      </w:pPr>
      <w:r w:rsidRPr="008E4270">
        <w:rPr>
          <w:rFonts w:eastAsia="Calibri" w:cs="Calibri"/>
          <w:szCs w:val="20"/>
          <w:lang w:eastAsia="en-US"/>
        </w:rPr>
        <w:t xml:space="preserve">Pojištění se vztahuje i na povinnost pojištěného nahradit újmy, způsobené vlastními zaměstnanci, které pojištěný uvolnil k výkonu dobrovolné charitativní činnosti nebo obdobné činnosti u třetích osob v případě, že pojištěný odpovídá za újmu dle právního předpisu. </w:t>
      </w:r>
    </w:p>
    <w:p w14:paraId="0FA45D4E" w14:textId="5985DAE2" w:rsidR="00CE01D2" w:rsidRPr="008E4270" w:rsidRDefault="00CE01D2" w:rsidP="008D48F5">
      <w:pPr>
        <w:pStyle w:val="slovn-rove1-netunb"/>
        <w:numPr>
          <w:ilvl w:val="0"/>
          <w:numId w:val="17"/>
        </w:numPr>
        <w:autoSpaceDE w:val="0"/>
        <w:autoSpaceDN w:val="0"/>
        <w:adjustRightInd w:val="0"/>
        <w:spacing w:before="60" w:after="0"/>
        <w:rPr>
          <w:rFonts w:eastAsia="Calibri" w:cs="Calibri"/>
          <w:szCs w:val="20"/>
          <w:lang w:eastAsia="en-US"/>
        </w:rPr>
      </w:pPr>
      <w:r w:rsidRPr="008E4270">
        <w:rPr>
          <w:rFonts w:eastAsia="Calibri" w:cs="Calibri"/>
          <w:szCs w:val="20"/>
          <w:lang w:eastAsia="en-US"/>
        </w:rPr>
        <w:t>Pojištění se vztahuje na situace, kdy v důsledku pravomocně ukončeného soudního řízení ve věci pochybení pojištěného vznikla škoda některému z nadřazených samosprávných celků, popř. orgánům státní správy. Pojištění se v takovém případě vztahuje na regresy nadřazeného správní celku, či státní správy, uplatněné za pojištěným. Za okamžik vniku škody se v tomto případě považuje datum rozhodnutí příslušného soudního orgánu. Toto ujednání se sjednává s ročním limitem plnění 10 000 000 Kč. Pokud došlo ke škodě v důsledku chybného jednání zastupitelů, bude se pojištění řídit limitem a pravidly, která jsou výhodnější pro pojištěného.</w:t>
      </w:r>
    </w:p>
    <w:p w14:paraId="2F9C2638" w14:textId="106F336F" w:rsidR="00CE01D2" w:rsidRPr="008E4270" w:rsidRDefault="00CE01D2" w:rsidP="008D48F5">
      <w:pPr>
        <w:pStyle w:val="slovn-rove1-netunb"/>
        <w:numPr>
          <w:ilvl w:val="0"/>
          <w:numId w:val="17"/>
        </w:numPr>
        <w:spacing w:before="60" w:after="0"/>
        <w:rPr>
          <w:rFonts w:eastAsia="Calibri" w:cs="Calibri"/>
          <w:szCs w:val="20"/>
          <w:lang w:eastAsia="en-US"/>
        </w:rPr>
      </w:pPr>
      <w:r w:rsidRPr="008E4270">
        <w:rPr>
          <w:rFonts w:eastAsia="Calibri" w:cs="Calibri"/>
          <w:szCs w:val="20"/>
          <w:lang w:eastAsia="en-US"/>
        </w:rPr>
        <w:t>Ujednává se, že za hrubou nedbalost se nepovažuje jednání, které bylo příčinou vzniku pojistné události a pro které byl pojištěný, jeho statutární orgán, zákonný zástupce nebo zmocněnec, osoba pojištěnému nebo jeho statutárnímu orgánu blízká, pravomocně odsouzena pro nedbalostní trestný čin.</w:t>
      </w:r>
    </w:p>
    <w:p w14:paraId="1473049E" w14:textId="21A4D00F" w:rsidR="00CE01D2" w:rsidRPr="008E4270" w:rsidRDefault="00CE01D2" w:rsidP="008D48F5">
      <w:pPr>
        <w:pStyle w:val="slovn-rove1-netunb"/>
        <w:numPr>
          <w:ilvl w:val="0"/>
          <w:numId w:val="17"/>
        </w:numPr>
        <w:spacing w:before="60" w:after="0"/>
        <w:rPr>
          <w:rFonts w:eastAsia="Calibri" w:cs="Calibri"/>
          <w:szCs w:val="20"/>
          <w:lang w:eastAsia="en-US"/>
        </w:rPr>
      </w:pPr>
      <w:r w:rsidRPr="008E4270">
        <w:rPr>
          <w:rFonts w:eastAsia="Calibri" w:cs="Calibri"/>
          <w:szCs w:val="20"/>
          <w:lang w:eastAsia="en-US"/>
        </w:rPr>
        <w:t>Pojištění za újmu se vztahuje i na cizí vozidla, vč. příslušenství, umístěná v garážích či na zařízeních obdobného druhu (parkovištích) provozovaných pojištěným, kde pojištěný nese dle §2945 zákona č. 89/2012</w:t>
      </w:r>
      <w:r w:rsidR="007A5C0F" w:rsidRPr="008E4270">
        <w:rPr>
          <w:rFonts w:eastAsia="Calibri" w:cs="Calibri"/>
          <w:szCs w:val="20"/>
          <w:lang w:eastAsia="en-US"/>
        </w:rPr>
        <w:t xml:space="preserve"> </w:t>
      </w:r>
      <w:r w:rsidRPr="008E4270">
        <w:rPr>
          <w:rFonts w:eastAsia="Calibri" w:cs="Calibri"/>
          <w:szCs w:val="20"/>
          <w:lang w:eastAsia="en-US"/>
        </w:rPr>
        <w:t>Sb</w:t>
      </w:r>
      <w:r w:rsidR="007939F5" w:rsidRPr="008E4270">
        <w:rPr>
          <w:rFonts w:eastAsia="Calibri" w:cs="Calibri"/>
          <w:szCs w:val="20"/>
          <w:lang w:eastAsia="en-US"/>
        </w:rPr>
        <w:t>.</w:t>
      </w:r>
      <w:r w:rsidRPr="008E4270">
        <w:rPr>
          <w:rFonts w:eastAsia="Calibri" w:cs="Calibri"/>
          <w:szCs w:val="20"/>
          <w:lang w:eastAsia="en-US"/>
        </w:rPr>
        <w:t xml:space="preserve">, občanský zákoník, ve znění pozdějších předpisů, při vzniklé škodě na odložených věcech povinnost k náhradě škody. </w:t>
      </w:r>
    </w:p>
    <w:p w14:paraId="620CC9FF" w14:textId="03ABCBE5" w:rsidR="00E40FD3" w:rsidRPr="008E4270" w:rsidRDefault="00CE01D2" w:rsidP="00E40FD3">
      <w:pPr>
        <w:pStyle w:val="slovn-rove1-netunb"/>
        <w:numPr>
          <w:ilvl w:val="0"/>
          <w:numId w:val="17"/>
        </w:numPr>
        <w:spacing w:before="60" w:after="0"/>
        <w:rPr>
          <w:szCs w:val="20"/>
        </w:rPr>
      </w:pPr>
      <w:r w:rsidRPr="008E4270">
        <w:rPr>
          <w:rFonts w:eastAsia="Calibri" w:cs="Calibri"/>
          <w:szCs w:val="20"/>
          <w:lang w:eastAsia="en-US"/>
        </w:rPr>
        <w:t>Pojištění odpovědnosti za újmu se vztahuje rovněž na odpovědnost za újmu pojištěného dle §27 odst.</w:t>
      </w:r>
      <w:r w:rsidR="007939F5" w:rsidRPr="008E4270">
        <w:rPr>
          <w:rFonts w:eastAsia="Calibri" w:cs="Calibri"/>
          <w:szCs w:val="20"/>
          <w:lang w:eastAsia="en-US"/>
        </w:rPr>
        <w:t xml:space="preserve"> </w:t>
      </w:r>
      <w:r w:rsidRPr="008E4270">
        <w:rPr>
          <w:rFonts w:eastAsia="Calibri" w:cs="Calibri"/>
          <w:szCs w:val="20"/>
          <w:lang w:eastAsia="en-US"/>
        </w:rPr>
        <w:t>2 a odst.</w:t>
      </w:r>
      <w:r w:rsidR="007939F5" w:rsidRPr="008E4270">
        <w:rPr>
          <w:rFonts w:eastAsia="Calibri" w:cs="Calibri"/>
          <w:szCs w:val="20"/>
          <w:lang w:eastAsia="en-US"/>
        </w:rPr>
        <w:t xml:space="preserve"> </w:t>
      </w:r>
      <w:r w:rsidRPr="008E4270">
        <w:rPr>
          <w:rFonts w:eastAsia="Calibri" w:cs="Calibri"/>
          <w:szCs w:val="20"/>
          <w:lang w:eastAsia="en-US"/>
        </w:rPr>
        <w:t xml:space="preserve">3 zákona č. 13/1997 Sb., o pozemních komunikacích, ve znění pozdějších předpisů a §27 odst. 4 zákona </w:t>
      </w:r>
      <w:r w:rsidR="007939F5" w:rsidRPr="008E4270">
        <w:rPr>
          <w:rFonts w:eastAsia="Calibri" w:cs="Calibri"/>
          <w:szCs w:val="20"/>
          <w:lang w:eastAsia="en-US"/>
        </w:rPr>
        <w:t xml:space="preserve">            </w:t>
      </w:r>
      <w:r w:rsidRPr="008E4270">
        <w:rPr>
          <w:rFonts w:eastAsia="Calibri" w:cs="Calibri"/>
          <w:szCs w:val="20"/>
          <w:lang w:eastAsia="en-US"/>
        </w:rPr>
        <w:t>č. 13/1997 Sb., o pozemních komunikacích, ve znění pozdějších předpisů.</w:t>
      </w:r>
    </w:p>
    <w:p w14:paraId="1A73EE29" w14:textId="575F06D5" w:rsidR="00C93168" w:rsidRPr="008E4270" w:rsidRDefault="008A290C" w:rsidP="009665EB">
      <w:pPr>
        <w:tabs>
          <w:tab w:val="left" w:pos="-1418"/>
        </w:tabs>
        <w:spacing w:before="120"/>
        <w:rPr>
          <w:rFonts w:cs="Arial"/>
          <w:sz w:val="20"/>
          <w:szCs w:val="20"/>
          <w:u w:val="single"/>
        </w:rPr>
      </w:pPr>
      <w:r w:rsidRPr="008E4270">
        <w:rPr>
          <w:rFonts w:cs="Arial"/>
          <w:sz w:val="20"/>
          <w:szCs w:val="20"/>
          <w:u w:val="single"/>
        </w:rPr>
        <w:t>Ujednání k pojištění lesních porostů</w:t>
      </w:r>
      <w:r w:rsidR="00E1750A" w:rsidRPr="008E4270">
        <w:rPr>
          <w:rFonts w:cs="Arial"/>
          <w:sz w:val="20"/>
          <w:szCs w:val="20"/>
          <w:u w:val="single"/>
        </w:rPr>
        <w:t>:</w:t>
      </w:r>
    </w:p>
    <w:p w14:paraId="29FCD754" w14:textId="77777777" w:rsidR="00C93168" w:rsidRPr="008E4270" w:rsidRDefault="00C93168" w:rsidP="00993829">
      <w:pPr>
        <w:numPr>
          <w:ilvl w:val="0"/>
          <w:numId w:val="33"/>
        </w:numPr>
        <w:tabs>
          <w:tab w:val="left" w:pos="-1418"/>
        </w:tabs>
        <w:spacing w:before="60"/>
        <w:ind w:left="284" w:hanging="284"/>
        <w:jc w:val="both"/>
        <w:rPr>
          <w:rFonts w:cs="Arial"/>
          <w:sz w:val="20"/>
          <w:szCs w:val="20"/>
        </w:rPr>
      </w:pPr>
      <w:r w:rsidRPr="008E4270">
        <w:rPr>
          <w:rFonts w:eastAsia="Calibri" w:cs="Koop Office"/>
          <w:sz w:val="20"/>
          <w:lang w:eastAsia="en-US"/>
        </w:rPr>
        <w:t>Odchylně od čl. 1 odst. 6) písm. g) ZPP P-150/14 se pojištění vztahuje i na lesní porosty.</w:t>
      </w:r>
    </w:p>
    <w:p w14:paraId="63DD7C38" w14:textId="77777777" w:rsidR="00C93168" w:rsidRPr="008E4270" w:rsidRDefault="00C93168" w:rsidP="00361310">
      <w:pPr>
        <w:tabs>
          <w:tab w:val="left" w:pos="-1560"/>
        </w:tabs>
        <w:ind w:left="284"/>
        <w:jc w:val="both"/>
        <w:rPr>
          <w:rFonts w:eastAsia="Calibri" w:cs="Koop Office"/>
          <w:sz w:val="20"/>
          <w:lang w:eastAsia="en-US"/>
        </w:rPr>
      </w:pPr>
      <w:r w:rsidRPr="008E4270">
        <w:rPr>
          <w:rFonts w:eastAsia="Calibri" w:cs="Koop Office"/>
          <w:sz w:val="20"/>
          <w:lang w:eastAsia="en-US"/>
        </w:rPr>
        <w:t>Předmětem pojištění jsou lesní porosty definované v pojistné smlouvě, které tvoří dřeviny stromovitého vzrůstu a v daných podmínkách plní funkci lesa. Sjednává se, že jsou pojištěny pouze trvalé lesní porosty bez pozemku.</w:t>
      </w:r>
    </w:p>
    <w:p w14:paraId="42F34DDB" w14:textId="77777777" w:rsidR="00C93168" w:rsidRPr="008E4270" w:rsidRDefault="00C93168" w:rsidP="00361310">
      <w:pPr>
        <w:shd w:val="clear" w:color="auto" w:fill="FFFFFF"/>
        <w:tabs>
          <w:tab w:val="left" w:pos="-1560"/>
        </w:tabs>
        <w:ind w:left="284"/>
        <w:jc w:val="both"/>
        <w:rPr>
          <w:rFonts w:eastAsia="Calibri"/>
          <w:sz w:val="20"/>
          <w:lang w:eastAsia="en-US"/>
        </w:rPr>
      </w:pPr>
      <w:r w:rsidRPr="008E4270">
        <w:rPr>
          <w:rFonts w:eastAsia="Calibri"/>
          <w:sz w:val="20"/>
          <w:lang w:eastAsia="en-US"/>
        </w:rPr>
        <w:t>Pojistnou hodnotou je obvyklá tržní ceny dřevní hmoty na stojato pojištěného porostu v Kč/ha.</w:t>
      </w:r>
    </w:p>
    <w:p w14:paraId="0AFE986A" w14:textId="0C661277" w:rsidR="00C93168" w:rsidRPr="008E4270" w:rsidRDefault="00C93168" w:rsidP="00361310">
      <w:pPr>
        <w:shd w:val="clear" w:color="auto" w:fill="FFFFFF"/>
        <w:tabs>
          <w:tab w:val="left" w:pos="-1560"/>
        </w:tabs>
        <w:ind w:left="284"/>
        <w:jc w:val="both"/>
        <w:rPr>
          <w:rFonts w:eastAsia="Calibri"/>
          <w:sz w:val="20"/>
          <w:lang w:eastAsia="en-US"/>
        </w:rPr>
      </w:pPr>
      <w:r w:rsidRPr="008E4270">
        <w:rPr>
          <w:rFonts w:eastAsia="Calibri"/>
          <w:sz w:val="20"/>
          <w:lang w:eastAsia="en-US"/>
        </w:rPr>
        <w:t xml:space="preserve">Pojistnou částku stanoví na vlastní odpovědnost pojistník. Pojistná částka by neměla být nižší, než cena stanovená podle platného předpisu/cenového předpisu pro zjišťování administrativních cen v posledním platném znění. </w:t>
      </w:r>
    </w:p>
    <w:p w14:paraId="6429C36B" w14:textId="77777777" w:rsidR="00C93168" w:rsidRPr="008E4270" w:rsidRDefault="00C93168" w:rsidP="00A62F63">
      <w:pPr>
        <w:shd w:val="clear" w:color="auto" w:fill="FFFFFF"/>
        <w:tabs>
          <w:tab w:val="left" w:pos="-1560"/>
        </w:tabs>
        <w:spacing w:before="60"/>
        <w:ind w:left="284"/>
        <w:jc w:val="both"/>
        <w:rPr>
          <w:rFonts w:eastAsia="Calibri"/>
          <w:sz w:val="20"/>
          <w:lang w:eastAsia="en-US"/>
        </w:rPr>
      </w:pPr>
      <w:r w:rsidRPr="008E4270">
        <w:rPr>
          <w:rFonts w:eastAsia="Calibri"/>
          <w:sz w:val="20"/>
          <w:u w:val="single"/>
          <w:lang w:eastAsia="en-US"/>
        </w:rPr>
        <w:t>Plnění pojistitele k pojištění lesních porostů</w:t>
      </w:r>
      <w:r w:rsidRPr="008E4270">
        <w:rPr>
          <w:rFonts w:eastAsia="Calibri"/>
          <w:sz w:val="20"/>
          <w:lang w:eastAsia="en-US"/>
        </w:rPr>
        <w:t>:</w:t>
      </w:r>
    </w:p>
    <w:p w14:paraId="313AC074" w14:textId="77777777" w:rsidR="00C93168" w:rsidRPr="008E4270" w:rsidRDefault="00C93168" w:rsidP="00993829">
      <w:pPr>
        <w:numPr>
          <w:ilvl w:val="0"/>
          <w:numId w:val="34"/>
        </w:numPr>
        <w:tabs>
          <w:tab w:val="left" w:pos="567"/>
        </w:tabs>
        <w:ind w:left="568" w:hanging="284"/>
        <w:jc w:val="both"/>
        <w:rPr>
          <w:rFonts w:eastAsia="Calibri"/>
          <w:sz w:val="20"/>
          <w:lang w:eastAsia="en-US"/>
        </w:rPr>
      </w:pPr>
      <w:r w:rsidRPr="008E4270">
        <w:rPr>
          <w:rFonts w:eastAsia="Calibri"/>
          <w:sz w:val="20"/>
          <w:lang w:eastAsia="en-US"/>
        </w:rPr>
        <w:t>Pojistnou událostí je poškození nebo zničení pojištěných lesních porostů sjednaným pojistným nebezpečím v době trvání pojištění, kdy došlo k prokazatelnému úbytku množství vytěžitelné dřevní hmoty.</w:t>
      </w:r>
    </w:p>
    <w:p w14:paraId="35F60127" w14:textId="77777777" w:rsidR="00C93168" w:rsidRPr="008E4270" w:rsidRDefault="00C93168" w:rsidP="00993829">
      <w:pPr>
        <w:numPr>
          <w:ilvl w:val="0"/>
          <w:numId w:val="34"/>
        </w:numPr>
        <w:tabs>
          <w:tab w:val="left" w:pos="567"/>
        </w:tabs>
        <w:ind w:left="568" w:hanging="284"/>
        <w:jc w:val="both"/>
        <w:rPr>
          <w:rFonts w:eastAsia="Calibri"/>
          <w:sz w:val="20"/>
          <w:lang w:eastAsia="en-US"/>
        </w:rPr>
      </w:pPr>
      <w:r w:rsidRPr="008E4270">
        <w:rPr>
          <w:rFonts w:eastAsia="Calibri"/>
          <w:sz w:val="20"/>
          <w:lang w:eastAsia="en-US"/>
        </w:rPr>
        <w:t>V případě poškození pojištěného lesního porostu, pojistitel v součinnosti s pojištěným stanoví rozsah poškození pojištěného lesního porostu v procentech ve srovnání se stavem pojištěného lesního porostu bezprostředně před pojistnou událostí. Výše škody je určena, není-li dále stanoveno jinak, součinem procenta poškození pojištěného lesního porostu stanoveného dle předcházející věty a stanovené pojistné částky pro pojištěný poškozený lesní porost.</w:t>
      </w:r>
    </w:p>
    <w:p w14:paraId="3996F4EF" w14:textId="4DAA758A" w:rsidR="00C93168" w:rsidRPr="008E4270" w:rsidRDefault="00C93168" w:rsidP="00993829">
      <w:pPr>
        <w:numPr>
          <w:ilvl w:val="0"/>
          <w:numId w:val="34"/>
        </w:numPr>
        <w:tabs>
          <w:tab w:val="left" w:pos="567"/>
        </w:tabs>
        <w:ind w:left="568" w:hanging="284"/>
        <w:jc w:val="both"/>
        <w:rPr>
          <w:rFonts w:eastAsia="Calibri"/>
          <w:sz w:val="20"/>
          <w:lang w:eastAsia="en-US"/>
        </w:rPr>
      </w:pPr>
      <w:r w:rsidRPr="008E4270">
        <w:rPr>
          <w:rFonts w:eastAsia="Calibri"/>
          <w:sz w:val="20"/>
          <w:lang w:eastAsia="en-US"/>
        </w:rPr>
        <w:t>V případě, že cena pojištěného lesního porostu stanovená podle platného předpisu/cenového předpisu pro zjišťování administrativních cen v posledním platném znění byla bezprostředně před pojistnou událostí nižší než stanovená pojistná částka, vychází pojistitel při výpočtu výše škody z takto stanovené ceny pojištěného lesního porostu podle platných předpisů.</w:t>
      </w:r>
    </w:p>
    <w:p w14:paraId="6F3F3E67" w14:textId="77777777" w:rsidR="00C93168" w:rsidRPr="008E4270" w:rsidRDefault="00C93168" w:rsidP="00993829">
      <w:pPr>
        <w:numPr>
          <w:ilvl w:val="0"/>
          <w:numId w:val="34"/>
        </w:numPr>
        <w:ind w:left="567" w:hanging="284"/>
        <w:jc w:val="both"/>
        <w:rPr>
          <w:rFonts w:eastAsia="Calibri"/>
          <w:sz w:val="20"/>
          <w:lang w:eastAsia="en-US"/>
        </w:rPr>
      </w:pPr>
      <w:r w:rsidRPr="008E4270">
        <w:rPr>
          <w:rFonts w:eastAsia="Calibri"/>
          <w:sz w:val="20"/>
          <w:lang w:eastAsia="en-US"/>
        </w:rPr>
        <w:t>Plnění pojistitele se snižuje o cenu zužitkovatelných zbytků.</w:t>
      </w:r>
    </w:p>
    <w:p w14:paraId="6849DD7E" w14:textId="77777777" w:rsidR="00C93168" w:rsidRPr="008E4270" w:rsidRDefault="00C93168" w:rsidP="00993829">
      <w:pPr>
        <w:numPr>
          <w:ilvl w:val="0"/>
          <w:numId w:val="34"/>
        </w:numPr>
        <w:tabs>
          <w:tab w:val="left" w:pos="567"/>
        </w:tabs>
        <w:ind w:left="426" w:hanging="142"/>
        <w:jc w:val="both"/>
        <w:rPr>
          <w:rFonts w:eastAsia="Calibri"/>
          <w:sz w:val="20"/>
          <w:lang w:eastAsia="en-US"/>
        </w:rPr>
      </w:pPr>
      <w:r w:rsidRPr="008E4270">
        <w:rPr>
          <w:rFonts w:eastAsia="Calibri"/>
          <w:sz w:val="20"/>
          <w:lang w:eastAsia="en-US"/>
        </w:rPr>
        <w:t>Zbytky poškozeného nebo zničeného lesního porostu zůstávají ve vlastnictví pojištěného.</w:t>
      </w:r>
    </w:p>
    <w:p w14:paraId="071A5F93" w14:textId="2FA244AB" w:rsidR="006E1690" w:rsidRPr="008E4270" w:rsidRDefault="00C93168" w:rsidP="00993829">
      <w:pPr>
        <w:numPr>
          <w:ilvl w:val="0"/>
          <w:numId w:val="34"/>
        </w:numPr>
        <w:ind w:left="567" w:hanging="284"/>
        <w:jc w:val="both"/>
        <w:rPr>
          <w:rFonts w:eastAsia="Calibri"/>
          <w:sz w:val="18"/>
          <w:szCs w:val="18"/>
          <w:lang w:eastAsia="en-US"/>
        </w:rPr>
      </w:pPr>
      <w:r w:rsidRPr="008E4270">
        <w:rPr>
          <w:rFonts w:eastAsia="Calibri"/>
          <w:sz w:val="20"/>
          <w:szCs w:val="20"/>
          <w:lang w:eastAsia="en-US"/>
        </w:rPr>
        <w:t>Je-li pojistná částka v době pojistné události nižší než pojistná hodnota pojištěného lesního porostu, má pojistitel právo snížit pojistné plnění v poměru sjednané pojistné částky k pojistné hodnotě pojištěného lesního porostu. Tímto poměrem se upraví i hodnota případných zužitkovatelných zbytků.</w:t>
      </w:r>
      <w:r w:rsidRPr="008E4270">
        <w:rPr>
          <w:rFonts w:eastAsia="Calibri"/>
          <w:sz w:val="20"/>
          <w:lang w:eastAsia="en-US"/>
        </w:rPr>
        <w:t xml:space="preserve"> </w:t>
      </w:r>
    </w:p>
    <w:p w14:paraId="4A735FF7" w14:textId="77777777" w:rsidR="001C6E44" w:rsidRDefault="001C6E44" w:rsidP="00A62F63">
      <w:pPr>
        <w:spacing w:before="60"/>
        <w:ind w:left="284"/>
        <w:jc w:val="both"/>
        <w:rPr>
          <w:rFonts w:eastAsia="Calibri"/>
          <w:sz w:val="20"/>
          <w:u w:val="single"/>
          <w:lang w:eastAsia="en-US"/>
        </w:rPr>
      </w:pPr>
    </w:p>
    <w:p w14:paraId="7A4F78CA" w14:textId="76A24664" w:rsidR="00C93168" w:rsidRPr="008E4270" w:rsidRDefault="00C93168" w:rsidP="00A62F63">
      <w:pPr>
        <w:spacing w:before="60"/>
        <w:ind w:left="284"/>
        <w:jc w:val="both"/>
        <w:rPr>
          <w:rFonts w:eastAsia="Calibri"/>
          <w:sz w:val="20"/>
          <w:lang w:eastAsia="en-US"/>
        </w:rPr>
      </w:pPr>
      <w:r w:rsidRPr="008E4270">
        <w:rPr>
          <w:rFonts w:eastAsia="Calibri"/>
          <w:sz w:val="20"/>
          <w:u w:val="single"/>
          <w:lang w:eastAsia="en-US"/>
        </w:rPr>
        <w:lastRenderedPageBreak/>
        <w:t>Mimo výluk uvedených ve VPP P-100/14, ZPP P-150/14 a DPP P-520/14 se toto pojištění dále nevztahuje na škody způsobené</w:t>
      </w:r>
      <w:r w:rsidRPr="008E4270">
        <w:rPr>
          <w:rFonts w:eastAsia="Calibri"/>
          <w:sz w:val="20"/>
          <w:lang w:eastAsia="en-US"/>
        </w:rPr>
        <w:t>:</w:t>
      </w:r>
    </w:p>
    <w:p w14:paraId="55D9C84E" w14:textId="77777777" w:rsidR="00C93168" w:rsidRPr="008E4270" w:rsidRDefault="00C93168" w:rsidP="00993829">
      <w:pPr>
        <w:numPr>
          <w:ilvl w:val="0"/>
          <w:numId w:val="35"/>
        </w:numPr>
        <w:tabs>
          <w:tab w:val="left" w:pos="567"/>
        </w:tabs>
        <w:ind w:left="284" w:firstLine="0"/>
        <w:jc w:val="both"/>
        <w:rPr>
          <w:rFonts w:eastAsia="Calibri"/>
          <w:sz w:val="20"/>
          <w:lang w:eastAsia="en-US"/>
        </w:rPr>
      </w:pPr>
      <w:r w:rsidRPr="008E4270">
        <w:rPr>
          <w:rFonts w:eastAsia="Calibri"/>
          <w:sz w:val="20"/>
          <w:lang w:eastAsia="en-US"/>
        </w:rPr>
        <w:t>působením zvěře, škůdců nebo chorob,</w:t>
      </w:r>
      <w:r w:rsidRPr="008E4270">
        <w:rPr>
          <w:rFonts w:cs="Arial"/>
          <w:sz w:val="20"/>
          <w:highlight w:val="yellow"/>
        </w:rPr>
        <w:t xml:space="preserve"> </w:t>
      </w:r>
    </w:p>
    <w:p w14:paraId="1EE639F8" w14:textId="77777777" w:rsidR="00C93168" w:rsidRPr="008E4270" w:rsidRDefault="00C93168" w:rsidP="00993829">
      <w:pPr>
        <w:numPr>
          <w:ilvl w:val="0"/>
          <w:numId w:val="35"/>
        </w:numPr>
        <w:tabs>
          <w:tab w:val="left" w:pos="567"/>
        </w:tabs>
        <w:ind w:left="284" w:firstLine="0"/>
        <w:jc w:val="both"/>
        <w:rPr>
          <w:rFonts w:eastAsia="Calibri"/>
          <w:sz w:val="20"/>
          <w:lang w:eastAsia="en-US"/>
        </w:rPr>
      </w:pPr>
      <w:r w:rsidRPr="008E4270">
        <w:rPr>
          <w:rFonts w:eastAsia="Calibri"/>
          <w:sz w:val="20"/>
          <w:lang w:eastAsia="en-US"/>
        </w:rPr>
        <w:t>tíhou sněhu nebo námrazou,</w:t>
      </w:r>
    </w:p>
    <w:p w14:paraId="34F55987" w14:textId="3E94859A" w:rsidR="00683583" w:rsidRPr="00F223A7" w:rsidRDefault="00C93168" w:rsidP="00683583">
      <w:pPr>
        <w:numPr>
          <w:ilvl w:val="0"/>
          <w:numId w:val="35"/>
        </w:numPr>
        <w:tabs>
          <w:tab w:val="left" w:pos="567"/>
        </w:tabs>
        <w:ind w:left="567" w:hanging="283"/>
        <w:jc w:val="both"/>
        <w:rPr>
          <w:rFonts w:eastAsia="Calibri"/>
          <w:sz w:val="20"/>
          <w:lang w:eastAsia="en-US"/>
        </w:rPr>
      </w:pPr>
      <w:r w:rsidRPr="008E4270">
        <w:rPr>
          <w:rFonts w:eastAsia="Calibri"/>
          <w:sz w:val="20"/>
          <w:lang w:eastAsia="en-US"/>
        </w:rPr>
        <w:t xml:space="preserve">neodborným lesnickým zásahem nebo neodborným hospodařením v lesních porostech ve smyslu platného zákona o lesích. </w:t>
      </w:r>
    </w:p>
    <w:p w14:paraId="28CB2FD6" w14:textId="77777777" w:rsidR="00C93168" w:rsidRPr="008E4270" w:rsidRDefault="00C93168" w:rsidP="00A62F63">
      <w:pPr>
        <w:spacing w:before="60"/>
        <w:ind w:left="284"/>
        <w:jc w:val="both"/>
        <w:rPr>
          <w:rFonts w:eastAsia="Calibri"/>
          <w:sz w:val="20"/>
          <w:lang w:eastAsia="en-US"/>
        </w:rPr>
      </w:pPr>
      <w:r w:rsidRPr="008E4270">
        <w:rPr>
          <w:rFonts w:eastAsia="Calibri"/>
          <w:sz w:val="20"/>
          <w:u w:val="single"/>
          <w:lang w:eastAsia="en-US"/>
        </w:rPr>
        <w:t>Kromě povinností uvedených ve VPP P-100/14, ZPP P-150/14, se k pojištění lesních porostů vztahují následující povinnosti</w:t>
      </w:r>
      <w:r w:rsidRPr="008E4270">
        <w:rPr>
          <w:rFonts w:eastAsia="Calibri"/>
          <w:sz w:val="20"/>
          <w:lang w:eastAsia="en-US"/>
        </w:rPr>
        <w:t>:</w:t>
      </w:r>
    </w:p>
    <w:p w14:paraId="15F6F392" w14:textId="77777777" w:rsidR="00C93168" w:rsidRPr="008E4270" w:rsidRDefault="00C93168" w:rsidP="00993829">
      <w:pPr>
        <w:numPr>
          <w:ilvl w:val="0"/>
          <w:numId w:val="36"/>
        </w:numPr>
        <w:ind w:left="568" w:hanging="284"/>
        <w:jc w:val="both"/>
        <w:rPr>
          <w:rFonts w:eastAsia="Calibri"/>
          <w:sz w:val="20"/>
          <w:lang w:eastAsia="en-US"/>
        </w:rPr>
      </w:pPr>
      <w:r w:rsidRPr="008E4270">
        <w:rPr>
          <w:rFonts w:eastAsia="Calibri"/>
          <w:sz w:val="20"/>
          <w:lang w:eastAsia="en-US"/>
        </w:rPr>
        <w:t xml:space="preserve">Pojistník nebo pojištěný je povinen umožnit pojistiteli nebo jím pověřeným osobám vstup na pozemky, kde se nachází pojištěné porosty a poskytnout součinnost ke zjištění rozsahu pojistné události. Dále je povinen předložit pojistiteli platný lesní hospodářský plán nebo lesní hospodářskou osnovu a dále mapu, kde jsou pojištěné porosty zaneseny. </w:t>
      </w:r>
    </w:p>
    <w:p w14:paraId="3DEAEA50" w14:textId="77777777" w:rsidR="00C93168" w:rsidRPr="008E4270" w:rsidRDefault="00C93168" w:rsidP="00993829">
      <w:pPr>
        <w:numPr>
          <w:ilvl w:val="0"/>
          <w:numId w:val="36"/>
        </w:numPr>
        <w:ind w:left="567" w:hanging="284"/>
        <w:jc w:val="both"/>
        <w:rPr>
          <w:rFonts w:eastAsia="Calibri"/>
          <w:sz w:val="20"/>
          <w:lang w:eastAsia="en-US"/>
        </w:rPr>
      </w:pPr>
      <w:r w:rsidRPr="008E4270">
        <w:rPr>
          <w:rFonts w:eastAsia="Calibri"/>
          <w:sz w:val="20"/>
          <w:lang w:eastAsia="en-US"/>
        </w:rPr>
        <w:t xml:space="preserve">Pokud došlo k poškození pojištěných porostů sjednaným pojistným nebezpečím, je pojistník nebo pojištěný povinen toto prokazatelným způsobem oznámit bez odkladu pojistiteli, max. však do 14 kalendářních dnů po této události. V případě odstraňování požářiště nebo polomu je pojistník nebo pojištěný povinen pojistiteli tento záměr prokazatelným způsobem oznámit a to nejpozději do 3 dnů před jeho uskutečněním. </w:t>
      </w:r>
    </w:p>
    <w:p w14:paraId="782BDF14" w14:textId="55F75240" w:rsidR="00C93168" w:rsidRPr="008E4270" w:rsidRDefault="00C93168" w:rsidP="00993829">
      <w:pPr>
        <w:numPr>
          <w:ilvl w:val="0"/>
          <w:numId w:val="36"/>
        </w:numPr>
        <w:ind w:left="568" w:hanging="284"/>
        <w:jc w:val="both"/>
        <w:rPr>
          <w:rFonts w:eastAsia="Calibri"/>
          <w:sz w:val="20"/>
          <w:lang w:eastAsia="en-US"/>
        </w:rPr>
      </w:pPr>
      <w:r w:rsidRPr="008E4270">
        <w:rPr>
          <w:rFonts w:eastAsia="Calibri"/>
          <w:sz w:val="20"/>
          <w:lang w:eastAsia="en-US"/>
        </w:rPr>
        <w:t xml:space="preserve">Pokud je pojistnou smlouvou pojištěna celá výměra lesního porostu v majetku pojištěného a změní-li se tato výměra lesních porostů o 10%, tzn., že pojištěný vlastní a pěstuje lesní porosty na větší ploše, než je uvedeno v pojistné smlouvě, je pojistník nebo pojištěný povinen tuto změnu písemně oznámit pojistiteli do </w:t>
      </w:r>
      <w:r w:rsidR="00A62F63" w:rsidRPr="008E4270">
        <w:rPr>
          <w:rFonts w:eastAsia="Calibri"/>
          <w:sz w:val="20"/>
          <w:lang w:eastAsia="en-US"/>
        </w:rPr>
        <w:t xml:space="preserve">              </w:t>
      </w:r>
      <w:r w:rsidRPr="008E4270">
        <w:rPr>
          <w:rFonts w:eastAsia="Calibri"/>
          <w:sz w:val="20"/>
          <w:lang w:eastAsia="en-US"/>
        </w:rPr>
        <w:t xml:space="preserve">14 kalendářních dnů ode dne, kdy nastala. </w:t>
      </w:r>
    </w:p>
    <w:p w14:paraId="461A0CE2" w14:textId="77777777" w:rsidR="00C93168" w:rsidRPr="008E4270" w:rsidRDefault="00C93168" w:rsidP="00993829">
      <w:pPr>
        <w:numPr>
          <w:ilvl w:val="0"/>
          <w:numId w:val="36"/>
        </w:numPr>
        <w:ind w:left="568" w:hanging="284"/>
        <w:jc w:val="both"/>
        <w:rPr>
          <w:rFonts w:eastAsia="Calibri"/>
          <w:sz w:val="20"/>
          <w:lang w:eastAsia="en-US"/>
        </w:rPr>
      </w:pPr>
      <w:r w:rsidRPr="008E4270">
        <w:rPr>
          <w:rFonts w:eastAsia="Calibri"/>
          <w:sz w:val="20"/>
          <w:lang w:eastAsia="en-US"/>
        </w:rPr>
        <w:t xml:space="preserve">Změní-li se „Zásoba dřeva“ pojištěných porostů tak, že skutečná „Zásoba dřeva“ v lesním porostu neodpovídá o více než 20 % hodnotě uvedené v pojistné smlouvě, je pojistník nebo pojištěný povinen toto písemně oznámit pojistiteli do 30 kalendářních dnů po této změně.    </w:t>
      </w:r>
    </w:p>
    <w:p w14:paraId="706D1570" w14:textId="77777777" w:rsidR="00C93168" w:rsidRPr="008E4270" w:rsidRDefault="00C93168" w:rsidP="00993829">
      <w:pPr>
        <w:numPr>
          <w:ilvl w:val="0"/>
          <w:numId w:val="36"/>
        </w:numPr>
        <w:ind w:left="568" w:hanging="284"/>
        <w:jc w:val="both"/>
        <w:rPr>
          <w:rFonts w:eastAsia="Calibri"/>
          <w:sz w:val="20"/>
          <w:lang w:eastAsia="en-US"/>
        </w:rPr>
      </w:pPr>
      <w:r w:rsidRPr="008E4270">
        <w:rPr>
          <w:rFonts w:eastAsia="Calibri"/>
          <w:sz w:val="20"/>
          <w:lang w:eastAsia="en-US"/>
        </w:rPr>
        <w:t xml:space="preserve">V případě poškození pojištěných lesních porostů vichřicí, je pojistník nebo pojištěný na základě žádosti pojistitele povinen doložit rychlost vichřice potvrzením z nejbližší meteorologické stanice. </w:t>
      </w:r>
    </w:p>
    <w:p w14:paraId="23DC53A3" w14:textId="77777777" w:rsidR="00C93168" w:rsidRPr="008E4270" w:rsidRDefault="00C93168" w:rsidP="00993829">
      <w:pPr>
        <w:numPr>
          <w:ilvl w:val="0"/>
          <w:numId w:val="36"/>
        </w:numPr>
        <w:ind w:left="568" w:hanging="284"/>
        <w:jc w:val="both"/>
        <w:rPr>
          <w:rFonts w:eastAsia="Calibri"/>
          <w:sz w:val="20"/>
          <w:lang w:eastAsia="en-US"/>
        </w:rPr>
      </w:pPr>
      <w:r w:rsidRPr="008E4270">
        <w:rPr>
          <w:rFonts w:eastAsia="Calibri"/>
          <w:sz w:val="20"/>
          <w:lang w:eastAsia="en-US"/>
        </w:rPr>
        <w:t xml:space="preserve">Pojistník nebo pojištěný je povinen poskytnout doklady vyžádané pojistitelem nutné pro šetření.  </w:t>
      </w:r>
    </w:p>
    <w:p w14:paraId="5681680F" w14:textId="77777777" w:rsidR="00C93168" w:rsidRPr="008E4270" w:rsidRDefault="00C93168" w:rsidP="00993829">
      <w:pPr>
        <w:numPr>
          <w:ilvl w:val="0"/>
          <w:numId w:val="36"/>
        </w:numPr>
        <w:ind w:left="568" w:hanging="284"/>
        <w:jc w:val="both"/>
        <w:rPr>
          <w:rFonts w:eastAsia="Calibri"/>
          <w:sz w:val="20"/>
          <w:lang w:eastAsia="en-US"/>
        </w:rPr>
      </w:pPr>
      <w:r w:rsidRPr="008E4270">
        <w:rPr>
          <w:rFonts w:eastAsia="Calibri"/>
          <w:sz w:val="20"/>
          <w:lang w:eastAsia="en-US"/>
        </w:rPr>
        <w:t>Pojistník nebo pojištěný je povinen dbát, aby pojistná událost nenastala, zejména nesmí porušovat povinnosti směřující k předcházení, odvrácení nebo zmenšení pojistných nebezpečí, které mu jsou uloženy právními předpisy nebo na jejich základě nebo které na sebe převzal pojistnou smlouvou. Nesmí rovněž strpět, aby tyto povinnosti porušovaly třetí osoby.</w:t>
      </w:r>
    </w:p>
    <w:p w14:paraId="3D81EB1B" w14:textId="77777777" w:rsidR="00C93168" w:rsidRPr="008E4270" w:rsidRDefault="00C93168" w:rsidP="00A62F63">
      <w:pPr>
        <w:spacing w:before="60"/>
        <w:ind w:left="284"/>
        <w:jc w:val="both"/>
        <w:rPr>
          <w:rFonts w:eastAsia="Calibri"/>
          <w:sz w:val="20"/>
          <w:u w:val="single"/>
          <w:lang w:eastAsia="en-US"/>
        </w:rPr>
      </w:pPr>
      <w:r w:rsidRPr="008E4270">
        <w:rPr>
          <w:rFonts w:eastAsia="Calibri"/>
          <w:sz w:val="20"/>
          <w:u w:val="single"/>
          <w:lang w:eastAsia="en-US"/>
        </w:rPr>
        <w:t xml:space="preserve">Další pojmy k pojištění lesních porostů: </w:t>
      </w:r>
    </w:p>
    <w:p w14:paraId="3C25349D" w14:textId="77777777" w:rsidR="00C93168" w:rsidRPr="008E4270" w:rsidRDefault="00C93168" w:rsidP="00993829">
      <w:pPr>
        <w:numPr>
          <w:ilvl w:val="0"/>
          <w:numId w:val="37"/>
        </w:numPr>
        <w:ind w:left="568" w:hanging="284"/>
        <w:jc w:val="both"/>
        <w:rPr>
          <w:rFonts w:eastAsia="Calibri"/>
          <w:sz w:val="20"/>
          <w:lang w:eastAsia="en-US"/>
        </w:rPr>
      </w:pPr>
      <w:r w:rsidRPr="008E4270">
        <w:rPr>
          <w:rFonts w:eastAsia="Calibri"/>
          <w:sz w:val="20"/>
          <w:lang w:eastAsia="en-US"/>
        </w:rPr>
        <w:t>Běžným hospodařením v lese se rozumí obnova, ochrana a těžba lesních porostů a ostatní činnosti zabezpečující plnění funkcí lesa.</w:t>
      </w:r>
    </w:p>
    <w:p w14:paraId="7A6041A6" w14:textId="77777777" w:rsidR="00C93168" w:rsidRPr="008E4270" w:rsidRDefault="00C93168" w:rsidP="00993829">
      <w:pPr>
        <w:numPr>
          <w:ilvl w:val="0"/>
          <w:numId w:val="37"/>
        </w:numPr>
        <w:ind w:left="568" w:hanging="284"/>
        <w:jc w:val="both"/>
        <w:rPr>
          <w:rFonts w:eastAsia="Calibri"/>
          <w:sz w:val="20"/>
          <w:lang w:eastAsia="en-US"/>
        </w:rPr>
      </w:pPr>
      <w:r w:rsidRPr="008E4270">
        <w:rPr>
          <w:rFonts w:eastAsia="Calibri"/>
          <w:sz w:val="20"/>
          <w:lang w:eastAsia="en-US"/>
        </w:rPr>
        <w:t>Dřevní hmotou („Zásoba dřeva“ m</w:t>
      </w:r>
      <w:r w:rsidRPr="008E4270">
        <w:rPr>
          <w:rFonts w:eastAsia="Calibri"/>
          <w:sz w:val="20"/>
          <w:vertAlign w:val="superscript"/>
          <w:lang w:eastAsia="en-US"/>
        </w:rPr>
        <w:t>3</w:t>
      </w:r>
      <w:r w:rsidRPr="008E4270">
        <w:rPr>
          <w:rFonts w:eastAsia="Calibri"/>
          <w:sz w:val="20"/>
          <w:lang w:eastAsia="en-US"/>
        </w:rPr>
        <w:t>) se rozumí celkový objem dřeva v lesním porostu, která je zjistitelná z lesního hospodářského plánu nebo z lesní hospodářské osnovy.</w:t>
      </w:r>
    </w:p>
    <w:p w14:paraId="59C37C9B" w14:textId="77777777" w:rsidR="00C93168" w:rsidRPr="008E4270" w:rsidRDefault="00C93168" w:rsidP="00993829">
      <w:pPr>
        <w:numPr>
          <w:ilvl w:val="0"/>
          <w:numId w:val="37"/>
        </w:numPr>
        <w:ind w:left="568" w:hanging="284"/>
        <w:jc w:val="both"/>
        <w:rPr>
          <w:rFonts w:eastAsia="Calibri"/>
          <w:sz w:val="20"/>
          <w:lang w:eastAsia="en-US"/>
        </w:rPr>
      </w:pPr>
      <w:r w:rsidRPr="008E4270">
        <w:rPr>
          <w:rFonts w:eastAsia="Calibri"/>
          <w:sz w:val="20"/>
          <w:lang w:eastAsia="en-US"/>
        </w:rPr>
        <w:t>Porostní skupina je základní jednotka porostového rozdělení lesního porostu identifikovatelná v terénu a zobrazená na lesnické mapě, vymezuje se jako plošná část lesa, odlišující od sebe druhovou, věkovou či prostorovou skladbu.</w:t>
      </w:r>
    </w:p>
    <w:p w14:paraId="3B903787" w14:textId="77777777" w:rsidR="00C93168" w:rsidRPr="008E4270" w:rsidRDefault="00C93168" w:rsidP="00993829">
      <w:pPr>
        <w:numPr>
          <w:ilvl w:val="0"/>
          <w:numId w:val="37"/>
        </w:numPr>
        <w:ind w:left="568" w:hanging="284"/>
        <w:jc w:val="both"/>
        <w:rPr>
          <w:rFonts w:eastAsia="Calibri"/>
          <w:sz w:val="20"/>
          <w:lang w:eastAsia="en-US"/>
        </w:rPr>
      </w:pPr>
      <w:r w:rsidRPr="008E4270">
        <w:rPr>
          <w:rFonts w:eastAsia="Calibri"/>
          <w:sz w:val="20"/>
          <w:lang w:eastAsia="en-US"/>
        </w:rPr>
        <w:t>LHP je lesní hospodářský plán, který se vyhotovuje pro lesy o rozloze nad 50 ha na období 10 let.</w:t>
      </w:r>
    </w:p>
    <w:p w14:paraId="26AEFB21" w14:textId="77777777" w:rsidR="00C93168" w:rsidRPr="008E4270" w:rsidRDefault="00C93168" w:rsidP="00993829">
      <w:pPr>
        <w:numPr>
          <w:ilvl w:val="0"/>
          <w:numId w:val="37"/>
        </w:numPr>
        <w:ind w:left="568" w:hanging="284"/>
        <w:jc w:val="both"/>
        <w:rPr>
          <w:rFonts w:eastAsia="Calibri"/>
          <w:sz w:val="20"/>
          <w:lang w:eastAsia="en-US"/>
        </w:rPr>
      </w:pPr>
      <w:r w:rsidRPr="008E4270">
        <w:rPr>
          <w:rFonts w:eastAsia="Calibri"/>
          <w:sz w:val="20"/>
          <w:lang w:eastAsia="en-US"/>
        </w:rPr>
        <w:t>LHO je lesní hospodářská osnova, která se vyhotovuje pro lesy o rozloze do 50 ha na období 10 let.</w:t>
      </w:r>
    </w:p>
    <w:p w14:paraId="21E4E699" w14:textId="5FFD6BEF" w:rsidR="00C93168" w:rsidRPr="008E4270" w:rsidRDefault="00C93168" w:rsidP="00993829">
      <w:pPr>
        <w:numPr>
          <w:ilvl w:val="0"/>
          <w:numId w:val="37"/>
        </w:numPr>
        <w:ind w:left="568" w:hanging="284"/>
        <w:jc w:val="both"/>
        <w:rPr>
          <w:rFonts w:eastAsia="Calibri"/>
          <w:sz w:val="20"/>
          <w:lang w:eastAsia="en-US"/>
        </w:rPr>
      </w:pPr>
      <w:r w:rsidRPr="008E4270">
        <w:rPr>
          <w:rFonts w:eastAsia="Calibri"/>
          <w:sz w:val="20"/>
          <w:lang w:eastAsia="en-US"/>
        </w:rPr>
        <w:t>Tíhou sněhu nebo námrazy se rozumí destruktivní působení jejich nadměrné hmotnosti na lesní porosty tak, že dochází ke zlomům a tím k jejich znehodnocení.</w:t>
      </w:r>
    </w:p>
    <w:p w14:paraId="4D59C130" w14:textId="77777777" w:rsidR="001568CE" w:rsidRPr="008E4270" w:rsidRDefault="001568CE" w:rsidP="00993829">
      <w:pPr>
        <w:numPr>
          <w:ilvl w:val="0"/>
          <w:numId w:val="37"/>
        </w:numPr>
        <w:tabs>
          <w:tab w:val="left" w:pos="567"/>
        </w:tabs>
        <w:ind w:left="568" w:hanging="284"/>
        <w:jc w:val="both"/>
        <w:rPr>
          <w:rFonts w:eastAsia="Calibri"/>
          <w:sz w:val="20"/>
          <w:lang w:eastAsia="en-US"/>
        </w:rPr>
      </w:pPr>
      <w:r w:rsidRPr="008E4270">
        <w:rPr>
          <w:rFonts w:eastAsia="Calibri"/>
          <w:sz w:val="20"/>
          <w:lang w:eastAsia="en-US"/>
        </w:rPr>
        <w:t>Náklady na nové zalesnění („nové zalesnění“) se rozumí náklady na vysázení sadby a náklady na sadební materiál, který je běžně používán k osázení plochy zničené pojištěným nebezpečím. Těmito náklady nejsou náklady na úpravu a sanaci pozemku před výsadbou.</w:t>
      </w:r>
    </w:p>
    <w:p w14:paraId="1822A910" w14:textId="4A744B7D" w:rsidR="001568CE" w:rsidRPr="008E4270" w:rsidRDefault="001568CE" w:rsidP="00993829">
      <w:pPr>
        <w:numPr>
          <w:ilvl w:val="0"/>
          <w:numId w:val="37"/>
        </w:numPr>
        <w:ind w:left="568" w:hanging="284"/>
        <w:jc w:val="both"/>
        <w:rPr>
          <w:rFonts w:eastAsia="Calibri"/>
          <w:sz w:val="20"/>
          <w:lang w:eastAsia="en-US"/>
        </w:rPr>
      </w:pPr>
      <w:r w:rsidRPr="008E4270">
        <w:rPr>
          <w:rFonts w:eastAsia="Calibri"/>
          <w:sz w:val="20"/>
          <w:lang w:eastAsia="en-US"/>
        </w:rPr>
        <w:t>Více náklady na těžební a soustřeďovací práce („nucená těžba“) jsou zvýšené náklady na těžbu dřeva, zahrnující kácení (mýcení) stromů, opracování suchého dřeva v porostu a dílčí manipulaci s ním, a zvýšené náklady na vyvážení dřeva z porostu na odvozní místo (lesní skládku), které by za běžného hospodaření nenastaly.</w:t>
      </w:r>
    </w:p>
    <w:p w14:paraId="03A1FB6F" w14:textId="73F40679" w:rsidR="006E1690" w:rsidRPr="008E4270" w:rsidRDefault="00C93168" w:rsidP="00E3356D">
      <w:pPr>
        <w:ind w:left="284"/>
        <w:jc w:val="both"/>
        <w:rPr>
          <w:bCs/>
          <w:sz w:val="20"/>
          <w:szCs w:val="20"/>
        </w:rPr>
      </w:pPr>
      <w:r w:rsidRPr="008E4270">
        <w:rPr>
          <w:bCs/>
          <w:sz w:val="20"/>
          <w:szCs w:val="20"/>
        </w:rPr>
        <w:t>Pojistitel si vyhrazuje právo, aby pojistník nejpozději 3 dny před podpisem pojistné smlouvy doručil pojistiteli řádně vyplněný Soupis pro pojištění lesů, který je přílohou návrhu pojistné smlouvy. Pokud nedojde ke splnění této podmínky, vyhrazuje si pojistitel právo vzít návrh na pojištění lesů zpět.</w:t>
      </w:r>
    </w:p>
    <w:p w14:paraId="57E62BA4" w14:textId="0402644B" w:rsidR="008A290C" w:rsidRPr="008E4270" w:rsidRDefault="00CA5F59" w:rsidP="00993829">
      <w:pPr>
        <w:numPr>
          <w:ilvl w:val="0"/>
          <w:numId w:val="33"/>
        </w:numPr>
        <w:tabs>
          <w:tab w:val="left" w:pos="-1418"/>
        </w:tabs>
        <w:spacing w:before="60"/>
        <w:ind w:left="284" w:hanging="284"/>
        <w:jc w:val="both"/>
        <w:rPr>
          <w:rFonts w:cs="Arial"/>
          <w:sz w:val="20"/>
          <w:szCs w:val="20"/>
        </w:rPr>
      </w:pPr>
      <w:r w:rsidRPr="008E4270">
        <w:rPr>
          <w:rFonts w:cs="Arial"/>
          <w:sz w:val="20"/>
          <w:szCs w:val="20"/>
        </w:rPr>
        <w:t>Zbytky</w:t>
      </w:r>
      <w:r w:rsidR="00774594" w:rsidRPr="008E4270">
        <w:rPr>
          <w:rFonts w:cs="Arial"/>
          <w:sz w:val="20"/>
          <w:szCs w:val="20"/>
        </w:rPr>
        <w:t xml:space="preserve"> zničeného lesního porostu zůstávají ve vlastnictví pojištěného.</w:t>
      </w:r>
    </w:p>
    <w:p w14:paraId="7B8CE2F0" w14:textId="50F6E19B" w:rsidR="00CA5F59" w:rsidRPr="008E4270" w:rsidRDefault="00774594" w:rsidP="00993829">
      <w:pPr>
        <w:numPr>
          <w:ilvl w:val="0"/>
          <w:numId w:val="33"/>
        </w:numPr>
        <w:tabs>
          <w:tab w:val="left" w:pos="-1418"/>
        </w:tabs>
        <w:spacing w:before="60"/>
        <w:ind w:left="284" w:hanging="284"/>
        <w:jc w:val="both"/>
        <w:rPr>
          <w:rFonts w:cs="Arial"/>
          <w:sz w:val="20"/>
          <w:szCs w:val="20"/>
        </w:rPr>
      </w:pPr>
      <w:r w:rsidRPr="008E4270">
        <w:rPr>
          <w:rFonts w:cs="Arial"/>
          <w:sz w:val="20"/>
          <w:szCs w:val="20"/>
        </w:rPr>
        <w:t>Pojištění lesního porostu se nevztahuje na působení lesních škůdců a neodborný lesní zásah.</w:t>
      </w:r>
    </w:p>
    <w:p w14:paraId="2A39D5A5" w14:textId="4484D331" w:rsidR="00774594" w:rsidRPr="008E4270" w:rsidRDefault="00326760" w:rsidP="00993829">
      <w:pPr>
        <w:numPr>
          <w:ilvl w:val="0"/>
          <w:numId w:val="33"/>
        </w:numPr>
        <w:tabs>
          <w:tab w:val="left" w:pos="-1418"/>
        </w:tabs>
        <w:spacing w:before="60"/>
        <w:ind w:left="284" w:hanging="284"/>
        <w:jc w:val="both"/>
        <w:rPr>
          <w:rFonts w:cs="Arial"/>
          <w:sz w:val="20"/>
          <w:szCs w:val="20"/>
        </w:rPr>
      </w:pPr>
      <w:r w:rsidRPr="008E4270">
        <w:rPr>
          <w:rFonts w:cs="Arial"/>
          <w:sz w:val="20"/>
          <w:szCs w:val="20"/>
        </w:rPr>
        <w:t>U pojištění lesních porostů se ujednává spoluúčast ve výši 10%.</w:t>
      </w:r>
    </w:p>
    <w:p w14:paraId="36A6E0F5" w14:textId="2A1B903D" w:rsidR="006B53A5" w:rsidRPr="008E4270" w:rsidRDefault="006B53A5" w:rsidP="00993829">
      <w:pPr>
        <w:numPr>
          <w:ilvl w:val="0"/>
          <w:numId w:val="33"/>
        </w:numPr>
        <w:tabs>
          <w:tab w:val="left" w:pos="-1418"/>
        </w:tabs>
        <w:spacing w:before="60"/>
        <w:ind w:left="284" w:hanging="284"/>
        <w:jc w:val="both"/>
        <w:rPr>
          <w:rFonts w:cs="Arial"/>
          <w:sz w:val="20"/>
          <w:szCs w:val="20"/>
        </w:rPr>
      </w:pPr>
      <w:r w:rsidRPr="008E4270">
        <w:rPr>
          <w:rFonts w:cs="Arial"/>
          <w:sz w:val="20"/>
          <w:szCs w:val="20"/>
        </w:rPr>
        <w:t>U pojištění lesních porostů se ujednává, že pokud nedojde k</w:t>
      </w:r>
      <w:r w:rsidR="00FF0AF6" w:rsidRPr="008E4270">
        <w:rPr>
          <w:rFonts w:cs="Arial"/>
          <w:sz w:val="20"/>
          <w:szCs w:val="20"/>
        </w:rPr>
        <w:t> </w:t>
      </w:r>
      <w:r w:rsidRPr="008E4270">
        <w:rPr>
          <w:rFonts w:cs="Arial"/>
          <w:sz w:val="20"/>
          <w:szCs w:val="20"/>
        </w:rPr>
        <w:t>poničení</w:t>
      </w:r>
      <w:r w:rsidR="00FF0AF6" w:rsidRPr="008E4270">
        <w:rPr>
          <w:rFonts w:cs="Arial"/>
          <w:sz w:val="20"/>
          <w:szCs w:val="20"/>
        </w:rPr>
        <w:t xml:space="preserve"> požárem</w:t>
      </w:r>
      <w:r w:rsidRPr="008E4270">
        <w:rPr>
          <w:rFonts w:cs="Arial"/>
          <w:sz w:val="20"/>
          <w:szCs w:val="20"/>
        </w:rPr>
        <w:t xml:space="preserve"> více jak 3% lesního porostu, právo na pojistné plnění nevzniká.</w:t>
      </w:r>
    </w:p>
    <w:p w14:paraId="610AA197" w14:textId="76487036" w:rsidR="00FF0AF6" w:rsidRPr="008E4270" w:rsidRDefault="00FF0AF6" w:rsidP="00993829">
      <w:pPr>
        <w:numPr>
          <w:ilvl w:val="0"/>
          <w:numId w:val="33"/>
        </w:numPr>
        <w:tabs>
          <w:tab w:val="left" w:pos="-1418"/>
        </w:tabs>
        <w:spacing w:before="60"/>
        <w:ind w:left="284" w:hanging="284"/>
        <w:jc w:val="both"/>
        <w:rPr>
          <w:rFonts w:cs="Arial"/>
          <w:sz w:val="20"/>
          <w:szCs w:val="20"/>
        </w:rPr>
      </w:pPr>
      <w:r w:rsidRPr="008E4270">
        <w:rPr>
          <w:rFonts w:cs="Arial"/>
          <w:sz w:val="20"/>
          <w:szCs w:val="20"/>
        </w:rPr>
        <w:lastRenderedPageBreak/>
        <w:t>U pojištění lesních porostů se ujednává, že pokud nedojde k poničení vichřicí více jak 0,1% lesního porostu, právo na pojistné plnění nevzniká.</w:t>
      </w:r>
    </w:p>
    <w:p w14:paraId="653D1439" w14:textId="4B12E605" w:rsidR="006B53A5" w:rsidRPr="008E4270" w:rsidRDefault="006B53A5" w:rsidP="000914C6">
      <w:pPr>
        <w:numPr>
          <w:ilvl w:val="0"/>
          <w:numId w:val="33"/>
        </w:numPr>
        <w:tabs>
          <w:tab w:val="left" w:pos="-1418"/>
        </w:tabs>
        <w:spacing w:before="60"/>
        <w:ind w:left="284" w:hanging="284"/>
        <w:jc w:val="both"/>
        <w:rPr>
          <w:rFonts w:cs="Arial"/>
          <w:sz w:val="20"/>
          <w:szCs w:val="20"/>
        </w:rPr>
      </w:pPr>
      <w:r w:rsidRPr="008E4270">
        <w:rPr>
          <w:rFonts w:cs="Arial"/>
          <w:sz w:val="20"/>
          <w:szCs w:val="20"/>
        </w:rPr>
        <w:t xml:space="preserve">U pojištění lesních porostů se hradí i vícenáklady na nucenou těžbu a na nové zalesnění. </w:t>
      </w:r>
    </w:p>
    <w:p w14:paraId="3C8F2983" w14:textId="791C94AC" w:rsidR="002D6DFB" w:rsidRPr="008E4270" w:rsidRDefault="006B53A5" w:rsidP="00F223A7">
      <w:pPr>
        <w:tabs>
          <w:tab w:val="left" w:pos="-1418"/>
        </w:tabs>
        <w:ind w:left="284"/>
        <w:jc w:val="both"/>
        <w:rPr>
          <w:rFonts w:cs="Arial"/>
          <w:sz w:val="20"/>
          <w:szCs w:val="20"/>
        </w:rPr>
      </w:pPr>
      <w:r w:rsidRPr="008E4270">
        <w:rPr>
          <w:rFonts w:cs="Arial"/>
          <w:sz w:val="20"/>
          <w:szCs w:val="20"/>
        </w:rPr>
        <w:t>Toto ujednání se sjednává s ročním limitem pojistného plnění 5 000 000 Kč a spoluúčastí 10%.</w:t>
      </w:r>
    </w:p>
    <w:p w14:paraId="582C0D2A" w14:textId="17C37BF6" w:rsidR="006B53A5" w:rsidRPr="008E4270" w:rsidRDefault="006B53A5" w:rsidP="000914C6">
      <w:pPr>
        <w:numPr>
          <w:ilvl w:val="0"/>
          <w:numId w:val="33"/>
        </w:numPr>
        <w:tabs>
          <w:tab w:val="left" w:pos="-1418"/>
        </w:tabs>
        <w:spacing w:before="60"/>
        <w:ind w:left="284" w:hanging="284"/>
        <w:jc w:val="both"/>
        <w:rPr>
          <w:rFonts w:cs="Arial"/>
          <w:sz w:val="20"/>
          <w:szCs w:val="20"/>
        </w:rPr>
      </w:pPr>
      <w:r w:rsidRPr="008E4270">
        <w:rPr>
          <w:rFonts w:cs="Arial"/>
          <w:sz w:val="20"/>
          <w:szCs w:val="20"/>
        </w:rPr>
        <w:t>Rozsah pojištění lesních porostů: požár</w:t>
      </w:r>
      <w:r w:rsidR="00A27E9D" w:rsidRPr="008E4270">
        <w:rPr>
          <w:rFonts w:cs="Arial"/>
          <w:sz w:val="20"/>
          <w:szCs w:val="20"/>
        </w:rPr>
        <w:t>ní nebezpečí</w:t>
      </w:r>
      <w:r w:rsidRPr="008E4270">
        <w:rPr>
          <w:rFonts w:cs="Arial"/>
          <w:sz w:val="20"/>
          <w:szCs w:val="20"/>
        </w:rPr>
        <w:t>, vichřice.</w:t>
      </w:r>
    </w:p>
    <w:p w14:paraId="7D9BABED" w14:textId="6A8E4B79" w:rsidR="00FF0AF6" w:rsidRPr="008E4270" w:rsidRDefault="00FF0AF6" w:rsidP="00FF0AF6">
      <w:pPr>
        <w:tabs>
          <w:tab w:val="left" w:pos="-1418"/>
        </w:tabs>
        <w:ind w:left="284"/>
        <w:jc w:val="both"/>
        <w:rPr>
          <w:rFonts w:cs="Arial"/>
          <w:sz w:val="20"/>
          <w:szCs w:val="20"/>
        </w:rPr>
      </w:pPr>
      <w:r w:rsidRPr="008E4270">
        <w:rPr>
          <w:rFonts w:cs="Arial"/>
          <w:sz w:val="20"/>
          <w:szCs w:val="20"/>
        </w:rPr>
        <w:t>Limitem ročního plnění v případě poškození lesního porostu požárem je 50 000 000 Kč, v případě poškození lesního porostu vichřicí 1 000 000 Kč</w:t>
      </w:r>
      <w:r w:rsidR="00A27E9D" w:rsidRPr="008E4270">
        <w:rPr>
          <w:rFonts w:cs="Arial"/>
          <w:sz w:val="20"/>
          <w:szCs w:val="20"/>
        </w:rPr>
        <w:t xml:space="preserve"> (v rámci celkového limitu 50 000 000 Kč)</w:t>
      </w:r>
      <w:r w:rsidRPr="008E4270">
        <w:rPr>
          <w:rFonts w:cs="Arial"/>
          <w:sz w:val="20"/>
          <w:szCs w:val="20"/>
        </w:rPr>
        <w:t>.</w:t>
      </w:r>
    </w:p>
    <w:p w14:paraId="0F9BE80B" w14:textId="4B6C8BE1" w:rsidR="008A290C" w:rsidRPr="008E4270" w:rsidRDefault="00F5265F" w:rsidP="008A290C">
      <w:pPr>
        <w:tabs>
          <w:tab w:val="left" w:pos="-1418"/>
        </w:tabs>
        <w:spacing w:before="120"/>
        <w:jc w:val="both"/>
        <w:rPr>
          <w:rFonts w:cs="Arial"/>
          <w:sz w:val="20"/>
          <w:szCs w:val="20"/>
          <w:u w:val="single"/>
        </w:rPr>
      </w:pPr>
      <w:r w:rsidRPr="008E4270">
        <w:rPr>
          <w:rFonts w:cs="Arial"/>
          <w:sz w:val="20"/>
          <w:szCs w:val="20"/>
          <w:u w:val="single"/>
        </w:rPr>
        <w:t>Ostatní</w:t>
      </w:r>
      <w:r w:rsidR="008A290C" w:rsidRPr="008E4270">
        <w:rPr>
          <w:rFonts w:cs="Arial"/>
          <w:sz w:val="20"/>
          <w:szCs w:val="20"/>
          <w:u w:val="single"/>
        </w:rPr>
        <w:t xml:space="preserve"> zvláštní ujednání:</w:t>
      </w:r>
    </w:p>
    <w:p w14:paraId="1160B8FA" w14:textId="0D2E133E" w:rsidR="008A290C" w:rsidRPr="008E4270" w:rsidRDefault="00D21FDE"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se vztahuje také na škody způsobené projevy „nepřímého úderu blesk</w:t>
      </w:r>
      <w:r w:rsidR="00234DA7" w:rsidRPr="008E4270">
        <w:rPr>
          <w:rFonts w:cs="Arial"/>
          <w:sz w:val="20"/>
          <w:szCs w:val="20"/>
        </w:rPr>
        <w:t>u</w:t>
      </w:r>
      <w:r w:rsidRPr="008E4270">
        <w:rPr>
          <w:rFonts w:cs="Arial"/>
          <w:sz w:val="20"/>
          <w:szCs w:val="20"/>
        </w:rPr>
        <w:t>“, jako je přepěťová vlna, zkrat a indukce, dále na škody způsobené spínáním v napájecích sítích, při výboji statické elektřiny nebo kolísáním napětí v elektrické síti.</w:t>
      </w:r>
    </w:p>
    <w:p w14:paraId="74387126" w14:textId="1D0C566C" w:rsidR="00D87B10" w:rsidRPr="008E4270" w:rsidRDefault="00D21FDE" w:rsidP="00D87B10">
      <w:pPr>
        <w:tabs>
          <w:tab w:val="left" w:pos="-1418"/>
        </w:tabs>
        <w:ind w:left="284"/>
        <w:jc w:val="both"/>
        <w:rPr>
          <w:rFonts w:cs="Arial"/>
          <w:sz w:val="20"/>
          <w:szCs w:val="20"/>
        </w:rPr>
      </w:pPr>
      <w:r w:rsidRPr="008E4270">
        <w:rPr>
          <w:rFonts w:cs="Arial"/>
          <w:sz w:val="20"/>
          <w:szCs w:val="20"/>
        </w:rPr>
        <w:t xml:space="preserve">Toto ujednání se sjednává s ročním limitem pojistného plnění </w:t>
      </w:r>
      <w:r w:rsidR="00D87B10" w:rsidRPr="008E4270">
        <w:rPr>
          <w:rFonts w:cs="Arial"/>
          <w:sz w:val="20"/>
          <w:szCs w:val="20"/>
        </w:rPr>
        <w:t>1 000 000 Kč a spoluúčastí 5 000 Kč.</w:t>
      </w:r>
    </w:p>
    <w:p w14:paraId="53682BE4" w14:textId="7B95F554" w:rsidR="00155045" w:rsidRPr="008E4270" w:rsidRDefault="00155045"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se vztahuje také na škody způsobené atmosférickými srážkami včetně kapaliny z tajícího ledu nebo sněhu, které vniknou do budov a staveb a poškodí nebo zničí pojištěný majetek.</w:t>
      </w:r>
    </w:p>
    <w:p w14:paraId="42F183DD" w14:textId="4D212428" w:rsidR="00155045" w:rsidRPr="008E4270" w:rsidRDefault="00155045" w:rsidP="00155045">
      <w:pPr>
        <w:tabs>
          <w:tab w:val="left" w:pos="-1418"/>
        </w:tabs>
        <w:ind w:left="284"/>
        <w:jc w:val="both"/>
        <w:rPr>
          <w:rFonts w:cs="Arial"/>
          <w:sz w:val="20"/>
          <w:szCs w:val="20"/>
        </w:rPr>
      </w:pPr>
      <w:r w:rsidRPr="008E4270">
        <w:rPr>
          <w:rFonts w:cs="Arial"/>
          <w:sz w:val="20"/>
          <w:szCs w:val="20"/>
        </w:rPr>
        <w:t>Pojištění se vztahuje také na škody způsobené v důsledku rozpínavosti ledu.</w:t>
      </w:r>
    </w:p>
    <w:p w14:paraId="0B74F058" w14:textId="212C26D8" w:rsidR="00155045" w:rsidRPr="008E4270" w:rsidRDefault="00155045" w:rsidP="00155045">
      <w:pPr>
        <w:tabs>
          <w:tab w:val="left" w:pos="-1418"/>
        </w:tabs>
        <w:ind w:left="284"/>
        <w:jc w:val="both"/>
        <w:rPr>
          <w:rFonts w:cs="Arial"/>
          <w:sz w:val="20"/>
          <w:szCs w:val="20"/>
        </w:rPr>
      </w:pPr>
      <w:r w:rsidRPr="008E4270">
        <w:rPr>
          <w:rFonts w:cs="Arial"/>
          <w:sz w:val="20"/>
          <w:szCs w:val="20"/>
        </w:rPr>
        <w:t xml:space="preserve">Pojistitel poskytne pojistné plnění i v případě, že svod dešťové vody nestačí odebírat atmosférické srážky. </w:t>
      </w:r>
    </w:p>
    <w:p w14:paraId="35DAE2DE" w14:textId="0F2D829B" w:rsidR="00155045" w:rsidRPr="008E4270" w:rsidRDefault="00155045" w:rsidP="00155045">
      <w:pPr>
        <w:tabs>
          <w:tab w:val="left" w:pos="-1418"/>
        </w:tabs>
        <w:ind w:left="284"/>
        <w:jc w:val="both"/>
        <w:rPr>
          <w:rFonts w:cs="Arial"/>
          <w:sz w:val="20"/>
          <w:szCs w:val="20"/>
        </w:rPr>
      </w:pPr>
      <w:r w:rsidRPr="008E4270">
        <w:rPr>
          <w:rFonts w:cs="Arial"/>
          <w:sz w:val="20"/>
          <w:szCs w:val="20"/>
        </w:rPr>
        <w:t>Nárok na plnění však nevzniká, jestliže pojištěná věc byla poškozena nebo zničena působením hub a plísní nebo neuzavřenými vnějšími stavebními otvory (např. okna, dveře).</w:t>
      </w:r>
    </w:p>
    <w:p w14:paraId="5FF838A4" w14:textId="38DD9968" w:rsidR="00155045" w:rsidRPr="008E4270" w:rsidRDefault="00155045" w:rsidP="00155045">
      <w:pPr>
        <w:tabs>
          <w:tab w:val="left" w:pos="-1418"/>
        </w:tabs>
        <w:ind w:left="284"/>
        <w:jc w:val="both"/>
        <w:rPr>
          <w:rFonts w:cs="Arial"/>
          <w:sz w:val="20"/>
          <w:szCs w:val="20"/>
        </w:rPr>
      </w:pPr>
      <w:r w:rsidRPr="008E4270">
        <w:rPr>
          <w:rFonts w:cs="Arial"/>
          <w:sz w:val="20"/>
          <w:szCs w:val="20"/>
        </w:rPr>
        <w:t>Nárok na pojistné plnění dále nevzniká, pokud vnější plášť nebo zastřešení pojištěné budovy jeví známky poruchy, poškození nebo zhoršení své funkčnosti.</w:t>
      </w:r>
    </w:p>
    <w:p w14:paraId="7D5C279A" w14:textId="13ADB6D7" w:rsidR="00155045" w:rsidRPr="008E4270" w:rsidRDefault="00155045" w:rsidP="00155045">
      <w:pPr>
        <w:tabs>
          <w:tab w:val="left" w:pos="-1418"/>
        </w:tabs>
        <w:ind w:left="284"/>
        <w:jc w:val="both"/>
        <w:rPr>
          <w:rFonts w:cs="Arial"/>
          <w:sz w:val="20"/>
          <w:szCs w:val="20"/>
        </w:rPr>
      </w:pPr>
      <w:r w:rsidRPr="008E4270">
        <w:rPr>
          <w:rFonts w:cs="Arial"/>
          <w:sz w:val="20"/>
          <w:szCs w:val="20"/>
        </w:rPr>
        <w:t>Toto ujednání se sjednává s ročním limitem pojistného plnění 1 000 000 Kč a spoluúčastí 5 000 Kč.</w:t>
      </w:r>
    </w:p>
    <w:p w14:paraId="619BA11E" w14:textId="6C8CEF8A" w:rsidR="00F5265F" w:rsidRPr="008E4270" w:rsidRDefault="00666EEF"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Jedna pojistná událost - 72 hodin - v případě, že dojde v průběhu trvání pojistné smlouvy k pojistné události způsobené následkem živelních nebezpečí „vichřice, krupobití, záplavy, povodně, zemětřesení, působení tíhy sněhu“, budou za jednu pojistnou událost považovány všechny škodní události, resp. série škodních událostí, vzniklé v důsledku jedné příčiny během 72 hodin. Za počátek časové lhůty 72 hodin je považován okamžik, kdy došlo k prvnímu poškození pojištěného majetku ve smyslu sjednaného pojištění. V tomto případě se od celkového pojistného plnění odečítá pouze ta spoluúčast, která je nejvyšší z těchto spoluúčastí, pokud není pro klienta výhodnější odečtení spoluúčastí z jednotlivých předmětných pojištění, jichž se pojistná událost týká.</w:t>
      </w:r>
    </w:p>
    <w:p w14:paraId="75CE690E" w14:textId="1F2758FE" w:rsidR="00C1794A" w:rsidRPr="008E4270" w:rsidRDefault="00D657B6"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se vztahuje i na zvýšené náklady na opravy budov zvláštní kulturní a historické hodnoty, náklady na opravu uměleckořemeslných stavebních součástí (např. štuková výzdoba, nástěnné malby, fresky, plastiky, kování, mříže apod.) a na opravy uměleckých děl pevně spojených s budovami (např. soch).</w:t>
      </w:r>
    </w:p>
    <w:p w14:paraId="438DCAE3" w14:textId="20B98322" w:rsidR="00D657B6" w:rsidRPr="008E4270" w:rsidRDefault="00D657B6" w:rsidP="00D657B6">
      <w:pPr>
        <w:tabs>
          <w:tab w:val="left" w:pos="-1418"/>
        </w:tabs>
        <w:ind w:left="284"/>
        <w:jc w:val="both"/>
        <w:rPr>
          <w:rFonts w:cs="Arial"/>
          <w:sz w:val="20"/>
          <w:szCs w:val="20"/>
        </w:rPr>
      </w:pPr>
      <w:r w:rsidRPr="008E4270">
        <w:rPr>
          <w:rFonts w:cs="Arial"/>
          <w:sz w:val="20"/>
          <w:szCs w:val="20"/>
        </w:rPr>
        <w:t xml:space="preserve">Pojištění se vztahuje i na související demontáž a remontáž ostatních nepoškozených pojištěných věcí. </w:t>
      </w:r>
    </w:p>
    <w:p w14:paraId="07E870B1" w14:textId="6C2D3FCD" w:rsidR="00D657B6" w:rsidRPr="008E4270" w:rsidRDefault="00D657B6" w:rsidP="00D657B6">
      <w:pPr>
        <w:tabs>
          <w:tab w:val="left" w:pos="-1418"/>
        </w:tabs>
        <w:ind w:left="284"/>
        <w:jc w:val="both"/>
        <w:rPr>
          <w:rFonts w:cs="Arial"/>
          <w:sz w:val="20"/>
          <w:szCs w:val="20"/>
        </w:rPr>
      </w:pPr>
      <w:r w:rsidRPr="008E4270">
        <w:rPr>
          <w:rFonts w:cs="Arial"/>
          <w:sz w:val="20"/>
          <w:szCs w:val="20"/>
        </w:rPr>
        <w:t>Toto ujednání se sjednává s limitem pojistného plnění 5 000 000 Kč a spoluúčastí 5 000 Kč</w:t>
      </w:r>
      <w:r w:rsidR="001921EE" w:rsidRPr="008E4270">
        <w:rPr>
          <w:rFonts w:cs="Arial"/>
          <w:sz w:val="20"/>
          <w:szCs w:val="20"/>
        </w:rPr>
        <w:t>.</w:t>
      </w:r>
    </w:p>
    <w:p w14:paraId="2F791A09" w14:textId="70F680AE" w:rsidR="00666EEF" w:rsidRPr="008E4270" w:rsidRDefault="001921EE"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pro případ poškození nebo zničení pojištěné věci „pádem stromů, stožárů nebo jiných předmětů“ se vztahuje i na součásti poškozené věci nebo součásti téhož souboru jako poškozená věc.</w:t>
      </w:r>
    </w:p>
    <w:p w14:paraId="3BB390CB" w14:textId="4C2A76AA" w:rsidR="001921EE" w:rsidRPr="008E4270" w:rsidRDefault="001921EE"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se vztahuje také na poškození či zničení opláštění budov (izolace, úprava fasády apod.) způsobené ptáky (vyklováním) a jinými živočišnými druhy.</w:t>
      </w:r>
    </w:p>
    <w:p w14:paraId="14172FCD" w14:textId="7C545634" w:rsidR="001921EE" w:rsidRPr="008E4270" w:rsidRDefault="001921EE" w:rsidP="001921EE">
      <w:pPr>
        <w:tabs>
          <w:tab w:val="left" w:pos="-1418"/>
        </w:tabs>
        <w:ind w:left="284"/>
        <w:jc w:val="both"/>
        <w:rPr>
          <w:rFonts w:cs="Arial"/>
          <w:sz w:val="20"/>
          <w:szCs w:val="20"/>
        </w:rPr>
      </w:pPr>
      <w:r w:rsidRPr="008E4270">
        <w:rPr>
          <w:rFonts w:cs="Arial"/>
          <w:sz w:val="20"/>
          <w:szCs w:val="20"/>
        </w:rPr>
        <w:t>Toto ujednání se sjednává s ročním limitem pojistného plnění 300 000 Kč a spoluúčastí 5 000 Kč.</w:t>
      </w:r>
    </w:p>
    <w:p w14:paraId="41E3614D" w14:textId="597B986A" w:rsidR="001921EE" w:rsidRPr="008E4270" w:rsidRDefault="00E26FC5"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Za náklady vynaložené na znovupořízení pojišťovaného majetku téhož druhu a účelu, kvality a parametrů se považují i náklady, které je pojistník, pojištěný nebo vlastník věci povinen vynaložit na znovupořízení věci z důvodu změny legislativy, obecně závazných předpisů a norem, tak aby mohl věc využívat k původním účelům.</w:t>
      </w:r>
    </w:p>
    <w:p w14:paraId="75930042" w14:textId="35EA6640" w:rsidR="00E26FC5" w:rsidRPr="008E4270" w:rsidRDefault="00E26FC5" w:rsidP="00E26FC5">
      <w:pPr>
        <w:tabs>
          <w:tab w:val="left" w:pos="-1418"/>
        </w:tabs>
        <w:ind w:left="284"/>
        <w:jc w:val="both"/>
        <w:rPr>
          <w:rFonts w:cs="Arial"/>
          <w:sz w:val="20"/>
          <w:szCs w:val="20"/>
        </w:rPr>
      </w:pPr>
      <w:r w:rsidRPr="008E4270">
        <w:rPr>
          <w:rFonts w:cs="Arial"/>
          <w:sz w:val="20"/>
          <w:szCs w:val="20"/>
        </w:rPr>
        <w:t>Toto ujednání se sjednává s ročním limitem pojistného plnění 300 000 Kč a spoluúčastí 5 000 Kč</w:t>
      </w:r>
      <w:r w:rsidR="00156EB0" w:rsidRPr="008E4270">
        <w:rPr>
          <w:rFonts w:cs="Arial"/>
          <w:sz w:val="20"/>
          <w:szCs w:val="20"/>
        </w:rPr>
        <w:t>.</w:t>
      </w:r>
    </w:p>
    <w:p w14:paraId="023C9D30" w14:textId="03A2FA83" w:rsidR="006E1690" w:rsidRPr="008E4270" w:rsidRDefault="00156EB0"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Jestliže škoda spojená s povinností poskytnout pojistné plnění přesáhne částku 100 000 Kč, ujednává se tímto, že pojistitel uhradí náklady znaleckého řízení na zjištění rozsahu škody, které by jinak nesl pojištěný.</w:t>
      </w:r>
    </w:p>
    <w:p w14:paraId="716E353F" w14:textId="77777777" w:rsidR="00156EB0" w:rsidRPr="008E4270" w:rsidRDefault="00156EB0"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 xml:space="preserve">Za náklady vynaložené na znovupořízení pojišťovaného majetku se považují i vícenáklady vynaložené na obnovu nepoškozených pojištěných věcí, které je nutné vyměnit z estetického důvodu. Podmínkou je, že poškozený pojištěný majetek již není možné obnovit ve stejném designu a pojištěný prokáže, že tyto náklady skutečně vynaložil. </w:t>
      </w:r>
    </w:p>
    <w:p w14:paraId="17E25C32" w14:textId="53C93BD9" w:rsidR="00156EB0" w:rsidRPr="008E4270" w:rsidRDefault="00156EB0" w:rsidP="00156EB0">
      <w:pPr>
        <w:tabs>
          <w:tab w:val="left" w:pos="-1418"/>
        </w:tabs>
        <w:ind w:left="284"/>
        <w:jc w:val="both"/>
        <w:rPr>
          <w:rFonts w:cs="Arial"/>
          <w:sz w:val="20"/>
          <w:szCs w:val="20"/>
        </w:rPr>
      </w:pPr>
      <w:r w:rsidRPr="008E4270">
        <w:rPr>
          <w:rFonts w:cs="Arial"/>
          <w:sz w:val="20"/>
          <w:szCs w:val="20"/>
        </w:rPr>
        <w:t>Toto ujednání se sjednává s limitem pojistného plnění 300 000 Kč a spoluúčastí 5 000 Kč.</w:t>
      </w:r>
    </w:p>
    <w:p w14:paraId="7FB9845C" w14:textId="6F72597C" w:rsidR="002C3FD2" w:rsidRPr="008E4270" w:rsidRDefault="00F82D44"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Požárem se rozumí oheň, který vznikl mimo určené ohniště nebo který určené ohniště opustil, a který se vlastní silou rozšířil nebo byl pachatelem úmyslně rozšířen.</w:t>
      </w:r>
    </w:p>
    <w:p w14:paraId="10DFD379" w14:textId="3557A813" w:rsidR="00F82D44" w:rsidRPr="008E4270" w:rsidRDefault="00F82D44" w:rsidP="00F82D44">
      <w:pPr>
        <w:tabs>
          <w:tab w:val="left" w:pos="-1418"/>
        </w:tabs>
        <w:ind w:left="284"/>
        <w:jc w:val="both"/>
        <w:rPr>
          <w:rFonts w:cs="Arial"/>
          <w:sz w:val="20"/>
          <w:szCs w:val="20"/>
        </w:rPr>
      </w:pPr>
      <w:r w:rsidRPr="008E4270">
        <w:rPr>
          <w:rFonts w:cs="Arial"/>
          <w:sz w:val="20"/>
          <w:szCs w:val="20"/>
        </w:rPr>
        <w:t>Průvodními jevy požáru se rozumí teplo a zplodiny hoření (zejm. kouř a popel), vznikající při požáru.</w:t>
      </w:r>
    </w:p>
    <w:p w14:paraId="1FEC30DF" w14:textId="3F6EACA2" w:rsidR="005A276B" w:rsidRPr="008E4270" w:rsidRDefault="00F82D44" w:rsidP="00F223A7">
      <w:pPr>
        <w:tabs>
          <w:tab w:val="left" w:pos="-1418"/>
        </w:tabs>
        <w:ind w:left="284"/>
        <w:jc w:val="both"/>
        <w:rPr>
          <w:rFonts w:cs="Arial"/>
          <w:sz w:val="20"/>
          <w:szCs w:val="20"/>
        </w:rPr>
      </w:pPr>
      <w:r w:rsidRPr="008E4270">
        <w:rPr>
          <w:rFonts w:cs="Arial"/>
          <w:sz w:val="20"/>
          <w:szCs w:val="20"/>
        </w:rPr>
        <w:t>Pojistnou událostí z důvodu tohoto pojistného nebezpečí je i poškození nebo zničení pojištěného majetku působením hasební látky použité při zásahu proti požáru nebo poškození či zničení stavebních součástí při zdolávání požáru nebo při odstraňování jeho následků.</w:t>
      </w:r>
    </w:p>
    <w:p w14:paraId="0ED402FE" w14:textId="08F64803" w:rsidR="00F82D44" w:rsidRPr="008E4270" w:rsidRDefault="00E701E0"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lastRenderedPageBreak/>
        <w:t>Pokud je pojištění sjednáno na novou cenu, pak se ujednává, že ke dni sjednání pojištění odpovídají pojistné částky novým cenám. Ujednává se, že pojistitel bude akceptovat tyto částky jako nové ceny po celou dobu platnosti pojištění a nebude uplatňovat podpojištění.</w:t>
      </w:r>
    </w:p>
    <w:p w14:paraId="6B3555C2" w14:textId="415130BF" w:rsidR="00E701E0" w:rsidRPr="008E4270" w:rsidRDefault="00E701E0" w:rsidP="00E701E0">
      <w:pPr>
        <w:tabs>
          <w:tab w:val="left" w:pos="-1418"/>
        </w:tabs>
        <w:ind w:left="284"/>
        <w:jc w:val="both"/>
        <w:rPr>
          <w:rFonts w:cs="Arial"/>
          <w:sz w:val="20"/>
          <w:szCs w:val="20"/>
        </w:rPr>
      </w:pPr>
      <w:r w:rsidRPr="008E4270">
        <w:rPr>
          <w:rFonts w:cs="Arial"/>
          <w:sz w:val="20"/>
          <w:szCs w:val="20"/>
        </w:rPr>
        <w:t>Pro účely této pojistné smlouvy se novou cenou rozumí hodnota, za kterou lze v daném místě a v daném čase pořídit věc stejnou nebo srovnatelnou, stejného druhu a účelu.</w:t>
      </w:r>
    </w:p>
    <w:p w14:paraId="62C7DDAF" w14:textId="1FC7444A" w:rsidR="00E701E0" w:rsidRPr="008E4270" w:rsidRDefault="00E701E0" w:rsidP="00E701E0">
      <w:pPr>
        <w:tabs>
          <w:tab w:val="left" w:pos="-1418"/>
        </w:tabs>
        <w:ind w:left="284"/>
        <w:jc w:val="both"/>
        <w:rPr>
          <w:rFonts w:cs="Arial"/>
          <w:sz w:val="20"/>
          <w:szCs w:val="20"/>
        </w:rPr>
      </w:pPr>
      <w:r w:rsidRPr="008E4270">
        <w:rPr>
          <w:rFonts w:cs="Arial"/>
          <w:sz w:val="20"/>
          <w:szCs w:val="20"/>
        </w:rPr>
        <w:t>Zohlednění opotřebení nebo jiného znehodnocení v případě pojistného plnění se nepřipouští. Toto ujednání se uplatní až do výše opotřebení 75% dle platné metodiky pojistitele.</w:t>
      </w:r>
    </w:p>
    <w:p w14:paraId="67A6667F" w14:textId="60CF98AF" w:rsidR="007D4EFE" w:rsidRPr="008E4270" w:rsidRDefault="007D4EFE"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 xml:space="preserve">Ujednává se, že nově pořízený majetek patřící svým charakterem do majetku </w:t>
      </w:r>
      <w:r w:rsidR="009A3321" w:rsidRPr="008E4270">
        <w:rPr>
          <w:rFonts w:cs="Arial"/>
          <w:sz w:val="20"/>
          <w:szCs w:val="20"/>
        </w:rPr>
        <w:t xml:space="preserve">již </w:t>
      </w:r>
      <w:r w:rsidRPr="008E4270">
        <w:rPr>
          <w:rFonts w:cs="Arial"/>
          <w:sz w:val="20"/>
          <w:szCs w:val="20"/>
        </w:rPr>
        <w:t>pojištěného, který pojištěný nabude v průběhu pojistného roku, je zahrnut do pojištění okamžikem přechodu do vlastnictví pojištěného. Zvýší-li se tím pojistná hodnota o méně než 15%, nebude pojišťovna požadovat doplatek pojistného za pojistný rok, v němž ke zvýšení došlo. Zvýší-li se však pojistná hodnota o více jak 15%, je pojistník povinen pojišťovně písemně oznámit aktualizovanou pojistnou částku. Pojišťovna provede vyúčtování pojistného za tuto změnu dle podmínek pojistné smlouvy.</w:t>
      </w:r>
      <w:r w:rsidR="00790C9A" w:rsidRPr="008E4270">
        <w:rPr>
          <w:rFonts w:cs="Arial"/>
          <w:sz w:val="20"/>
          <w:szCs w:val="20"/>
        </w:rPr>
        <w:t xml:space="preserve"> Nejpozději k výročí smlouvy musí však pojištěný</w:t>
      </w:r>
      <w:r w:rsidR="00F8016C" w:rsidRPr="008E4270">
        <w:rPr>
          <w:rFonts w:cs="Arial"/>
          <w:sz w:val="20"/>
          <w:szCs w:val="20"/>
        </w:rPr>
        <w:t xml:space="preserve"> nahlásit změny majetku v předchozím období bez ohledu na výši snížení či zvýšení hodnoty. Má se za to, že pokud pojištěn</w:t>
      </w:r>
      <w:r w:rsidR="001B72C9" w:rsidRPr="008E4270">
        <w:rPr>
          <w:rFonts w:cs="Arial"/>
          <w:sz w:val="20"/>
          <w:szCs w:val="20"/>
        </w:rPr>
        <w:t>ý tuto skutečnost neoznámí, nedošlo ke změně stavu majetku.</w:t>
      </w:r>
    </w:p>
    <w:p w14:paraId="751E2C83" w14:textId="203A1D47" w:rsidR="00636AE0" w:rsidRPr="008E4270" w:rsidRDefault="00636AE0"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se vztahuje i na elektronická zařízení, jejich stáří přesáhlo v době vzniku škody 5 let.</w:t>
      </w:r>
    </w:p>
    <w:p w14:paraId="708202A8" w14:textId="485E15FE" w:rsidR="00636AE0" w:rsidRPr="008E4270" w:rsidRDefault="00636AE0"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se vztahuje i na stroje, jejichž stáří přesáhlo v době vzniku škody 5 let.</w:t>
      </w:r>
    </w:p>
    <w:p w14:paraId="4853B7B0" w14:textId="6A4A4C1F" w:rsidR="00636AE0" w:rsidRPr="008E4270" w:rsidRDefault="00636AE0"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Strojní pojištění může být omezeno na stroje sloužící k provozování nemovitostí (výtahy, pojezdová zařízení, vjezdová vrata a jiné).</w:t>
      </w:r>
    </w:p>
    <w:p w14:paraId="3F572584" w14:textId="31D7065D" w:rsidR="00636AE0" w:rsidRPr="008E4270" w:rsidRDefault="00636AE0"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se vztahuje i na škody způsobené malbou či nástřikem (</w:t>
      </w:r>
      <w:proofErr w:type="spellStart"/>
      <w:r w:rsidRPr="008E4270">
        <w:rPr>
          <w:rFonts w:cs="Arial"/>
          <w:sz w:val="20"/>
          <w:szCs w:val="20"/>
        </w:rPr>
        <w:t>spreyeři</w:t>
      </w:r>
      <w:proofErr w:type="spellEnd"/>
      <w:r w:rsidRPr="008E4270">
        <w:rPr>
          <w:rFonts w:cs="Arial"/>
          <w:sz w:val="20"/>
          <w:szCs w:val="20"/>
        </w:rPr>
        <w:t xml:space="preserve">). </w:t>
      </w:r>
    </w:p>
    <w:p w14:paraId="211BF24E" w14:textId="32E3BF0F" w:rsidR="00636AE0" w:rsidRPr="008E4270" w:rsidRDefault="00636AE0" w:rsidP="00636AE0">
      <w:pPr>
        <w:tabs>
          <w:tab w:val="left" w:pos="-1418"/>
        </w:tabs>
        <w:ind w:left="284"/>
        <w:jc w:val="both"/>
        <w:rPr>
          <w:rFonts w:cs="Arial"/>
          <w:sz w:val="20"/>
          <w:szCs w:val="20"/>
        </w:rPr>
      </w:pPr>
      <w:r w:rsidRPr="008E4270">
        <w:rPr>
          <w:rFonts w:cs="Arial"/>
          <w:sz w:val="20"/>
          <w:szCs w:val="20"/>
        </w:rPr>
        <w:t>Toto pojištění se sjednává s ročním limitem pojistného plnění 500 000 Kč a spoluúčastí 5 000 Kč.</w:t>
      </w:r>
    </w:p>
    <w:p w14:paraId="241EEBE8" w14:textId="6A90F2DA" w:rsidR="00636AE0" w:rsidRPr="008E4270" w:rsidRDefault="009A1391"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Pojistitel neuplatní podpojištění, dojde-li v době trvání pojištění ke zvýšení pojistné hodnoty pojištěné věci nebo souboru věcí v důsledku inflace</w:t>
      </w:r>
      <w:r w:rsidR="00F25F21" w:rsidRPr="008E4270">
        <w:rPr>
          <w:rFonts w:cs="Arial"/>
          <w:sz w:val="20"/>
          <w:szCs w:val="20"/>
        </w:rPr>
        <w:t xml:space="preserve"> </w:t>
      </w:r>
      <w:r w:rsidRPr="008E4270">
        <w:rPr>
          <w:rFonts w:cs="Arial"/>
          <w:sz w:val="20"/>
          <w:szCs w:val="20"/>
        </w:rPr>
        <w:t>o méně než 2</w:t>
      </w:r>
      <w:r w:rsidR="00F25F21" w:rsidRPr="008E4270">
        <w:rPr>
          <w:rFonts w:cs="Arial"/>
          <w:sz w:val="20"/>
          <w:szCs w:val="20"/>
        </w:rPr>
        <w:t>5</w:t>
      </w:r>
      <w:r w:rsidRPr="008E4270">
        <w:rPr>
          <w:rFonts w:cs="Arial"/>
          <w:sz w:val="20"/>
          <w:szCs w:val="20"/>
        </w:rPr>
        <w:t>%.</w:t>
      </w:r>
    </w:p>
    <w:p w14:paraId="4356E176" w14:textId="0A255995" w:rsidR="009A1391" w:rsidRPr="008E4270" w:rsidRDefault="009A1391"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vandalismu se vztahuje i na případy, kdy pachatel činu nebyl zjištěn.</w:t>
      </w:r>
    </w:p>
    <w:p w14:paraId="55EA63B9" w14:textId="0A6364BD" w:rsidR="00836036" w:rsidRPr="008E4270" w:rsidRDefault="00836036"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 xml:space="preserve">Pojistitel nahradí i škodu na opravu rozvodu vodovodního zařízení, které při svém poškození způsobilo škodu z vodovodního nebezpečí. </w:t>
      </w:r>
    </w:p>
    <w:p w14:paraId="221C5485" w14:textId="3C9F84F0" w:rsidR="00836036" w:rsidRPr="008E4270" w:rsidRDefault="00836036" w:rsidP="00836036">
      <w:pPr>
        <w:tabs>
          <w:tab w:val="left" w:pos="-1418"/>
        </w:tabs>
        <w:ind w:left="284"/>
        <w:jc w:val="both"/>
        <w:rPr>
          <w:rFonts w:cs="Arial"/>
          <w:sz w:val="20"/>
          <w:szCs w:val="20"/>
        </w:rPr>
      </w:pPr>
      <w:r w:rsidRPr="008E4270">
        <w:rPr>
          <w:rFonts w:cs="Arial"/>
          <w:sz w:val="20"/>
          <w:szCs w:val="20"/>
        </w:rPr>
        <w:t>Toto ujednání se sjednává s ročním limitem pojistného plnění 300 000 Kč a spoluúčastí 1 000 Kč.</w:t>
      </w:r>
    </w:p>
    <w:p w14:paraId="123529BB" w14:textId="2B5280D3" w:rsidR="00836036" w:rsidRPr="008E4270" w:rsidRDefault="00836036"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 xml:space="preserve">Pojistitel poskytne pojistné plnění za účelně vynaložené náklady na náhradní ubytování členů domácností, které se nacházejí v pojištěné nemovitosti, byla-li tato nemovitost stižena pojistnou událostí v důsledku některého z živelních pojistných nebezpečí sjednaných touto smlouvou. </w:t>
      </w:r>
    </w:p>
    <w:p w14:paraId="1724D8A6" w14:textId="3958D907" w:rsidR="00836036" w:rsidRPr="008E4270" w:rsidRDefault="00836036" w:rsidP="00836036">
      <w:pPr>
        <w:tabs>
          <w:tab w:val="left" w:pos="-1418"/>
        </w:tabs>
        <w:ind w:left="284"/>
        <w:jc w:val="both"/>
        <w:rPr>
          <w:rFonts w:cs="Arial"/>
          <w:sz w:val="20"/>
          <w:szCs w:val="20"/>
        </w:rPr>
      </w:pPr>
      <w:r w:rsidRPr="008E4270">
        <w:rPr>
          <w:rFonts w:cs="Arial"/>
          <w:sz w:val="20"/>
          <w:szCs w:val="20"/>
        </w:rPr>
        <w:t xml:space="preserve">Limit pojistného plnění je </w:t>
      </w:r>
      <w:r w:rsidR="007310D6" w:rsidRPr="008E4270">
        <w:rPr>
          <w:rFonts w:cs="Arial"/>
          <w:sz w:val="20"/>
          <w:szCs w:val="20"/>
        </w:rPr>
        <w:t>5</w:t>
      </w:r>
      <w:r w:rsidRPr="008E4270">
        <w:rPr>
          <w:rFonts w:cs="Arial"/>
          <w:sz w:val="20"/>
          <w:szCs w:val="20"/>
        </w:rPr>
        <w:t xml:space="preserve">00 000 Kč na jednu pojistnou událost, maximálně </w:t>
      </w:r>
      <w:r w:rsidR="007310D6" w:rsidRPr="008E4270">
        <w:rPr>
          <w:rFonts w:cs="Arial"/>
          <w:sz w:val="20"/>
          <w:szCs w:val="20"/>
        </w:rPr>
        <w:t>5</w:t>
      </w:r>
      <w:r w:rsidRPr="008E4270">
        <w:rPr>
          <w:rFonts w:cs="Arial"/>
          <w:sz w:val="20"/>
          <w:szCs w:val="20"/>
        </w:rPr>
        <w:t>0 000 Kč na jednu bytovou jednotku. Spoluúčast se sjednává ve výši 5 000 Kč.</w:t>
      </w:r>
    </w:p>
    <w:p w14:paraId="1B773533" w14:textId="2C119589" w:rsidR="00836036" w:rsidRPr="008E4270" w:rsidRDefault="003B6D53"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 xml:space="preserve">Ujednává se, že pojistitel poskytne pojistné plnění i v případě krádeže bez překonání překážky (prostá krádež). Škoda musí být hlášena Policii ČR. </w:t>
      </w:r>
    </w:p>
    <w:p w14:paraId="39A27A11" w14:textId="428E18F2" w:rsidR="003B6D53" w:rsidRPr="008E4270" w:rsidRDefault="003B6D53" w:rsidP="003B6D53">
      <w:pPr>
        <w:tabs>
          <w:tab w:val="left" w:pos="-1418"/>
        </w:tabs>
        <w:ind w:left="284"/>
        <w:jc w:val="both"/>
        <w:rPr>
          <w:rFonts w:cs="Arial"/>
          <w:sz w:val="20"/>
          <w:szCs w:val="20"/>
        </w:rPr>
      </w:pPr>
      <w:r w:rsidRPr="008E4270">
        <w:rPr>
          <w:rFonts w:cs="Arial"/>
          <w:sz w:val="20"/>
          <w:szCs w:val="20"/>
        </w:rPr>
        <w:t>Toto ujednání se sjednává s ročním limitem pojistného plnění 100 000 Kč a spoluúčastí 1 000 Kč.</w:t>
      </w:r>
    </w:p>
    <w:p w14:paraId="0F2EAB87" w14:textId="1C3D4A8D" w:rsidR="003B6D53" w:rsidRPr="008E4270" w:rsidRDefault="00450F02"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Ujednává se, že změnou vlastníka nedojde k zániku pojištění, pokud trvá pojistný zájem ze strany pojistníka.</w:t>
      </w:r>
    </w:p>
    <w:p w14:paraId="68CAD1F2" w14:textId="0FF5AAEA" w:rsidR="006E1690" w:rsidRPr="008E4270" w:rsidRDefault="00450F02"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Sníž</w:t>
      </w:r>
      <w:r w:rsidR="00BE7C21" w:rsidRPr="008E4270">
        <w:rPr>
          <w:rFonts w:cs="Arial"/>
          <w:sz w:val="20"/>
          <w:szCs w:val="20"/>
        </w:rPr>
        <w:t>ila</w:t>
      </w:r>
      <w:r w:rsidRPr="008E4270">
        <w:rPr>
          <w:rFonts w:cs="Arial"/>
          <w:sz w:val="20"/>
          <w:szCs w:val="20"/>
        </w:rPr>
        <w:t>-li se v průběhu pojistného roku v důsledku pojistné události horní hranice plnění pojistitele, pojistitel na základě žádosti pojistníka akceptuje po zbytek roku s obnovením limitu pojistného plnění za předpokladu doplacení pojistného při shodné pojistné sazbě.</w:t>
      </w:r>
    </w:p>
    <w:p w14:paraId="5A176AE1" w14:textId="5EC5C239" w:rsidR="00881B4E" w:rsidRPr="008E4270" w:rsidRDefault="005F771E"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Pojistitel neuplatňuje čekací dobu pro žádné z rizik.</w:t>
      </w:r>
    </w:p>
    <w:p w14:paraId="4724682F" w14:textId="32FD571F" w:rsidR="005F771E" w:rsidRPr="008E4270" w:rsidRDefault="00400E77"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skel se vztahuje i na poškození zasklených balkónů a lodžií, pevně osazené skleněné umělecké prvky (mozaiky apod.)</w:t>
      </w:r>
      <w:r w:rsidR="00B051E4" w:rsidRPr="008E4270">
        <w:rPr>
          <w:rFonts w:cs="Arial"/>
          <w:sz w:val="20"/>
          <w:szCs w:val="20"/>
        </w:rPr>
        <w:t xml:space="preserve">, nalepené nápisy, fólie apod., jsou-li součástí pojištěného skla. Pojištění se vztahuje i na prvky, které plní funkci skla, </w:t>
      </w:r>
      <w:r w:rsidR="00F11C51" w:rsidRPr="008E4270">
        <w:rPr>
          <w:rFonts w:cs="Arial"/>
          <w:sz w:val="20"/>
          <w:szCs w:val="20"/>
        </w:rPr>
        <w:t>či charakter zasklení a jsou vyrobeny z jiného materiálu (plast, polykarbonát apod.).</w:t>
      </w:r>
    </w:p>
    <w:p w14:paraId="61465D40" w14:textId="5DA16549" w:rsidR="00737E4C" w:rsidRPr="008E4270" w:rsidRDefault="00737E4C"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Pojištění skel se vztahuje i na škody vzniklé rytím, poškrábáním, pomalováním a nástřikem.</w:t>
      </w:r>
    </w:p>
    <w:p w14:paraId="01F2DF5D" w14:textId="7FEEC17A" w:rsidR="00737E4C" w:rsidRPr="008E4270" w:rsidRDefault="00E4304F" w:rsidP="00993829">
      <w:pPr>
        <w:numPr>
          <w:ilvl w:val="0"/>
          <w:numId w:val="31"/>
        </w:numPr>
        <w:tabs>
          <w:tab w:val="left" w:pos="-1418"/>
        </w:tabs>
        <w:spacing w:before="60"/>
        <w:ind w:left="284" w:hanging="284"/>
        <w:jc w:val="both"/>
        <w:rPr>
          <w:rFonts w:cs="Arial"/>
          <w:sz w:val="20"/>
          <w:szCs w:val="20"/>
        </w:rPr>
      </w:pPr>
      <w:r w:rsidRPr="008E4270">
        <w:rPr>
          <w:rFonts w:cs="Arial"/>
          <w:sz w:val="20"/>
          <w:szCs w:val="20"/>
        </w:rPr>
        <w:t xml:space="preserve">Pojištění se vztahuje i na budovy, nebo její části, které nebyly v době vzniku pojistné události využívány nebo nebyly </w:t>
      </w:r>
      <w:r w:rsidR="00255EFC" w:rsidRPr="008E4270">
        <w:rPr>
          <w:rFonts w:cs="Arial"/>
          <w:sz w:val="20"/>
          <w:szCs w:val="20"/>
        </w:rPr>
        <w:t>v době vzniku pojistné události provozně využívány k účelu, k němuž jsou určeny.</w:t>
      </w:r>
    </w:p>
    <w:p w14:paraId="184F0AEE" w14:textId="5843138B" w:rsidR="0041558F" w:rsidRPr="008E4270" w:rsidRDefault="0041558F" w:rsidP="0041558F">
      <w:pPr>
        <w:tabs>
          <w:tab w:val="left" w:pos="-1418"/>
        </w:tabs>
        <w:spacing w:before="120"/>
        <w:jc w:val="both"/>
        <w:rPr>
          <w:rFonts w:cs="Arial"/>
          <w:sz w:val="20"/>
          <w:szCs w:val="20"/>
          <w:u w:val="single"/>
        </w:rPr>
      </w:pPr>
      <w:r w:rsidRPr="008E4270">
        <w:rPr>
          <w:rFonts w:cs="Arial"/>
          <w:sz w:val="20"/>
          <w:szCs w:val="20"/>
          <w:u w:val="single"/>
        </w:rPr>
        <w:t>Ostatní obchodní, platební a technické podmínky:</w:t>
      </w:r>
    </w:p>
    <w:p w14:paraId="116C673A" w14:textId="180B3678" w:rsidR="0041558F" w:rsidRPr="008E4270" w:rsidRDefault="0041558F" w:rsidP="00993829">
      <w:pPr>
        <w:numPr>
          <w:ilvl w:val="0"/>
          <w:numId w:val="38"/>
        </w:numPr>
        <w:tabs>
          <w:tab w:val="left" w:pos="-1418"/>
        </w:tabs>
        <w:spacing w:before="60"/>
        <w:jc w:val="both"/>
        <w:rPr>
          <w:rFonts w:cs="Arial"/>
          <w:sz w:val="20"/>
          <w:szCs w:val="20"/>
        </w:rPr>
      </w:pPr>
      <w:r w:rsidRPr="008E4270">
        <w:rPr>
          <w:rFonts w:cs="Arial"/>
          <w:sz w:val="20"/>
          <w:szCs w:val="20"/>
        </w:rPr>
        <w:t>Pojistník je povinen hradit pojistné jen za dobu trvání pojištění, nespotřebované pojistníkem zaplacené pojistné pojistitel vrátí pojistníkovi bez zbytečného odkladu, nejpozději do 30 dnů od zániku pojištění.</w:t>
      </w:r>
    </w:p>
    <w:p w14:paraId="013545BB" w14:textId="6869D391" w:rsidR="0041558F" w:rsidRPr="008E4270" w:rsidRDefault="0041558F" w:rsidP="00993829">
      <w:pPr>
        <w:numPr>
          <w:ilvl w:val="0"/>
          <w:numId w:val="38"/>
        </w:numPr>
        <w:tabs>
          <w:tab w:val="left" w:pos="-1418"/>
        </w:tabs>
        <w:spacing w:before="60"/>
        <w:jc w:val="both"/>
        <w:rPr>
          <w:rFonts w:cs="Arial"/>
          <w:sz w:val="20"/>
          <w:szCs w:val="20"/>
        </w:rPr>
      </w:pPr>
      <w:r w:rsidRPr="008E4270">
        <w:rPr>
          <w:rFonts w:cs="Arial"/>
          <w:sz w:val="20"/>
          <w:szCs w:val="20"/>
        </w:rPr>
        <w:t xml:space="preserve">Zánik pojištění nemá vliv na povinnost smluvních stran vypořádat si vzájemně práva a povinnosti vzniklé za dobu trvání pojištění. Zánik pojištění je tak zejména bez vlivu na právo pojistníka na pojistné plnění </w:t>
      </w:r>
      <w:r w:rsidR="00B40306" w:rsidRPr="008E4270">
        <w:rPr>
          <w:rFonts w:cs="Arial"/>
          <w:sz w:val="20"/>
          <w:szCs w:val="20"/>
        </w:rPr>
        <w:t>v případě škod</w:t>
      </w:r>
      <w:r w:rsidR="00762DB6" w:rsidRPr="008E4270">
        <w:rPr>
          <w:rFonts w:cs="Arial"/>
          <w:sz w:val="20"/>
          <w:szCs w:val="20"/>
        </w:rPr>
        <w:t xml:space="preserve"> uplatněných a nahlášených v době trvání pojištění, případně ve sjednané prodloužené lhůtě </w:t>
      </w:r>
      <w:r w:rsidRPr="008E4270">
        <w:rPr>
          <w:rFonts w:cs="Arial"/>
          <w:sz w:val="20"/>
          <w:szCs w:val="20"/>
        </w:rPr>
        <w:t>a na sjednanou slevu či jinou formu bonusu za bezeškodní průběh pojištění.</w:t>
      </w:r>
    </w:p>
    <w:p w14:paraId="022A6EFB" w14:textId="01F293A1" w:rsidR="00B5380C" w:rsidRPr="008E4270" w:rsidRDefault="0041558F" w:rsidP="00993829">
      <w:pPr>
        <w:numPr>
          <w:ilvl w:val="0"/>
          <w:numId w:val="38"/>
        </w:numPr>
        <w:tabs>
          <w:tab w:val="left" w:pos="-1418"/>
        </w:tabs>
        <w:spacing w:before="60"/>
        <w:ind w:left="357" w:hanging="357"/>
        <w:jc w:val="both"/>
        <w:rPr>
          <w:rFonts w:cs="Arial"/>
          <w:sz w:val="20"/>
          <w:szCs w:val="20"/>
        </w:rPr>
      </w:pPr>
      <w:r w:rsidRPr="008E4270">
        <w:rPr>
          <w:rFonts w:cs="Calibri"/>
          <w:sz w:val="20"/>
          <w:szCs w:val="20"/>
        </w:rPr>
        <w:lastRenderedPageBreak/>
        <w:t xml:space="preserve">Splnění závazků pojistníka nelze zajistit, tzn. nelze k nim sjednat například smluvní pokutu, zajišťovací směnku, bankovní záruku atd. Při prodlení pojistníka s plněním peněžitého závazku je pojistník povinen hradit úrok z prodlení stanovený obecně závazným právním předpisem. </w:t>
      </w:r>
    </w:p>
    <w:p w14:paraId="30F03C2C" w14:textId="0AA0B08D" w:rsidR="00B5380C" w:rsidRPr="008E4270" w:rsidRDefault="00B5380C" w:rsidP="00993829">
      <w:pPr>
        <w:numPr>
          <w:ilvl w:val="0"/>
          <w:numId w:val="38"/>
        </w:numPr>
        <w:tabs>
          <w:tab w:val="left" w:pos="-1418"/>
        </w:tabs>
        <w:spacing w:before="60"/>
        <w:ind w:left="357" w:hanging="357"/>
        <w:jc w:val="both"/>
        <w:rPr>
          <w:rFonts w:cs="Arial"/>
          <w:sz w:val="20"/>
          <w:szCs w:val="20"/>
        </w:rPr>
      </w:pPr>
      <w:r w:rsidRPr="008E4270">
        <w:rPr>
          <w:rFonts w:cs="Calibri"/>
          <w:sz w:val="20"/>
          <w:szCs w:val="20"/>
        </w:rPr>
        <w:t xml:space="preserve">Pojistitel se zavazuje umožnit vinkulaci pojistného plnění ve prospěch třetí osoby, její změnu a zánik předat pojistníkovi listiny dokládající vznik, změnu a zánik vinkulace, a to kdykoli na žádost pojistníka a dle instrukcí pojistníka, přičemž pojistitel nemá právo na zaplacení ceny ani nákladů spojených s vinkulací, když tyto již tvoří součást pojistného. </w:t>
      </w:r>
    </w:p>
    <w:p w14:paraId="0B41252E" w14:textId="2A786A61" w:rsidR="00B5380C" w:rsidRPr="008E4270" w:rsidRDefault="00B5380C" w:rsidP="00993829">
      <w:pPr>
        <w:numPr>
          <w:ilvl w:val="0"/>
          <w:numId w:val="38"/>
        </w:numPr>
        <w:tabs>
          <w:tab w:val="left" w:pos="-1418"/>
        </w:tabs>
        <w:spacing w:before="60"/>
        <w:ind w:left="357" w:hanging="357"/>
        <w:jc w:val="both"/>
        <w:rPr>
          <w:rFonts w:cs="Arial"/>
          <w:sz w:val="20"/>
          <w:szCs w:val="20"/>
        </w:rPr>
      </w:pPr>
      <w:r w:rsidRPr="008E4270">
        <w:rPr>
          <w:rFonts w:cs="Calibri"/>
          <w:sz w:val="20"/>
          <w:szCs w:val="20"/>
        </w:rPr>
        <w:t xml:space="preserve">Vztah mezi pojistitelem a pojistníkem se řídí právem České republiky. Práva a povinnosti smluvních stran se řídí zákonem č. 89/2012 Sb., občanským zákoníkem. </w:t>
      </w:r>
    </w:p>
    <w:p w14:paraId="6C2712CF" w14:textId="0390B7E3" w:rsidR="00B5380C" w:rsidRPr="008E4270" w:rsidRDefault="007E67FE" w:rsidP="00993829">
      <w:pPr>
        <w:numPr>
          <w:ilvl w:val="0"/>
          <w:numId w:val="38"/>
        </w:numPr>
        <w:autoSpaceDE w:val="0"/>
        <w:autoSpaceDN w:val="0"/>
        <w:adjustRightInd w:val="0"/>
        <w:spacing w:before="60"/>
        <w:ind w:left="357" w:hanging="357"/>
        <w:jc w:val="both"/>
        <w:rPr>
          <w:rFonts w:cs="Calibri"/>
          <w:sz w:val="20"/>
          <w:szCs w:val="20"/>
        </w:rPr>
      </w:pPr>
      <w:r w:rsidRPr="008E4270">
        <w:rPr>
          <w:rFonts w:cs="Calibri"/>
          <w:sz w:val="20"/>
          <w:szCs w:val="20"/>
        </w:rPr>
        <w:t>Pojistná smlouva</w:t>
      </w:r>
      <w:r w:rsidR="00B5380C" w:rsidRPr="008E4270">
        <w:rPr>
          <w:rFonts w:cs="Calibri"/>
          <w:sz w:val="20"/>
          <w:szCs w:val="20"/>
        </w:rPr>
        <w:t xml:space="preserve"> musí akceptovat ustanovení obecně závazných právních předpisů, které se vztahují k plnění veřejné zakázky. </w:t>
      </w:r>
    </w:p>
    <w:p w14:paraId="1FFD72F9" w14:textId="251531E7" w:rsidR="00B5380C" w:rsidRPr="008E4270" w:rsidRDefault="00B5380C" w:rsidP="00993829">
      <w:pPr>
        <w:numPr>
          <w:ilvl w:val="0"/>
          <w:numId w:val="38"/>
        </w:numPr>
        <w:autoSpaceDE w:val="0"/>
        <w:autoSpaceDN w:val="0"/>
        <w:adjustRightInd w:val="0"/>
        <w:spacing w:before="60"/>
        <w:ind w:left="357" w:hanging="357"/>
        <w:jc w:val="both"/>
        <w:rPr>
          <w:rFonts w:cs="Calibri"/>
          <w:sz w:val="20"/>
          <w:szCs w:val="20"/>
        </w:rPr>
      </w:pPr>
      <w:r w:rsidRPr="008E4270">
        <w:rPr>
          <w:rFonts w:cs="Calibri"/>
          <w:sz w:val="20"/>
          <w:szCs w:val="20"/>
        </w:rPr>
        <w:t xml:space="preserve">V případě rozporu mezi elektronickou a listinnou formou (předpokládanou v rámci podpisu smlouvy s vybraným dodavatelem) návrhu pojistné smlouvy platí elektronická podoba, jak byla součástí nabídky. </w:t>
      </w:r>
    </w:p>
    <w:p w14:paraId="59306B75" w14:textId="77777777" w:rsidR="00B5380C" w:rsidRPr="008E4270" w:rsidRDefault="00B5380C" w:rsidP="00993829">
      <w:pPr>
        <w:numPr>
          <w:ilvl w:val="0"/>
          <w:numId w:val="38"/>
        </w:numPr>
        <w:autoSpaceDE w:val="0"/>
        <w:autoSpaceDN w:val="0"/>
        <w:adjustRightInd w:val="0"/>
        <w:spacing w:before="60"/>
        <w:ind w:left="357" w:hanging="357"/>
        <w:jc w:val="both"/>
        <w:rPr>
          <w:rFonts w:cs="Calibri"/>
          <w:sz w:val="20"/>
          <w:szCs w:val="20"/>
        </w:rPr>
      </w:pPr>
      <w:r w:rsidRPr="008E4270">
        <w:rPr>
          <w:rFonts w:cs="Calibri"/>
          <w:sz w:val="20"/>
          <w:szCs w:val="20"/>
        </w:rPr>
        <w:t xml:space="preserve">Roční pojistné bude zadavatelem hrazeno čtvrtletně na základě daňového dokladu pojišťovny splatného ve lhůtě nejméně 30 dnů od jeho doručení. Účastník se zavazuje, že nebude navyšovat výši pojistného za požadovaný čtvrtletní způsob platby. </w:t>
      </w:r>
    </w:p>
    <w:p w14:paraId="31975FC4" w14:textId="680414BE" w:rsidR="00B5380C" w:rsidRPr="008E4270" w:rsidRDefault="00B5380C" w:rsidP="00993829">
      <w:pPr>
        <w:numPr>
          <w:ilvl w:val="0"/>
          <w:numId w:val="38"/>
        </w:numPr>
        <w:autoSpaceDE w:val="0"/>
        <w:autoSpaceDN w:val="0"/>
        <w:adjustRightInd w:val="0"/>
        <w:spacing w:before="60"/>
        <w:ind w:left="357" w:hanging="357"/>
        <w:rPr>
          <w:rFonts w:cs="Calibri"/>
          <w:sz w:val="20"/>
          <w:szCs w:val="20"/>
        </w:rPr>
      </w:pPr>
      <w:r w:rsidRPr="008E4270">
        <w:rPr>
          <w:rFonts w:cs="Calibri"/>
          <w:sz w:val="20"/>
          <w:szCs w:val="20"/>
        </w:rPr>
        <w:t xml:space="preserve">Zadavatel nebude požadovat zálohy na pojistné. </w:t>
      </w:r>
    </w:p>
    <w:p w14:paraId="1741AA23" w14:textId="7FD1CF75" w:rsidR="00B5380C" w:rsidRPr="008E4270" w:rsidRDefault="00B5380C" w:rsidP="00993829">
      <w:pPr>
        <w:numPr>
          <w:ilvl w:val="0"/>
          <w:numId w:val="38"/>
        </w:numPr>
        <w:autoSpaceDE w:val="0"/>
        <w:autoSpaceDN w:val="0"/>
        <w:adjustRightInd w:val="0"/>
        <w:spacing w:before="60"/>
        <w:ind w:left="357" w:hanging="357"/>
        <w:jc w:val="both"/>
        <w:rPr>
          <w:rFonts w:cs="Calibri"/>
          <w:sz w:val="20"/>
          <w:szCs w:val="20"/>
        </w:rPr>
      </w:pPr>
      <w:r w:rsidRPr="008E4270">
        <w:rPr>
          <w:rFonts w:cs="Calibri"/>
          <w:sz w:val="20"/>
          <w:szCs w:val="20"/>
        </w:rPr>
        <w:t xml:space="preserve">Změny smlouvy budou platné pouze na základě písemných číslovaných, oboustranně odsouhlasených dodatků, podepsaných oprávněnými zástupci obou smluvních stran. Pro vyloučení pochybností se sjednává, že změnou smlouvy vyžadující uzavření písemného dodatku se rozumí rovněž jakákoliv změna pojistných a/nebo obchodních podmínek, které tvoří součást nebo přílohu pojistné smlouvy, či na něž pojistná smlouva odkazuje. Pro změnu poddodavatele postačuje předchozí písemný souhlas pojistníka. Ujednáním v tomto odstavci není dotčeno ust. § 222 ZZVZ. </w:t>
      </w:r>
    </w:p>
    <w:p w14:paraId="4D28C294" w14:textId="0A72BEA8" w:rsidR="00B5380C" w:rsidRPr="008E4270" w:rsidRDefault="00A9611C" w:rsidP="00993829">
      <w:pPr>
        <w:numPr>
          <w:ilvl w:val="0"/>
          <w:numId w:val="38"/>
        </w:numPr>
        <w:autoSpaceDE w:val="0"/>
        <w:autoSpaceDN w:val="0"/>
        <w:adjustRightInd w:val="0"/>
        <w:spacing w:before="60"/>
        <w:ind w:left="357" w:hanging="357"/>
        <w:jc w:val="both"/>
        <w:rPr>
          <w:rFonts w:cs="Calibri"/>
          <w:sz w:val="20"/>
          <w:szCs w:val="20"/>
        </w:rPr>
      </w:pPr>
      <w:r w:rsidRPr="008E4270">
        <w:rPr>
          <w:rFonts w:cs="Calibri"/>
          <w:sz w:val="20"/>
          <w:szCs w:val="20"/>
        </w:rPr>
        <w:t>Pojistitel</w:t>
      </w:r>
      <w:r w:rsidR="00B5380C" w:rsidRPr="008E4270">
        <w:rPr>
          <w:rFonts w:cs="Calibri"/>
          <w:sz w:val="20"/>
          <w:szCs w:val="20"/>
        </w:rPr>
        <w:t xml:space="preserve"> bere na vědomí, že na smlouvy uzavřené na základě této veřejné zakázky se vztahují povinnosti uveřejnění dle zákona č. 340/2015 Sb., o zvláštních podmínkách účinnosti některých smluv, uveřejňování těchto smluv a o registru smluv (zákon o registru smluv), ve znění pozdějších předpisů. Uveřejnění dle tohoto zákona zajistí zadavatel způsobem, v rozsahu a ve lhůtách z něho vyplývajících. </w:t>
      </w:r>
      <w:r w:rsidRPr="008E4270">
        <w:rPr>
          <w:rFonts w:cs="Calibri"/>
          <w:sz w:val="20"/>
          <w:szCs w:val="20"/>
        </w:rPr>
        <w:t xml:space="preserve">Pojistitel </w:t>
      </w:r>
      <w:r w:rsidR="00B5380C" w:rsidRPr="008E4270">
        <w:rPr>
          <w:rFonts w:cs="Calibri"/>
          <w:sz w:val="20"/>
          <w:szCs w:val="20"/>
        </w:rPr>
        <w:t xml:space="preserve">poskytne zadavateli textový obsah smlouvy, včetně všech příloh smlouvy, ve strojově čitelném formátu nejpozději do 10 dnů od uzavření smlouvy. </w:t>
      </w:r>
    </w:p>
    <w:p w14:paraId="3E866EEE" w14:textId="2680319B" w:rsidR="0041558F" w:rsidRPr="008E4270" w:rsidRDefault="00A9611C" w:rsidP="00993829">
      <w:pPr>
        <w:numPr>
          <w:ilvl w:val="0"/>
          <w:numId w:val="38"/>
        </w:numPr>
        <w:autoSpaceDE w:val="0"/>
        <w:autoSpaceDN w:val="0"/>
        <w:adjustRightInd w:val="0"/>
        <w:spacing w:before="60"/>
        <w:ind w:left="357" w:hanging="357"/>
        <w:jc w:val="both"/>
        <w:rPr>
          <w:rFonts w:ascii="Calibri" w:hAnsi="Calibri" w:cs="Calibri"/>
          <w:sz w:val="20"/>
          <w:szCs w:val="20"/>
        </w:rPr>
      </w:pPr>
      <w:r w:rsidRPr="008E4270">
        <w:rPr>
          <w:rFonts w:cs="Calibri"/>
          <w:sz w:val="20"/>
          <w:szCs w:val="20"/>
        </w:rPr>
        <w:t>Pojistitel</w:t>
      </w:r>
      <w:r w:rsidR="00B5380C" w:rsidRPr="008E4270">
        <w:rPr>
          <w:rFonts w:cs="Calibri"/>
          <w:sz w:val="20"/>
          <w:szCs w:val="20"/>
        </w:rPr>
        <w:t xml:space="preserve"> bude povinen zachovávat mlčenlivost o všech skutečnostech, o nichž se v souvislosti s plněním veřejné zakázky dozvěděl nebo které zadavatel označil za důvěrné. </w:t>
      </w:r>
    </w:p>
    <w:p w14:paraId="2B16B035" w14:textId="3B89BF87" w:rsidR="008D3F58" w:rsidRPr="008E4270" w:rsidRDefault="003D3889" w:rsidP="00993829">
      <w:pPr>
        <w:numPr>
          <w:ilvl w:val="0"/>
          <w:numId w:val="38"/>
        </w:numPr>
        <w:autoSpaceDE w:val="0"/>
        <w:autoSpaceDN w:val="0"/>
        <w:adjustRightInd w:val="0"/>
        <w:spacing w:before="60"/>
        <w:ind w:left="357" w:hanging="357"/>
        <w:jc w:val="both"/>
        <w:rPr>
          <w:rFonts w:ascii="Calibri" w:hAnsi="Calibri" w:cs="Calibri"/>
          <w:sz w:val="20"/>
          <w:szCs w:val="20"/>
        </w:rPr>
      </w:pPr>
      <w:r w:rsidRPr="008E4270">
        <w:rPr>
          <w:rFonts w:cs="Calibri"/>
          <w:sz w:val="20"/>
          <w:szCs w:val="20"/>
        </w:rPr>
        <w:t>Změna výše pojistného v důsledku vývoje cen pojištění není přípustná. Změna výše pojistného je možná</w:t>
      </w:r>
      <w:r w:rsidR="00C94A00" w:rsidRPr="008E4270">
        <w:rPr>
          <w:rFonts w:cs="Calibri"/>
          <w:sz w:val="20"/>
          <w:szCs w:val="20"/>
        </w:rPr>
        <w:t xml:space="preserve"> pouze při změně rozsahu pojistného krytí a změnou obsahu pojišťovaného majetku, to vše však v souladu se zadávací dokumentací, resp. se zákonem. </w:t>
      </w:r>
    </w:p>
    <w:p w14:paraId="02C6978A" w14:textId="161D7240" w:rsidR="00F5265F" w:rsidRPr="008E4270" w:rsidRDefault="00F5265F" w:rsidP="00F5265F">
      <w:pPr>
        <w:tabs>
          <w:tab w:val="left" w:pos="-1418"/>
        </w:tabs>
        <w:spacing w:before="120"/>
        <w:jc w:val="both"/>
        <w:rPr>
          <w:rFonts w:cs="Arial"/>
          <w:sz w:val="20"/>
          <w:szCs w:val="20"/>
          <w:u w:val="single"/>
        </w:rPr>
      </w:pPr>
      <w:r w:rsidRPr="008E4270">
        <w:rPr>
          <w:rFonts w:cs="Arial"/>
          <w:sz w:val="20"/>
          <w:szCs w:val="20"/>
          <w:u w:val="single"/>
        </w:rPr>
        <w:t>Další zvláštní ujednání:</w:t>
      </w:r>
    </w:p>
    <w:p w14:paraId="0ECB6B17" w14:textId="48659471" w:rsidR="006E1690" w:rsidRPr="001C6E44" w:rsidRDefault="00042C6B" w:rsidP="00993829">
      <w:pPr>
        <w:numPr>
          <w:ilvl w:val="0"/>
          <w:numId w:val="32"/>
        </w:numPr>
        <w:tabs>
          <w:tab w:val="left" w:pos="-1418"/>
        </w:tabs>
        <w:spacing w:before="60"/>
        <w:ind w:left="284" w:hanging="284"/>
        <w:jc w:val="both"/>
        <w:rPr>
          <w:rFonts w:cs="Arial"/>
          <w:sz w:val="20"/>
          <w:szCs w:val="20"/>
        </w:rPr>
      </w:pPr>
      <w:r w:rsidRPr="008E4270">
        <w:rPr>
          <w:sz w:val="20"/>
          <w:szCs w:val="20"/>
        </w:rPr>
        <w:t xml:space="preserve">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w:t>
      </w:r>
      <w:r w:rsidR="00DC62F5" w:rsidRPr="008E4270">
        <w:rPr>
          <w:sz w:val="20"/>
          <w:szCs w:val="20"/>
        </w:rPr>
        <w:t>Evropské unie, České republiky a Spojeného království Velké Británie a Severního Irska</w:t>
      </w:r>
      <w:r w:rsidRPr="008E4270">
        <w:rPr>
          <w:sz w:val="20"/>
          <w:szCs w:val="20"/>
        </w:rPr>
        <w:t>. Dále také Spojených států amerických za předpokladu, že neodporují sankcím a embargům uvedeným v předchozí větě.</w:t>
      </w:r>
    </w:p>
    <w:p w14:paraId="66CF06D0" w14:textId="77777777" w:rsidR="001C6E44" w:rsidRPr="008E4270" w:rsidRDefault="001C6E44" w:rsidP="001C6E44">
      <w:pPr>
        <w:tabs>
          <w:tab w:val="left" w:pos="-1418"/>
        </w:tabs>
        <w:spacing w:before="60"/>
        <w:ind w:left="284"/>
        <w:jc w:val="both"/>
        <w:rPr>
          <w:rFonts w:cs="Arial"/>
          <w:sz w:val="20"/>
          <w:szCs w:val="20"/>
        </w:rPr>
      </w:pPr>
    </w:p>
    <w:p w14:paraId="2B9F1A8C" w14:textId="77777777" w:rsidR="000B6E93" w:rsidRPr="008E4270" w:rsidRDefault="000B6E93" w:rsidP="00F223A7">
      <w:pPr>
        <w:pStyle w:val="Nadpislnk"/>
      </w:pPr>
      <w:r w:rsidRPr="008E4270">
        <w:t xml:space="preserve">Článek VI. </w:t>
      </w:r>
      <w:r w:rsidRPr="008E4270">
        <w:br/>
        <w:t>Prohlášení pojistníka, registr smluv, zpracování osobních údajů</w:t>
      </w:r>
    </w:p>
    <w:p w14:paraId="11CA474D" w14:textId="77777777" w:rsidR="000B6E93" w:rsidRPr="008E4270" w:rsidRDefault="000B6E93" w:rsidP="009509EC">
      <w:pPr>
        <w:pStyle w:val="slovn-rove1-netunb"/>
        <w:numPr>
          <w:ilvl w:val="0"/>
          <w:numId w:val="23"/>
        </w:numPr>
        <w:spacing w:after="0"/>
        <w:rPr>
          <w:b/>
        </w:rPr>
      </w:pPr>
      <w:r w:rsidRPr="008E4270">
        <w:rPr>
          <w:b/>
        </w:rPr>
        <w:t>Prohlášení pojistníka</w:t>
      </w:r>
    </w:p>
    <w:p w14:paraId="181E11AB" w14:textId="3D59F408" w:rsidR="00C1743B" w:rsidRPr="008E4270" w:rsidRDefault="000B6E93" w:rsidP="009509EC">
      <w:pPr>
        <w:pStyle w:val="slovn-rove2"/>
        <w:keepNext w:val="0"/>
        <w:numPr>
          <w:ilvl w:val="1"/>
          <w:numId w:val="17"/>
        </w:numPr>
        <w:spacing w:before="60" w:after="0"/>
        <w:rPr>
          <w:b w:val="0"/>
        </w:rPr>
      </w:pPr>
      <w:r w:rsidRPr="008E4270">
        <w:rPr>
          <w:b w:val="0"/>
        </w:rPr>
        <w:t>Pojistník potvrzuje,</w:t>
      </w:r>
      <w:r w:rsidRPr="008E4270">
        <w:t xml:space="preserve"> </w:t>
      </w:r>
      <w:r w:rsidR="00C1743B" w:rsidRPr="008E4270">
        <w:rPr>
          <w:b w:val="0"/>
        </w:rPr>
        <w:t>že v dostatečném předstihu před uzavřením pojistné smlouvy převzal v listinné nebo, s jeho souhlasem, v jiné textové podobě (např. na trvalém nosiči dat</w:t>
      </w:r>
      <w:r w:rsidR="00114D11" w:rsidRPr="008E4270">
        <w:rPr>
          <w:b w:val="0"/>
        </w:rPr>
        <w:t>, prostřednictvím e-mailu nebo elektronického úložiště dat</w:t>
      </w:r>
      <w:r w:rsidR="00C1743B" w:rsidRPr="008E4270">
        <w:rPr>
          <w:b w:val="0"/>
        </w:rPr>
        <w: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15F38388" w14:textId="77777777" w:rsidR="005A276B" w:rsidRDefault="005A276B" w:rsidP="005A276B">
      <w:pPr>
        <w:pStyle w:val="slovn-rove1-netunb"/>
        <w:numPr>
          <w:ilvl w:val="0"/>
          <w:numId w:val="0"/>
        </w:numPr>
        <w:spacing w:before="60" w:after="0"/>
        <w:ind w:left="425" w:hanging="425"/>
      </w:pPr>
    </w:p>
    <w:p w14:paraId="0C975F9D" w14:textId="77777777" w:rsidR="001C6E44" w:rsidRDefault="001C6E44" w:rsidP="005A276B">
      <w:pPr>
        <w:pStyle w:val="slovn-rove1-netunb"/>
        <w:numPr>
          <w:ilvl w:val="0"/>
          <w:numId w:val="0"/>
        </w:numPr>
        <w:spacing w:before="60" w:after="0"/>
        <w:ind w:left="425" w:hanging="425"/>
      </w:pPr>
    </w:p>
    <w:p w14:paraId="5F745EA5" w14:textId="77777777" w:rsidR="001C6E44" w:rsidRPr="008E4270" w:rsidRDefault="001C6E44" w:rsidP="005A276B">
      <w:pPr>
        <w:pStyle w:val="slovn-rove1-netunb"/>
        <w:numPr>
          <w:ilvl w:val="0"/>
          <w:numId w:val="0"/>
        </w:numPr>
        <w:spacing w:before="60" w:after="0"/>
        <w:ind w:left="425" w:hanging="425"/>
      </w:pPr>
    </w:p>
    <w:p w14:paraId="7A47F6B7" w14:textId="540D1D25" w:rsidR="00C1743B" w:rsidRPr="008E4270" w:rsidRDefault="00C1743B" w:rsidP="009509EC">
      <w:pPr>
        <w:pStyle w:val="slovn-rove2"/>
        <w:keepNext w:val="0"/>
        <w:numPr>
          <w:ilvl w:val="1"/>
          <w:numId w:val="16"/>
        </w:numPr>
        <w:spacing w:before="60" w:after="0"/>
        <w:rPr>
          <w:b w:val="0"/>
        </w:rPr>
      </w:pPr>
      <w:r w:rsidRPr="008E4270">
        <w:rPr>
          <w:b w:val="0"/>
        </w:rPr>
        <w:lastRenderedPageBreak/>
        <w:t>Pojistník potvrzuje, že v dostatečném předstihu před uzavřením pojistné smlouvy převzal v listinné nebo jiné textové podobě (např. na trvalém nosiči dat</w:t>
      </w:r>
      <w:r w:rsidR="00114D11" w:rsidRPr="008E4270">
        <w:rPr>
          <w:b w:val="0"/>
        </w:rPr>
        <w:t>, prostřednictvím e-mailu nebo elektronického úložiště dat</w:t>
      </w:r>
      <w:r w:rsidRPr="008E4270">
        <w:rPr>
          <w:b w:val="0"/>
        </w:rPr>
        <w: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35D0C6CA" w14:textId="77777777" w:rsidR="00C1743B" w:rsidRPr="008E4270" w:rsidRDefault="00C1743B" w:rsidP="009509EC">
      <w:pPr>
        <w:pStyle w:val="slovn-rove2"/>
        <w:keepNext w:val="0"/>
        <w:numPr>
          <w:ilvl w:val="1"/>
          <w:numId w:val="16"/>
        </w:numPr>
        <w:spacing w:before="60" w:after="0"/>
        <w:rPr>
          <w:b w:val="0"/>
        </w:rPr>
      </w:pPr>
      <w:r w:rsidRPr="008E4270">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2566F40C" w14:textId="77777777" w:rsidR="00C1743B" w:rsidRPr="008E4270" w:rsidRDefault="00C1743B" w:rsidP="009509EC">
      <w:pPr>
        <w:pStyle w:val="slovn-rove2"/>
        <w:keepNext w:val="0"/>
        <w:numPr>
          <w:ilvl w:val="1"/>
          <w:numId w:val="16"/>
        </w:numPr>
        <w:spacing w:before="60" w:after="0"/>
        <w:rPr>
          <w:b w:val="0"/>
        </w:rPr>
      </w:pPr>
      <w:r w:rsidRPr="008E4270">
        <w:rPr>
          <w:b w:val="0"/>
        </w:rPr>
        <w:t>Pojistník prohlašuje, že má oprávněnou potřebu ochrany před následky pojistné události (pojistný zájem).</w:t>
      </w:r>
      <w:r w:rsidRPr="008E4270">
        <w:rPr>
          <w:b w:val="0"/>
        </w:rPr>
        <w:br/>
        <w:t>Pojistník, je-li osobou odlišnou od pojištěného, dále prohlašuje, že mu pojištění dali souhlas k pojištění.</w:t>
      </w:r>
    </w:p>
    <w:p w14:paraId="2D705EF1" w14:textId="6F1EE449" w:rsidR="00C56662" w:rsidRPr="008E4270" w:rsidRDefault="00C1743B" w:rsidP="009509EC">
      <w:pPr>
        <w:pStyle w:val="slovn-rove2"/>
        <w:keepNext w:val="0"/>
        <w:numPr>
          <w:ilvl w:val="1"/>
          <w:numId w:val="16"/>
        </w:numPr>
        <w:spacing w:before="60" w:after="0"/>
        <w:rPr>
          <w:b w:val="0"/>
        </w:rPr>
      </w:pPr>
      <w:r w:rsidRPr="008E4270">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069D085E" w14:textId="77777777" w:rsidR="000B6E93" w:rsidRPr="008E4270" w:rsidRDefault="000B6E93" w:rsidP="00E72546">
      <w:pPr>
        <w:pStyle w:val="slovn-rove1-netunb"/>
        <w:rPr>
          <w:b/>
        </w:rPr>
      </w:pPr>
      <w:r w:rsidRPr="008E4270">
        <w:rPr>
          <w:b/>
        </w:rPr>
        <w:t>Registr smluv</w:t>
      </w:r>
    </w:p>
    <w:p w14:paraId="5156C1A8" w14:textId="77777777" w:rsidR="000A6940" w:rsidRPr="008E4270" w:rsidRDefault="000A6940" w:rsidP="009509EC">
      <w:pPr>
        <w:pStyle w:val="slovn-rove1-netunb"/>
        <w:numPr>
          <w:ilvl w:val="1"/>
          <w:numId w:val="16"/>
        </w:numPr>
        <w:spacing w:before="60" w:after="0"/>
      </w:pPr>
      <w:r w:rsidRPr="008E4270">
        <w:t>Pokud výše uvedená pojistná smlouva, resp. dodatek k pojistné smlouvě (dále jen „</w:t>
      </w:r>
      <w:r w:rsidRPr="008E4270">
        <w:rPr>
          <w:b/>
        </w:rPr>
        <w:t>smlouva</w:t>
      </w:r>
      <w:r w:rsidRPr="008E4270">
        <w:t>“) podléhá povinnosti uveřejnění v registru smluv (dále jen „</w:t>
      </w:r>
      <w:r w:rsidRPr="008E4270">
        <w:rPr>
          <w:b/>
        </w:rPr>
        <w:t>registr</w:t>
      </w:r>
      <w:r w:rsidRPr="008E4270">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14:paraId="08503D20" w14:textId="77777777" w:rsidR="000A6940" w:rsidRPr="008E4270" w:rsidRDefault="000A6940" w:rsidP="009509EC">
      <w:pPr>
        <w:pStyle w:val="slovn-rove1-netunb"/>
        <w:numPr>
          <w:ilvl w:val="0"/>
          <w:numId w:val="0"/>
        </w:numPr>
        <w:spacing w:before="60" w:after="0"/>
        <w:ind w:left="425"/>
      </w:pPr>
      <w:r w:rsidRPr="008E4270">
        <w:t>Při vyplnění formuláře pro uveřejnění smlouvy v registru je pojistník povinen vyplnit údaje o pojistiteli (jako smluvní straně), do pole „</w:t>
      </w:r>
      <w:r w:rsidRPr="008E4270">
        <w:rPr>
          <w:b/>
          <w:bCs/>
        </w:rPr>
        <w:t>Datová schránka</w:t>
      </w:r>
      <w:r w:rsidRPr="008E4270">
        <w:t xml:space="preserve">“ uvést: </w:t>
      </w:r>
      <w:r w:rsidRPr="008E4270">
        <w:rPr>
          <w:b/>
          <w:bCs/>
        </w:rPr>
        <w:t>n6tetn3</w:t>
      </w:r>
      <w:r w:rsidRPr="008E4270">
        <w:t xml:space="preserve"> a do pole „</w:t>
      </w:r>
      <w:r w:rsidRPr="008E4270">
        <w:rPr>
          <w:b/>
          <w:bCs/>
        </w:rPr>
        <w:t>Číslo smlouvy</w:t>
      </w:r>
      <w:r w:rsidRPr="008E4270">
        <w:t>“ uvést číslo této pojistné smlouvy.</w:t>
      </w:r>
    </w:p>
    <w:p w14:paraId="2125142D" w14:textId="2FA32591" w:rsidR="008C3C3B" w:rsidRPr="008E4270" w:rsidRDefault="000A6940" w:rsidP="009509EC">
      <w:pPr>
        <w:pStyle w:val="slovn-rove1-netunb"/>
        <w:numPr>
          <w:ilvl w:val="0"/>
          <w:numId w:val="0"/>
        </w:numPr>
        <w:spacing w:before="60" w:after="0"/>
        <w:ind w:left="425"/>
      </w:pPr>
      <w:r w:rsidRPr="008E4270">
        <w:t xml:space="preserve">Pojistník se dále zavazuje, že před zasláním smlouvy k uveřejnění zajistí znečitelnění neuveřejnitelných informací (např. osobních údajů o fyzických osobách). </w:t>
      </w:r>
    </w:p>
    <w:p w14:paraId="504EBF1E" w14:textId="77777777" w:rsidR="000A6940" w:rsidRPr="008E4270" w:rsidRDefault="001C6E44" w:rsidP="009509EC">
      <w:pPr>
        <w:pStyle w:val="slovn-rove1-netunb"/>
        <w:numPr>
          <w:ilvl w:val="0"/>
          <w:numId w:val="0"/>
        </w:numPr>
        <w:spacing w:before="60" w:after="0"/>
        <w:ind w:left="425"/>
      </w:pPr>
      <w:hyperlink r:id="rId12" w:anchor="_blank" w:tooltip="Neuveřejnitelné údaje_ZRS_20170215.docx" w:history="1">
        <w:r w:rsidR="000A6940" w:rsidRPr="008E4270">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7806BB49" w14:textId="77777777" w:rsidR="000A6940" w:rsidRPr="008E4270" w:rsidRDefault="000A6940" w:rsidP="009509EC">
      <w:pPr>
        <w:pStyle w:val="slovn-rove1-netunb"/>
        <w:numPr>
          <w:ilvl w:val="0"/>
          <w:numId w:val="17"/>
        </w:numPr>
        <w:spacing w:after="0"/>
        <w:rPr>
          <w:b/>
        </w:rPr>
      </w:pPr>
      <w:r w:rsidRPr="008E4270">
        <w:rPr>
          <w:b/>
        </w:rPr>
        <w:t>ZPRACOVÁNÍ OSOBNÍCH ÚDAJŮ</w:t>
      </w:r>
    </w:p>
    <w:p w14:paraId="354BD41C" w14:textId="77777777" w:rsidR="000A6940" w:rsidRPr="008E4270" w:rsidRDefault="000A6940" w:rsidP="009509EC">
      <w:pPr>
        <w:pStyle w:val="slovn-rove1-netunb"/>
        <w:numPr>
          <w:ilvl w:val="0"/>
          <w:numId w:val="0"/>
        </w:numPr>
        <w:spacing w:before="60" w:after="0"/>
        <w:ind w:left="425"/>
      </w:pPr>
      <w:r w:rsidRPr="008E4270">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3" w:history="1">
        <w:r w:rsidRPr="008E4270">
          <w:rPr>
            <w:rStyle w:val="Hypertextovodkaz"/>
            <w:rFonts w:cs="Calibri"/>
            <w:color w:val="auto"/>
          </w:rPr>
          <w:t>www.koop.cz</w:t>
        </w:r>
      </w:hyperlink>
      <w:r w:rsidRPr="008E4270">
        <w:t xml:space="preserve"> v sekci „O pojišťovně Kooperativa“.</w:t>
      </w:r>
    </w:p>
    <w:p w14:paraId="391501ED" w14:textId="77777777" w:rsidR="000B6E93" w:rsidRPr="008E4270" w:rsidRDefault="000B6E93" w:rsidP="009509EC">
      <w:pPr>
        <w:pStyle w:val="slovn-rove1-netunb"/>
        <w:numPr>
          <w:ilvl w:val="1"/>
          <w:numId w:val="16"/>
        </w:numPr>
        <w:spacing w:after="0"/>
        <w:rPr>
          <w:b/>
        </w:rPr>
      </w:pPr>
      <w:r w:rsidRPr="008E4270">
        <w:rPr>
          <w:b/>
        </w:rPr>
        <w:t xml:space="preserve">INFORMACE O ZPRACOVÁNÍ OSOBNÍCH ÚDAJŮ </w:t>
      </w:r>
      <w:r w:rsidRPr="008E4270">
        <w:rPr>
          <w:b/>
          <w:u w:val="single"/>
        </w:rPr>
        <w:t>BEZ VAŠEHO SOUHLASU</w:t>
      </w:r>
    </w:p>
    <w:p w14:paraId="75F7AD12" w14:textId="77777777" w:rsidR="000B6E93" w:rsidRPr="008E4270" w:rsidRDefault="000B6E93" w:rsidP="009509EC">
      <w:pPr>
        <w:spacing w:before="60"/>
        <w:ind w:firstLine="425"/>
        <w:rPr>
          <w:sz w:val="20"/>
          <w:szCs w:val="20"/>
        </w:rPr>
      </w:pPr>
      <w:r w:rsidRPr="008E4270">
        <w:rPr>
          <w:b/>
          <w:sz w:val="20"/>
          <w:szCs w:val="20"/>
        </w:rPr>
        <w:t>Zpracování na základě plnění smlouvy a oprávněných zájmů pojistitele</w:t>
      </w:r>
    </w:p>
    <w:p w14:paraId="39B792C9" w14:textId="77777777" w:rsidR="000A6940" w:rsidRPr="008E4270" w:rsidRDefault="000A6940" w:rsidP="009509EC">
      <w:pPr>
        <w:pStyle w:val="slovn"/>
        <w:numPr>
          <w:ilvl w:val="0"/>
          <w:numId w:val="0"/>
        </w:numPr>
        <w:spacing w:before="60"/>
        <w:ind w:left="425"/>
        <w:rPr>
          <w:rFonts w:ascii="Koop Office" w:hAnsi="Koop Office"/>
          <w:sz w:val="20"/>
        </w:rPr>
      </w:pPr>
      <w:r w:rsidRPr="008E4270">
        <w:rPr>
          <w:rFonts w:ascii="Koop Office" w:hAnsi="Koop Office"/>
          <w:sz w:val="20"/>
        </w:rPr>
        <w:t>Pojistník bere na vědomí, že jeho identifikační a kontaktní údaje, údaje pro ocenění rizika při vstupu do pojištění a údaje o využívání služeb</w:t>
      </w:r>
      <w:r w:rsidRPr="008E4270" w:rsidDel="00141904">
        <w:rPr>
          <w:rFonts w:ascii="Koop Office" w:hAnsi="Koop Office"/>
          <w:sz w:val="20"/>
        </w:rPr>
        <w:t xml:space="preserve"> </w:t>
      </w:r>
      <w:r w:rsidRPr="008E4270">
        <w:rPr>
          <w:rFonts w:ascii="Koop Office" w:hAnsi="Koop Office"/>
          <w:sz w:val="20"/>
        </w:rPr>
        <w:t>zpracovává pojistitel:</w:t>
      </w:r>
    </w:p>
    <w:p w14:paraId="5286FD9D" w14:textId="77777777" w:rsidR="000A6940" w:rsidRPr="008E4270" w:rsidRDefault="000A6940" w:rsidP="009509EC">
      <w:pPr>
        <w:pStyle w:val="odrkadruh"/>
        <w:numPr>
          <w:ilvl w:val="0"/>
          <w:numId w:val="20"/>
        </w:numPr>
        <w:spacing w:before="40"/>
        <w:ind w:left="709" w:hanging="284"/>
        <w:rPr>
          <w:rFonts w:ascii="Koop Office" w:hAnsi="Koop Office"/>
          <w:sz w:val="20"/>
          <w:szCs w:val="20"/>
        </w:rPr>
      </w:pPr>
      <w:r w:rsidRPr="008E4270">
        <w:rPr>
          <w:rFonts w:ascii="Koop Office" w:hAnsi="Koop Office"/>
          <w:sz w:val="20"/>
          <w:szCs w:val="20"/>
        </w:rPr>
        <w:t xml:space="preserve">pro účely </w:t>
      </w:r>
      <w:r w:rsidRPr="008E4270">
        <w:rPr>
          <w:rFonts w:ascii="Koop Office" w:hAnsi="Koop Office"/>
          <w:i/>
          <w:sz w:val="20"/>
          <w:szCs w:val="20"/>
        </w:rPr>
        <w:t>kalkulace, návrhu a uzavření pojistné smlouvy, posouzení přijatelnosti do pojištění, správy a ukončení pojistné smlouvy a likvidace pojistných událostí</w:t>
      </w:r>
      <w:r w:rsidRPr="008E4270">
        <w:rPr>
          <w:rFonts w:ascii="Koop Office" w:hAnsi="Koop Office"/>
          <w:sz w:val="20"/>
          <w:szCs w:val="20"/>
        </w:rPr>
        <w:t xml:space="preserve">, když v těchto případech jde o zpracování nezbytné pro </w:t>
      </w:r>
      <w:r w:rsidRPr="008E4270">
        <w:rPr>
          <w:rFonts w:ascii="Koop Office" w:hAnsi="Koop Office"/>
          <w:b/>
          <w:sz w:val="20"/>
          <w:szCs w:val="20"/>
        </w:rPr>
        <w:t>plnění smlouvy</w:t>
      </w:r>
      <w:r w:rsidRPr="008E4270">
        <w:rPr>
          <w:rFonts w:ascii="Koop Office" w:hAnsi="Koop Office"/>
          <w:sz w:val="20"/>
          <w:szCs w:val="20"/>
        </w:rPr>
        <w:t>, a</w:t>
      </w:r>
    </w:p>
    <w:p w14:paraId="1FBC4CA6" w14:textId="77777777" w:rsidR="000A6940" w:rsidRPr="008E4270" w:rsidRDefault="000A6940" w:rsidP="009509EC">
      <w:pPr>
        <w:pStyle w:val="odrkadruh"/>
        <w:numPr>
          <w:ilvl w:val="0"/>
          <w:numId w:val="20"/>
        </w:numPr>
        <w:spacing w:before="40"/>
        <w:ind w:left="709" w:hanging="284"/>
        <w:rPr>
          <w:rFonts w:ascii="Koop Office" w:hAnsi="Koop Office"/>
          <w:sz w:val="20"/>
          <w:szCs w:val="20"/>
        </w:rPr>
      </w:pPr>
      <w:r w:rsidRPr="008E4270">
        <w:rPr>
          <w:rFonts w:ascii="Koop Office" w:hAnsi="Koop Office"/>
          <w:sz w:val="20"/>
          <w:szCs w:val="20"/>
        </w:rPr>
        <w:t xml:space="preserve">pro účely </w:t>
      </w:r>
      <w:r w:rsidRPr="008E4270">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8E4270">
        <w:rPr>
          <w:rFonts w:ascii="Koop Office" w:hAnsi="Koop Office"/>
          <w:sz w:val="20"/>
          <w:szCs w:val="20"/>
        </w:rPr>
        <w:t xml:space="preserve">, když v těchto případech jde o zpracování založené na základě </w:t>
      </w:r>
      <w:r w:rsidRPr="008E4270">
        <w:rPr>
          <w:rFonts w:ascii="Koop Office" w:hAnsi="Koop Office"/>
          <w:b/>
          <w:sz w:val="20"/>
          <w:szCs w:val="20"/>
        </w:rPr>
        <w:t>oprávněných zájmů</w:t>
      </w:r>
      <w:r w:rsidRPr="008E4270">
        <w:rPr>
          <w:rFonts w:ascii="Koop Office" w:hAnsi="Koop Office"/>
          <w:sz w:val="20"/>
          <w:szCs w:val="20"/>
        </w:rPr>
        <w:t xml:space="preserve"> pojistitele. </w:t>
      </w:r>
      <w:r w:rsidRPr="008E4270">
        <w:rPr>
          <w:rFonts w:ascii="Koop Office" w:hAnsi="Koop Office" w:cs="Calibri"/>
          <w:sz w:val="20"/>
          <w:szCs w:val="20"/>
        </w:rPr>
        <w:t xml:space="preserve">Proti takovému zpracování máte právo kdykoli podat námitku, která může být uplatněna způsobem uvedeným v </w:t>
      </w:r>
      <w:r w:rsidRPr="008E4270">
        <w:rPr>
          <w:rFonts w:ascii="Koop Office" w:hAnsi="Koop Office"/>
          <w:sz w:val="20"/>
          <w:szCs w:val="20"/>
        </w:rPr>
        <w:t>Informacích o zpracování osobních údajů v neživotním pojištění</w:t>
      </w:r>
      <w:r w:rsidRPr="008E4270">
        <w:rPr>
          <w:rFonts w:ascii="Koop Office" w:hAnsi="Koop Office" w:cs="Calibri"/>
          <w:sz w:val="20"/>
          <w:szCs w:val="20"/>
        </w:rPr>
        <w:t>.</w:t>
      </w:r>
    </w:p>
    <w:p w14:paraId="4798DFB5" w14:textId="77777777" w:rsidR="005A276B" w:rsidRDefault="005A276B" w:rsidP="000A6940">
      <w:pPr>
        <w:pStyle w:val="odrka"/>
        <w:numPr>
          <w:ilvl w:val="0"/>
          <w:numId w:val="0"/>
        </w:numPr>
        <w:ind w:left="357"/>
        <w:rPr>
          <w:rFonts w:ascii="Koop Office" w:hAnsi="Koop Office"/>
          <w:b/>
          <w:sz w:val="20"/>
          <w:szCs w:val="20"/>
        </w:rPr>
      </w:pPr>
    </w:p>
    <w:p w14:paraId="0BA30599" w14:textId="77777777" w:rsidR="001C6E44" w:rsidRDefault="001C6E44" w:rsidP="000A6940">
      <w:pPr>
        <w:pStyle w:val="odrka"/>
        <w:numPr>
          <w:ilvl w:val="0"/>
          <w:numId w:val="0"/>
        </w:numPr>
        <w:ind w:left="357"/>
        <w:rPr>
          <w:rFonts w:ascii="Koop Office" w:hAnsi="Koop Office"/>
          <w:b/>
          <w:sz w:val="20"/>
          <w:szCs w:val="20"/>
        </w:rPr>
      </w:pPr>
    </w:p>
    <w:p w14:paraId="775A74DB" w14:textId="77777777" w:rsidR="001C6E44" w:rsidRDefault="001C6E44" w:rsidP="000A6940">
      <w:pPr>
        <w:pStyle w:val="odrka"/>
        <w:numPr>
          <w:ilvl w:val="0"/>
          <w:numId w:val="0"/>
        </w:numPr>
        <w:ind w:left="357"/>
        <w:rPr>
          <w:rFonts w:ascii="Koop Office" w:hAnsi="Koop Office"/>
          <w:b/>
          <w:sz w:val="20"/>
          <w:szCs w:val="20"/>
        </w:rPr>
      </w:pPr>
    </w:p>
    <w:p w14:paraId="4DD7D5B1" w14:textId="77777777" w:rsidR="001C6E44" w:rsidRPr="008E4270" w:rsidRDefault="001C6E44" w:rsidP="000A6940">
      <w:pPr>
        <w:pStyle w:val="odrka"/>
        <w:numPr>
          <w:ilvl w:val="0"/>
          <w:numId w:val="0"/>
        </w:numPr>
        <w:ind w:left="357"/>
        <w:rPr>
          <w:rFonts w:ascii="Koop Office" w:hAnsi="Koop Office"/>
          <w:b/>
          <w:sz w:val="20"/>
          <w:szCs w:val="20"/>
        </w:rPr>
      </w:pPr>
    </w:p>
    <w:p w14:paraId="15D54344" w14:textId="2A9C41E6" w:rsidR="000B6E93" w:rsidRPr="008E4270" w:rsidRDefault="00DA61BF" w:rsidP="000A6940">
      <w:pPr>
        <w:pStyle w:val="odrka"/>
        <w:numPr>
          <w:ilvl w:val="0"/>
          <w:numId w:val="0"/>
        </w:numPr>
        <w:ind w:left="357"/>
        <w:rPr>
          <w:rFonts w:ascii="Koop Office" w:hAnsi="Koop Office"/>
          <w:b/>
          <w:sz w:val="20"/>
          <w:szCs w:val="20"/>
        </w:rPr>
      </w:pPr>
      <w:r w:rsidRPr="008E4270">
        <w:rPr>
          <w:rFonts w:ascii="Koop Office" w:hAnsi="Koop Office"/>
          <w:b/>
          <w:sz w:val="20"/>
          <w:szCs w:val="20"/>
        </w:rPr>
        <w:lastRenderedPageBreak/>
        <w:t xml:space="preserve"> </w:t>
      </w:r>
      <w:r w:rsidR="000B6E93" w:rsidRPr="008E4270">
        <w:rPr>
          <w:rFonts w:ascii="Koop Office" w:hAnsi="Koop Office"/>
          <w:b/>
          <w:sz w:val="20"/>
          <w:szCs w:val="20"/>
        </w:rPr>
        <w:t>Zpracování pro účely plnění zákonné povinnosti</w:t>
      </w:r>
    </w:p>
    <w:p w14:paraId="31823BB4" w14:textId="77777777" w:rsidR="000A6940" w:rsidRPr="008E4270" w:rsidRDefault="000A6940" w:rsidP="009509EC">
      <w:pPr>
        <w:pStyle w:val="slovn-rove1-netunb"/>
        <w:numPr>
          <w:ilvl w:val="0"/>
          <w:numId w:val="0"/>
        </w:numPr>
        <w:spacing w:before="60" w:after="60"/>
        <w:ind w:left="425"/>
        <w:rPr>
          <w:b/>
        </w:rPr>
      </w:pPr>
      <w:r w:rsidRPr="008E4270">
        <w:t xml:space="preserve">Pojistník bere na vědomí, že jeho identifikační a kontaktní údaje a údaje pro ocenění rizika při vstupu do pojištění pojistitel dále zpracovává ke </w:t>
      </w:r>
      <w:r w:rsidRPr="008E4270">
        <w:rPr>
          <w:b/>
        </w:rPr>
        <w:t>splnění své zákonné povinnosti</w:t>
      </w:r>
      <w:r w:rsidRPr="008E4270">
        <w:t xml:space="preserve"> vyplývající zejména ze zákona upravujícího distribuci pojištění a zákona č. 69/2006 Sb., o provádění mezinárodních sankcí.</w:t>
      </w:r>
    </w:p>
    <w:p w14:paraId="6C39447A" w14:textId="77777777" w:rsidR="000B6E93" w:rsidRPr="008E4270" w:rsidRDefault="000B6E93" w:rsidP="009509EC">
      <w:pPr>
        <w:pStyle w:val="slovn-rove1-netunb"/>
        <w:numPr>
          <w:ilvl w:val="1"/>
          <w:numId w:val="16"/>
        </w:numPr>
        <w:spacing w:after="60"/>
        <w:rPr>
          <w:b/>
        </w:rPr>
      </w:pPr>
      <w:r w:rsidRPr="008E4270">
        <w:rPr>
          <w:b/>
        </w:rPr>
        <w:t>POVINNOST POJISTNÍKA INFORMOVAT TŘETÍ OSOBY</w:t>
      </w:r>
    </w:p>
    <w:p w14:paraId="6E382521" w14:textId="601FCF5A" w:rsidR="00101730" w:rsidRPr="008E4270" w:rsidRDefault="005B0A26" w:rsidP="009509EC">
      <w:pPr>
        <w:pStyle w:val="slovn-rove1-netunb"/>
        <w:numPr>
          <w:ilvl w:val="0"/>
          <w:numId w:val="0"/>
        </w:numPr>
        <w:spacing w:before="0" w:after="0"/>
        <w:ind w:left="425"/>
      </w:pPr>
      <w:r w:rsidRPr="008E4270">
        <w:t>Pojistník se zavazuje informovat každého pojištěného, jenž je osobou odlišnou od pojistníka, a případné další osoby, které uvedl v pojistné smlouvě, o zpracování jejich osobních údajů.</w:t>
      </w:r>
    </w:p>
    <w:p w14:paraId="11F484EC" w14:textId="77777777" w:rsidR="000B6E93" w:rsidRPr="008E4270" w:rsidRDefault="000B6E93" w:rsidP="009509EC">
      <w:pPr>
        <w:pStyle w:val="slovn-rove1-netunb"/>
        <w:numPr>
          <w:ilvl w:val="1"/>
          <w:numId w:val="16"/>
        </w:numPr>
        <w:spacing w:after="0"/>
        <w:rPr>
          <w:b/>
        </w:rPr>
      </w:pPr>
      <w:r w:rsidRPr="008E4270">
        <w:rPr>
          <w:b/>
        </w:rPr>
        <w:t xml:space="preserve">INFORMACE O ZPRACOVÁNÍ OSOBNÍCH ÚDAJŮ ZÁSTUPCE POJISTNÍKA </w:t>
      </w:r>
    </w:p>
    <w:p w14:paraId="6C9C04E8" w14:textId="77777777" w:rsidR="005B0A26" w:rsidRPr="008E4270" w:rsidRDefault="005B0A26" w:rsidP="009509EC">
      <w:pPr>
        <w:pStyle w:val="slovn-rove1-netunb"/>
        <w:numPr>
          <w:ilvl w:val="0"/>
          <w:numId w:val="0"/>
        </w:numPr>
        <w:spacing w:before="60"/>
        <w:ind w:left="425"/>
        <w:rPr>
          <w:rFonts w:cs="Calibri"/>
        </w:rPr>
      </w:pPr>
      <w:r w:rsidRPr="008E4270">
        <w:t xml:space="preserve">Zástupce právnické osoby, zákonný zástupce nebo jiná osoba oprávněná zastupovat pojistníka bere na vědomí, že její identifikační a kontaktní údaje pojistitel zpracovává na základě </w:t>
      </w:r>
      <w:r w:rsidRPr="008E4270">
        <w:rPr>
          <w:b/>
          <w:bCs/>
        </w:rPr>
        <w:t>oprávněného zájmu</w:t>
      </w:r>
      <w:r w:rsidRPr="008E4270">
        <w:t xml:space="preserve"> pro účely</w:t>
      </w:r>
      <w:r w:rsidRPr="008E4270">
        <w:rPr>
          <w:i/>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8E4270">
        <w:t xml:space="preserve">. </w:t>
      </w:r>
      <w:r w:rsidRPr="008E4270">
        <w:rPr>
          <w:rFonts w:cs="Calibri"/>
        </w:rPr>
        <w:t>Proti takovému zpracování má taková osoba právo kdykoli podat námitku, která může být uplatněna způsobem uvedeným v</w:t>
      </w:r>
      <w:r w:rsidRPr="008E4270">
        <w:t xml:space="preserve"> Informacích o zpracování osobních údajů v neživotním pojištění</w:t>
      </w:r>
      <w:r w:rsidRPr="008E4270">
        <w:rPr>
          <w:rFonts w:cs="Calibri"/>
        </w:rPr>
        <w:t>.</w:t>
      </w:r>
    </w:p>
    <w:p w14:paraId="38753ACF" w14:textId="77777777" w:rsidR="005B0A26" w:rsidRPr="008E4270" w:rsidRDefault="005B0A26" w:rsidP="009509EC">
      <w:pPr>
        <w:pStyle w:val="slovn-rove1-netunb"/>
        <w:numPr>
          <w:ilvl w:val="0"/>
          <w:numId w:val="0"/>
        </w:numPr>
        <w:spacing w:after="0"/>
        <w:ind w:left="425"/>
        <w:rPr>
          <w:b/>
        </w:rPr>
      </w:pPr>
      <w:r w:rsidRPr="008E4270">
        <w:rPr>
          <w:b/>
        </w:rPr>
        <w:t>Zpracování pro účely plnění zákonné povinnosti</w:t>
      </w:r>
    </w:p>
    <w:p w14:paraId="045DDADD" w14:textId="77777777" w:rsidR="005B0A26" w:rsidRPr="008E4270" w:rsidRDefault="005B0A26" w:rsidP="009509EC">
      <w:pPr>
        <w:pStyle w:val="slovn-rove1-netunb"/>
        <w:numPr>
          <w:ilvl w:val="0"/>
          <w:numId w:val="0"/>
        </w:numPr>
        <w:spacing w:before="60"/>
        <w:ind w:left="425"/>
      </w:pPr>
      <w:r w:rsidRPr="008E4270">
        <w:t xml:space="preserve">Zástupce právnické osoby, zákonný zástupce nebo jiná osoba oprávněná zastupovat pojistníka bere na vědomí, že identifikační a kontaktní údaje pojistitel dále zpracovává ke </w:t>
      </w:r>
      <w:r w:rsidRPr="008E4270">
        <w:rPr>
          <w:b/>
        </w:rPr>
        <w:t>splnění své zákonné povinnosti</w:t>
      </w:r>
      <w:r w:rsidRPr="008E4270">
        <w:t xml:space="preserve"> vyplývající zejména ze zákona upravujícího distribuci pojištění a zákona č. 69/2006 Sb., o provádění mezinárodních sankcí.</w:t>
      </w:r>
    </w:p>
    <w:p w14:paraId="2AFC369D" w14:textId="20E503DE" w:rsidR="008C3C3B" w:rsidRPr="008E4270" w:rsidRDefault="005B0A26" w:rsidP="00356A8F">
      <w:pPr>
        <w:pStyle w:val="slovn-rove1-netunb"/>
        <w:numPr>
          <w:ilvl w:val="0"/>
          <w:numId w:val="0"/>
        </w:numPr>
        <w:ind w:left="425"/>
        <w:rPr>
          <w:b/>
        </w:rPr>
      </w:pPr>
      <w:r w:rsidRPr="008E4270">
        <w:rPr>
          <w:b/>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2596C017" w14:textId="2683D7D8" w:rsidR="00FB2B5D" w:rsidRPr="008E4270" w:rsidRDefault="00FB2B5D" w:rsidP="00284F94">
      <w:pPr>
        <w:pStyle w:val="Zkladntext32"/>
        <w:numPr>
          <w:ilvl w:val="12"/>
          <w:numId w:val="0"/>
        </w:numPr>
        <w:tabs>
          <w:tab w:val="clear" w:pos="-720"/>
          <w:tab w:val="left" w:pos="-1701"/>
        </w:tabs>
        <w:spacing w:before="240" w:line="240" w:lineRule="auto"/>
        <w:jc w:val="center"/>
        <w:rPr>
          <w:rFonts w:ascii="Koop Office" w:hAnsi="Koop Office" w:cs="Arial"/>
          <w:b/>
          <w:sz w:val="24"/>
          <w:szCs w:val="24"/>
        </w:rPr>
      </w:pPr>
      <w:r w:rsidRPr="008E4270">
        <w:rPr>
          <w:rFonts w:ascii="Koop Office" w:hAnsi="Koop Office" w:cs="Arial"/>
          <w:b/>
          <w:sz w:val="24"/>
          <w:szCs w:val="24"/>
        </w:rPr>
        <w:t>Článek VII.</w:t>
      </w:r>
    </w:p>
    <w:p w14:paraId="235404C7" w14:textId="77777777" w:rsidR="00FB2B5D" w:rsidRPr="008E4270" w:rsidRDefault="00FB2B5D"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8E4270">
        <w:rPr>
          <w:rFonts w:ascii="Koop Office" w:hAnsi="Koop Office" w:cs="Arial"/>
          <w:b/>
          <w:sz w:val="24"/>
          <w:szCs w:val="24"/>
        </w:rPr>
        <w:t>Závěrečná ustanovení</w:t>
      </w:r>
    </w:p>
    <w:p w14:paraId="694818A3" w14:textId="486910DF" w:rsidR="00FB2B5D" w:rsidRPr="008E4270" w:rsidRDefault="00FB2B5D" w:rsidP="009B79FC">
      <w:pPr>
        <w:numPr>
          <w:ilvl w:val="0"/>
          <w:numId w:val="13"/>
        </w:numPr>
        <w:tabs>
          <w:tab w:val="left" w:pos="-1418"/>
        </w:tabs>
        <w:spacing w:before="120"/>
        <w:jc w:val="both"/>
        <w:rPr>
          <w:rFonts w:cs="Arial"/>
          <w:sz w:val="20"/>
        </w:rPr>
      </w:pPr>
      <w:r w:rsidRPr="008E4270">
        <w:rPr>
          <w:rFonts w:cs="Arial"/>
          <w:sz w:val="20"/>
        </w:rPr>
        <w:t xml:space="preserve">Není-li ujednáno jinak, je pojistnou dobou doba od </w:t>
      </w:r>
      <w:r w:rsidR="009B4252" w:rsidRPr="008E4270">
        <w:rPr>
          <w:rFonts w:cs="Arial"/>
          <w:b/>
          <w:sz w:val="20"/>
        </w:rPr>
        <w:t>03.06.202</w:t>
      </w:r>
      <w:r w:rsidR="008F017D" w:rsidRPr="008E4270">
        <w:rPr>
          <w:rFonts w:cs="Arial"/>
          <w:b/>
          <w:sz w:val="20"/>
        </w:rPr>
        <w:t>4</w:t>
      </w:r>
      <w:r w:rsidRPr="008E4270">
        <w:rPr>
          <w:rFonts w:cs="Arial"/>
          <w:sz w:val="20"/>
        </w:rPr>
        <w:t xml:space="preserve"> (počátek pojištění) do </w:t>
      </w:r>
      <w:r w:rsidR="004F4EF8" w:rsidRPr="008E4270">
        <w:rPr>
          <w:rFonts w:cs="Arial"/>
          <w:b/>
          <w:sz w:val="20"/>
        </w:rPr>
        <w:t>02.06.20</w:t>
      </w:r>
      <w:r w:rsidR="008F017D" w:rsidRPr="008E4270">
        <w:rPr>
          <w:rFonts w:cs="Arial"/>
          <w:b/>
          <w:sz w:val="20"/>
        </w:rPr>
        <w:t>28</w:t>
      </w:r>
      <w:r w:rsidRPr="008E4270">
        <w:rPr>
          <w:rFonts w:cs="Arial"/>
          <w:sz w:val="20"/>
        </w:rPr>
        <w:t xml:space="preserve"> (konec pojištění).</w:t>
      </w:r>
    </w:p>
    <w:p w14:paraId="06E35A80" w14:textId="5B138E95" w:rsidR="006F10B6" w:rsidRPr="008E4270" w:rsidRDefault="00F73B24" w:rsidP="008F017D">
      <w:pPr>
        <w:pStyle w:val="slovn-rove1-netunb"/>
        <w:numPr>
          <w:ilvl w:val="0"/>
          <w:numId w:val="0"/>
        </w:numPr>
        <w:spacing w:before="60" w:after="0"/>
        <w:ind w:left="425"/>
      </w:pPr>
      <w:bookmarkStart w:id="20" w:name="_Hlk35260018"/>
      <w:r w:rsidRPr="008E4270">
        <w:t>Je-li tato pojistná smlouva uzavřena po datu uvedeném jako počátek pojištění, pojištění se vztahuje i na dobu od data uvedeného jako počátek pojištění do uzavření této pojistné smlouvy; pojistitel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pojistitele na uzavření této pojistné smlouvy.</w:t>
      </w:r>
      <w:bookmarkEnd w:id="20"/>
    </w:p>
    <w:p w14:paraId="4F0B8481" w14:textId="0211FB53" w:rsidR="00FB2B5D" w:rsidRPr="008E4270" w:rsidRDefault="00FB2B5D" w:rsidP="008F017D">
      <w:pPr>
        <w:numPr>
          <w:ilvl w:val="0"/>
          <w:numId w:val="13"/>
        </w:numPr>
        <w:tabs>
          <w:tab w:val="left" w:pos="-1418"/>
        </w:tabs>
        <w:spacing w:before="60"/>
        <w:jc w:val="both"/>
        <w:rPr>
          <w:rFonts w:cs="Arial"/>
          <w:sz w:val="20"/>
        </w:rPr>
      </w:pPr>
      <w:r w:rsidRPr="008E4270">
        <w:rPr>
          <w:rFonts w:cs="Arial"/>
          <w:sz w:val="20"/>
        </w:rPr>
        <w:t>Odpověď pojistníka na návrh pojistitele na uzavření této pojistné smlouvy (dále jen „nabídka“) s dodatkem nebo odchylkou od nabídky se nepovažuje za její přijetí, a to ani v případě, že se takovou odchylkou podstatně nemění podmínky nabídky.</w:t>
      </w:r>
    </w:p>
    <w:p w14:paraId="07E717FE" w14:textId="69280B17" w:rsidR="00C41D04" w:rsidRPr="008E4270" w:rsidRDefault="00C41D04" w:rsidP="008F017D">
      <w:pPr>
        <w:pStyle w:val="slovn-rove1-netunb"/>
        <w:numPr>
          <w:ilvl w:val="0"/>
          <w:numId w:val="13"/>
        </w:numPr>
        <w:spacing w:before="60" w:after="0"/>
      </w:pPr>
      <w:r w:rsidRPr="008E4270">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403E59A8" w14:textId="1851CFCD" w:rsidR="00F73B24" w:rsidRPr="008E4270" w:rsidRDefault="00F73B24" w:rsidP="008F017D">
      <w:pPr>
        <w:pStyle w:val="slovn-rove1-netunb"/>
        <w:numPr>
          <w:ilvl w:val="0"/>
          <w:numId w:val="13"/>
        </w:numPr>
        <w:spacing w:before="60" w:after="0"/>
        <w:rPr>
          <w:b/>
          <w:bCs/>
        </w:rPr>
      </w:pPr>
      <w:bookmarkStart w:id="21" w:name="_Hlk35256917"/>
      <w:r w:rsidRPr="008E4270">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rsidRPr="008E4270">
        <w:t xml:space="preserve">ve smyslu zákona č. 297/2016 Sb., o službách vytvářejících důvěru pro elektronické transakce, </w:t>
      </w:r>
      <w:r w:rsidRPr="008E4270">
        <w:rPr>
          <w:b/>
          <w:bCs/>
        </w:rPr>
        <w:t>a nezaplatí-li jednorázové pojistné nebo běžné pojistné za první pojistné období řádně a včas, pojistná smlouva se od počátku ruší.</w:t>
      </w:r>
      <w:bookmarkEnd w:id="21"/>
    </w:p>
    <w:p w14:paraId="1D0E36F6" w14:textId="66C83D6C" w:rsidR="00DD2152" w:rsidRPr="008E4270" w:rsidRDefault="006F10B6" w:rsidP="008F017D">
      <w:pPr>
        <w:pStyle w:val="slovn-rove1-netunb"/>
        <w:numPr>
          <w:ilvl w:val="0"/>
          <w:numId w:val="13"/>
        </w:numPr>
        <w:spacing w:before="60" w:after="0"/>
        <w:rPr>
          <w:b/>
          <w:bCs/>
        </w:rPr>
      </w:pPr>
      <w:r w:rsidRPr="008E4270">
        <w:rPr>
          <w:b/>
          <w:bCs/>
        </w:rPr>
        <w:t>Ujednává se, že výpovědní lhůta pro výpověď před koncem pojistného období platí v délce 5 měsíců před koncem pojistného období.</w:t>
      </w:r>
    </w:p>
    <w:p w14:paraId="220A6D0D" w14:textId="6448807E" w:rsidR="00BB1DFA" w:rsidRPr="008E4270" w:rsidRDefault="00BB1DFA" w:rsidP="008F017D">
      <w:pPr>
        <w:numPr>
          <w:ilvl w:val="0"/>
          <w:numId w:val="13"/>
        </w:numPr>
        <w:tabs>
          <w:tab w:val="left" w:pos="-1418"/>
        </w:tabs>
        <w:spacing w:before="60"/>
        <w:jc w:val="both"/>
        <w:rPr>
          <w:rFonts w:cs="Arial"/>
          <w:sz w:val="20"/>
        </w:rPr>
      </w:pPr>
      <w:bookmarkStart w:id="22" w:name="_Ref489759092"/>
      <w:r w:rsidRPr="008E4270">
        <w:rPr>
          <w:rFonts w:cs="Arial"/>
          <w:sz w:val="20"/>
        </w:rPr>
        <w:t xml:space="preserve">Pojistník prohlašuje, že uzavřel </w:t>
      </w:r>
      <w:r w:rsidRPr="008E4270">
        <w:rPr>
          <w:sz w:val="20"/>
          <w:szCs w:val="20"/>
        </w:rPr>
        <w:t xml:space="preserve">se samostatným zprostředkovatelem </w:t>
      </w:r>
      <w:r w:rsidRPr="008E4270">
        <w:rPr>
          <w:rFonts w:cs="Arial"/>
          <w:sz w:val="20"/>
        </w:rPr>
        <w:t xml:space="preserve">smlouvu, na jejímž základě </w:t>
      </w:r>
      <w:r w:rsidRPr="008E4270">
        <w:rPr>
          <w:sz w:val="20"/>
          <w:szCs w:val="20"/>
        </w:rPr>
        <w:t xml:space="preserve">samostatný zprostředkovatel v postavení pojišťovacího makléře zprostředkovává pojištění pro pojistníka, </w:t>
      </w:r>
      <w:r w:rsidRPr="008E4270">
        <w:rPr>
          <w:rFonts w:cs="Arial"/>
          <w:sz w:val="20"/>
        </w:rPr>
        <w:t xml:space="preserve">a to v rozsahu této pojistné smlouvy. Smluvní strany se dohodly, že veškeré písemnosti mající vztah k pojištění sjednanému touto pojistnou smlouvou </w:t>
      </w:r>
      <w:r w:rsidRPr="008E4270">
        <w:rPr>
          <w:sz w:val="20"/>
          <w:szCs w:val="20"/>
        </w:rPr>
        <w:t xml:space="preserve">(s výjimkou písemností směřujících k ukončení pojištění ze strany pojistitele zasílaných pojistitelem s dodejkou, které budou zasílány na korespondenční adresu pojistníka) </w:t>
      </w:r>
      <w:r w:rsidRPr="008E4270">
        <w:rPr>
          <w:rFonts w:cs="Arial"/>
          <w:sz w:val="20"/>
        </w:rPr>
        <w:t xml:space="preserve">doručované pojistitelem pojistníkovi nebo pojištěnému se považují za doručené pojistníkovi nebo pojištěnému doručením </w:t>
      </w:r>
      <w:r w:rsidRPr="008E4270">
        <w:rPr>
          <w:sz w:val="20"/>
          <w:szCs w:val="20"/>
        </w:rPr>
        <w:t xml:space="preserve">samostatnému </w:t>
      </w:r>
      <w:r w:rsidRPr="008E4270">
        <w:rPr>
          <w:sz w:val="20"/>
          <w:szCs w:val="20"/>
        </w:rPr>
        <w:lastRenderedPageBreak/>
        <w:t>zprostředkovateli v postavení pojišťovacího makléře</w:t>
      </w:r>
      <w:r w:rsidRPr="008E4270">
        <w:rPr>
          <w:rFonts w:cs="Arial"/>
          <w:sz w:val="20"/>
        </w:rPr>
        <w:t xml:space="preserve">. Odchylně od čl. 18 VPP P-100/14 se pro tento případ „adresátem“ rozumí </w:t>
      </w:r>
      <w:r w:rsidRPr="008E4270">
        <w:rPr>
          <w:sz w:val="20"/>
          <w:szCs w:val="20"/>
        </w:rPr>
        <w:t>samostatný zprostředkovatel v postavení pojišťovacího makléře</w:t>
      </w:r>
      <w:r w:rsidRPr="008E4270">
        <w:rPr>
          <w:rFonts w:cs="Arial"/>
          <w:sz w:val="20"/>
        </w:rPr>
        <w:t xml:space="preserve">. Dále se smluvní strany dohodly, že veškeré písemnosti mající vztah k pojištění sjednanému touto pojistnou smlouvou doručované </w:t>
      </w:r>
      <w:r w:rsidRPr="008E4270">
        <w:rPr>
          <w:sz w:val="20"/>
          <w:szCs w:val="20"/>
        </w:rPr>
        <w:t xml:space="preserve">samostatným zprostředkovatelem v postavení pojišťovacího makléře </w:t>
      </w:r>
      <w:r w:rsidRPr="008E4270">
        <w:rPr>
          <w:rFonts w:cs="Arial"/>
          <w:sz w:val="20"/>
        </w:rPr>
        <w:t>za pojistníka nebo pojištěného pojistiteli se považují za doručené pojistiteli od pojistníka nebo pojištěného, a to doručením pojistiteli.</w:t>
      </w:r>
    </w:p>
    <w:p w14:paraId="27E00CA0" w14:textId="4FE34C8C" w:rsidR="00A1635E" w:rsidRPr="008E4270" w:rsidRDefault="001548F4" w:rsidP="00DD2152">
      <w:pPr>
        <w:tabs>
          <w:tab w:val="left" w:pos="-1418"/>
        </w:tabs>
        <w:ind w:left="425"/>
        <w:jc w:val="both"/>
        <w:rPr>
          <w:rFonts w:cs="Arial"/>
          <w:sz w:val="20"/>
        </w:rPr>
      </w:pPr>
      <w:r w:rsidRPr="008E4270">
        <w:rPr>
          <w:rFonts w:cs="Arial"/>
          <w:sz w:val="20"/>
        </w:rPr>
        <w:t>Pojistník pověřuje výhradně pojišťovací makléřskou společnost HV Group, s.r.o. se sídlem Jindřich</w:t>
      </w:r>
      <w:r w:rsidR="001C6E44">
        <w:rPr>
          <w:rFonts w:cs="Arial"/>
          <w:sz w:val="20"/>
        </w:rPr>
        <w:t>a</w:t>
      </w:r>
      <w:r w:rsidR="0083715A" w:rsidRPr="008E4270">
        <w:rPr>
          <w:rFonts w:cs="Arial"/>
          <w:sz w:val="20"/>
        </w:rPr>
        <w:t xml:space="preserve">          </w:t>
      </w:r>
      <w:r w:rsidRPr="008E4270">
        <w:rPr>
          <w:rFonts w:cs="Arial"/>
          <w:sz w:val="20"/>
        </w:rPr>
        <w:t>Plachty 3163/28, Praha 5, Smíchov, PSČ 150 00</w:t>
      </w:r>
      <w:r w:rsidR="00AC2EB3" w:rsidRPr="008E4270">
        <w:rPr>
          <w:rFonts w:cs="Arial"/>
          <w:sz w:val="20"/>
        </w:rPr>
        <w:t xml:space="preserve"> (dále jen „</w:t>
      </w:r>
      <w:r w:rsidR="00EE770F" w:rsidRPr="008E4270">
        <w:rPr>
          <w:rFonts w:cs="Arial"/>
          <w:sz w:val="20"/>
        </w:rPr>
        <w:t xml:space="preserve">samostatný zprostředkovatel v postavení </w:t>
      </w:r>
      <w:r w:rsidR="006130F1" w:rsidRPr="008E4270">
        <w:rPr>
          <w:rFonts w:cs="Arial"/>
          <w:sz w:val="20"/>
        </w:rPr>
        <w:t xml:space="preserve">pojišťovacího </w:t>
      </w:r>
      <w:r w:rsidR="001F17EC" w:rsidRPr="008E4270">
        <w:rPr>
          <w:rFonts w:cs="Arial"/>
          <w:sz w:val="20"/>
        </w:rPr>
        <w:t>makléř</w:t>
      </w:r>
      <w:r w:rsidR="006130F1" w:rsidRPr="008E4270">
        <w:rPr>
          <w:rFonts w:cs="Arial"/>
          <w:sz w:val="20"/>
        </w:rPr>
        <w:t>e</w:t>
      </w:r>
      <w:r w:rsidR="001F17EC" w:rsidRPr="008E4270">
        <w:rPr>
          <w:rFonts w:cs="Arial"/>
          <w:sz w:val="20"/>
        </w:rPr>
        <w:t>“)</w:t>
      </w:r>
      <w:r w:rsidRPr="008E4270">
        <w:rPr>
          <w:rFonts w:cs="Arial"/>
          <w:sz w:val="20"/>
        </w:rPr>
        <w:t>, vedením (řízením) a zpracováním jeho pojistného zájmu. Veškerý styk, který se bude týkat této pojistné smlouvy, včetně hlášení pojistných událostí, bude prováděn výhradně prostřednictvím samostatného zprostředkovatele v postavení pojišťovacího makléře.</w:t>
      </w:r>
    </w:p>
    <w:p w14:paraId="2D8C2853" w14:textId="550774F3" w:rsidR="00A1635E" w:rsidRPr="008E4270" w:rsidRDefault="00A1635E" w:rsidP="008F017D">
      <w:pPr>
        <w:numPr>
          <w:ilvl w:val="0"/>
          <w:numId w:val="13"/>
        </w:numPr>
        <w:tabs>
          <w:tab w:val="left" w:pos="-1418"/>
        </w:tabs>
        <w:spacing w:before="60"/>
        <w:jc w:val="both"/>
        <w:rPr>
          <w:rFonts w:cs="Arial"/>
          <w:sz w:val="20"/>
        </w:rPr>
      </w:pPr>
      <w:r w:rsidRPr="008E4270">
        <w:rPr>
          <w:sz w:val="20"/>
          <w:szCs w:val="20"/>
        </w:rPr>
        <w:t>Pojistník i pojistitel a samostatný zprostředkovatel v postavení pojišťovacího makléře</w:t>
      </w:r>
      <w:r w:rsidRPr="008E4270">
        <w:rPr>
          <w:b/>
          <w:sz w:val="20"/>
          <w:szCs w:val="20"/>
        </w:rPr>
        <w:t xml:space="preserve"> </w:t>
      </w:r>
      <w:r w:rsidRPr="008E4270">
        <w:rPr>
          <w:sz w:val="20"/>
          <w:szCs w:val="20"/>
        </w:rPr>
        <w:t>obdrží originál této pojistné smlouvy.</w:t>
      </w:r>
      <w:r w:rsidR="001D7F7A" w:rsidRPr="008E4270">
        <w:rPr>
          <w:rFonts w:cs="Arial"/>
          <w:sz w:val="20"/>
        </w:rPr>
        <w:t xml:space="preserve"> </w:t>
      </w:r>
      <w:r w:rsidRPr="008E4270">
        <w:rPr>
          <w:rFonts w:cs="Arial"/>
          <w:sz w:val="20"/>
        </w:rPr>
        <w:t xml:space="preserve">Je-li pojistná smlouva vyhotovena v listinné podobě, pak pojistník obdrží </w:t>
      </w:r>
      <w:r w:rsidR="004F557E" w:rsidRPr="008E4270">
        <w:rPr>
          <w:rFonts w:cs="Arial"/>
          <w:sz w:val="20"/>
        </w:rPr>
        <w:t>d</w:t>
      </w:r>
      <w:r w:rsidR="00D63A41" w:rsidRPr="008E4270">
        <w:rPr>
          <w:rFonts w:cs="Arial"/>
          <w:sz w:val="20"/>
        </w:rPr>
        <w:t>va</w:t>
      </w:r>
      <w:r w:rsidRPr="008E4270">
        <w:rPr>
          <w:rFonts w:cs="Arial"/>
          <w:sz w:val="20"/>
        </w:rPr>
        <w:t xml:space="preserve"> stejnopis</w:t>
      </w:r>
      <w:r w:rsidR="00D63A41" w:rsidRPr="008E4270">
        <w:rPr>
          <w:rFonts w:cs="Arial"/>
          <w:sz w:val="20"/>
        </w:rPr>
        <w:t>y</w:t>
      </w:r>
      <w:r w:rsidRPr="008E4270">
        <w:rPr>
          <w:rFonts w:cs="Arial"/>
          <w:sz w:val="20"/>
        </w:rPr>
        <w:t>, pojistitel obdrží dva stejnopisy a samostatný zprostředkovatel v postavení pojišťovacího makléře obdrží jeden stejnopis.</w:t>
      </w:r>
    </w:p>
    <w:p w14:paraId="419569C1" w14:textId="70702AD7" w:rsidR="00AF2D81" w:rsidRPr="004C0CEE" w:rsidRDefault="00AF2D81" w:rsidP="00AF2D81">
      <w:pPr>
        <w:numPr>
          <w:ilvl w:val="0"/>
          <w:numId w:val="13"/>
        </w:numPr>
        <w:spacing w:before="60"/>
        <w:jc w:val="both"/>
        <w:rPr>
          <w:rFonts w:cs="Arial"/>
          <w:sz w:val="20"/>
        </w:rPr>
      </w:pPr>
      <w:r w:rsidRPr="004C0CEE">
        <w:rPr>
          <w:sz w:val="20"/>
          <w:szCs w:val="20"/>
        </w:rPr>
        <w:t xml:space="preserve">Uzavření </w:t>
      </w:r>
      <w:r w:rsidR="000D3647">
        <w:rPr>
          <w:sz w:val="20"/>
          <w:szCs w:val="20"/>
        </w:rPr>
        <w:t>této pojistné smlouvy</w:t>
      </w:r>
      <w:r w:rsidRPr="004C0CEE">
        <w:rPr>
          <w:sz w:val="20"/>
          <w:szCs w:val="20"/>
        </w:rPr>
        <w:t xml:space="preserve"> bylo schváleno </w:t>
      </w:r>
      <w:r w:rsidR="000D3647">
        <w:rPr>
          <w:sz w:val="20"/>
          <w:szCs w:val="20"/>
        </w:rPr>
        <w:t xml:space="preserve">usnesením č. 314/24 přijatém </w:t>
      </w:r>
      <w:r w:rsidRPr="004C0CEE">
        <w:rPr>
          <w:sz w:val="20"/>
          <w:szCs w:val="20"/>
        </w:rPr>
        <w:t xml:space="preserve">na </w:t>
      </w:r>
      <w:r w:rsidR="000D3647">
        <w:rPr>
          <w:sz w:val="20"/>
          <w:szCs w:val="20"/>
        </w:rPr>
        <w:t>41</w:t>
      </w:r>
      <w:r w:rsidRPr="004C0CEE">
        <w:rPr>
          <w:sz w:val="20"/>
          <w:szCs w:val="20"/>
        </w:rPr>
        <w:t>. schůzi Rady města Rakovníka</w:t>
      </w:r>
      <w:r w:rsidR="00F70788">
        <w:rPr>
          <w:sz w:val="20"/>
          <w:szCs w:val="20"/>
        </w:rPr>
        <w:t>, která se konala dne 07.05.2024.</w:t>
      </w:r>
    </w:p>
    <w:p w14:paraId="402207B9" w14:textId="1A885E79" w:rsidR="00DD1C54" w:rsidRPr="008E4270" w:rsidRDefault="00FB2B5D" w:rsidP="008F017D">
      <w:pPr>
        <w:numPr>
          <w:ilvl w:val="0"/>
          <w:numId w:val="13"/>
        </w:numPr>
        <w:tabs>
          <w:tab w:val="left" w:pos="-1418"/>
        </w:tabs>
        <w:spacing w:before="60"/>
        <w:jc w:val="both"/>
        <w:rPr>
          <w:rFonts w:cs="Arial"/>
          <w:sz w:val="20"/>
        </w:rPr>
      </w:pPr>
      <w:r w:rsidRPr="008E4270">
        <w:rPr>
          <w:rFonts w:cs="Arial"/>
          <w:sz w:val="20"/>
        </w:rPr>
        <w:t xml:space="preserve">Tato pojistná smlouva obsahuje </w:t>
      </w:r>
      <w:r w:rsidR="00DD2152" w:rsidRPr="008E4270">
        <w:rPr>
          <w:rFonts w:cs="Arial"/>
          <w:sz w:val="20"/>
        </w:rPr>
        <w:t>21</w:t>
      </w:r>
      <w:r w:rsidR="00E3279F" w:rsidRPr="008E4270">
        <w:rPr>
          <w:rFonts w:cs="Arial"/>
          <w:sz w:val="20"/>
        </w:rPr>
        <w:t xml:space="preserve"> </w:t>
      </w:r>
      <w:r w:rsidRPr="008E4270">
        <w:rPr>
          <w:rFonts w:cs="Arial"/>
          <w:sz w:val="20"/>
        </w:rPr>
        <w:t>stran</w:t>
      </w:r>
      <w:bookmarkEnd w:id="22"/>
      <w:r w:rsidRPr="008E4270">
        <w:rPr>
          <w:rFonts w:cs="Arial"/>
          <w:sz w:val="20"/>
        </w:rPr>
        <w:t xml:space="preserve"> a </w:t>
      </w:r>
      <w:r w:rsidR="00A73E57" w:rsidRPr="008E4270">
        <w:rPr>
          <w:rFonts w:cs="Arial"/>
          <w:sz w:val="20"/>
        </w:rPr>
        <w:t>5</w:t>
      </w:r>
      <w:r w:rsidRPr="008E4270">
        <w:rPr>
          <w:rFonts w:cs="Arial"/>
          <w:sz w:val="20"/>
        </w:rPr>
        <w:t xml:space="preserve"> příloh. Její součástí jsou pojistné podmínky pojistitele uvedené v čl. I. této pojistné</w:t>
      </w:r>
      <w:r w:rsidR="002F4383" w:rsidRPr="008E4270">
        <w:rPr>
          <w:rFonts w:cs="Arial"/>
          <w:sz w:val="20"/>
        </w:rPr>
        <w:t xml:space="preserve"> smlouvy</w:t>
      </w:r>
      <w:r w:rsidRPr="008E4270">
        <w:rPr>
          <w:rFonts w:cs="Arial"/>
          <w:sz w:val="20"/>
        </w:rPr>
        <w:t>.</w:t>
      </w:r>
    </w:p>
    <w:p w14:paraId="63A65B11" w14:textId="42FD227A" w:rsidR="00DD1C54" w:rsidRPr="008E4270" w:rsidRDefault="00DD1C54" w:rsidP="001D0288">
      <w:pPr>
        <w:suppressAutoHyphens/>
        <w:spacing w:before="120"/>
        <w:ind w:left="426"/>
        <w:jc w:val="both"/>
        <w:rPr>
          <w:rFonts w:cs="Arial"/>
          <w:sz w:val="20"/>
          <w:szCs w:val="20"/>
        </w:rPr>
      </w:pPr>
      <w:r w:rsidRPr="008E4270">
        <w:rPr>
          <w:rFonts w:cs="Arial"/>
          <w:iCs/>
          <w:sz w:val="20"/>
          <w:szCs w:val="20"/>
        </w:rPr>
        <w:t>V</w:t>
      </w:r>
      <w:r w:rsidRPr="008E4270">
        <w:rPr>
          <w:rFonts w:cs="Arial"/>
          <w:sz w:val="20"/>
          <w:szCs w:val="20"/>
        </w:rPr>
        <w:t>ýčet příloh:</w:t>
      </w:r>
    </w:p>
    <w:p w14:paraId="00009264" w14:textId="1C604128" w:rsidR="00DD1C54" w:rsidRPr="008E4270" w:rsidRDefault="00A372B3" w:rsidP="000841A4">
      <w:pPr>
        <w:tabs>
          <w:tab w:val="num" w:pos="644"/>
        </w:tabs>
        <w:suppressAutoHyphens/>
        <w:ind w:left="426"/>
        <w:jc w:val="both"/>
        <w:rPr>
          <w:rFonts w:cs="Arial"/>
          <w:sz w:val="20"/>
          <w:szCs w:val="20"/>
          <w:highlight w:val="yellow"/>
        </w:rPr>
      </w:pPr>
      <w:r w:rsidRPr="008E4270">
        <w:rPr>
          <w:rFonts w:cs="Arial"/>
          <w:sz w:val="20"/>
          <w:szCs w:val="20"/>
        </w:rPr>
        <w:t>P</w:t>
      </w:r>
      <w:r w:rsidR="00DD1C54" w:rsidRPr="008E4270">
        <w:rPr>
          <w:rFonts w:cs="Arial"/>
          <w:sz w:val="20"/>
          <w:szCs w:val="20"/>
        </w:rPr>
        <w:t xml:space="preserve">říloha </w:t>
      </w:r>
      <w:r w:rsidR="001D0288" w:rsidRPr="008E4270">
        <w:rPr>
          <w:rFonts w:cs="Arial"/>
          <w:sz w:val="20"/>
          <w:szCs w:val="20"/>
        </w:rPr>
        <w:t>č.</w:t>
      </w:r>
      <w:r w:rsidR="00DD1C54" w:rsidRPr="008E4270">
        <w:rPr>
          <w:rFonts w:cs="Arial"/>
          <w:sz w:val="20"/>
          <w:szCs w:val="20"/>
        </w:rPr>
        <w:t xml:space="preserve"> 1 </w:t>
      </w:r>
      <w:r w:rsidRPr="008E4270">
        <w:rPr>
          <w:rFonts w:cs="Arial"/>
          <w:sz w:val="20"/>
          <w:szCs w:val="20"/>
        </w:rPr>
        <w:t>-</w:t>
      </w:r>
      <w:r w:rsidR="00DD1C54" w:rsidRPr="008E4270">
        <w:rPr>
          <w:rFonts w:cs="Arial"/>
          <w:sz w:val="20"/>
          <w:szCs w:val="20"/>
        </w:rPr>
        <w:t xml:space="preserve"> </w:t>
      </w:r>
      <w:r w:rsidRPr="008E4270">
        <w:rPr>
          <w:rFonts w:cs="Arial"/>
          <w:sz w:val="20"/>
          <w:szCs w:val="20"/>
        </w:rPr>
        <w:t xml:space="preserve">Seznam </w:t>
      </w:r>
      <w:r w:rsidR="00C16AB4" w:rsidRPr="008E4270">
        <w:rPr>
          <w:rFonts w:cs="Arial"/>
          <w:sz w:val="20"/>
          <w:szCs w:val="20"/>
        </w:rPr>
        <w:t>nemovitostí</w:t>
      </w:r>
      <w:r w:rsidR="00BB023B" w:rsidRPr="008E4270">
        <w:rPr>
          <w:rFonts w:cs="Arial"/>
          <w:sz w:val="20"/>
          <w:szCs w:val="20"/>
        </w:rPr>
        <w:t xml:space="preserve"> (příloha č. </w:t>
      </w:r>
      <w:r w:rsidR="004E740E" w:rsidRPr="008E4270">
        <w:rPr>
          <w:rFonts w:cs="Arial"/>
          <w:sz w:val="20"/>
          <w:szCs w:val="20"/>
        </w:rPr>
        <w:t>6</w:t>
      </w:r>
      <w:r w:rsidR="00BB023B" w:rsidRPr="008E4270">
        <w:rPr>
          <w:rFonts w:cs="Arial"/>
          <w:sz w:val="20"/>
          <w:szCs w:val="20"/>
        </w:rPr>
        <w:t xml:space="preserve"> ZD)</w:t>
      </w:r>
    </w:p>
    <w:p w14:paraId="37EADF95" w14:textId="33B06410" w:rsidR="00BB023B" w:rsidRPr="008E4270" w:rsidRDefault="00A372B3" w:rsidP="000841A4">
      <w:pPr>
        <w:tabs>
          <w:tab w:val="left" w:pos="2977"/>
        </w:tabs>
        <w:ind w:left="426"/>
        <w:jc w:val="both"/>
        <w:rPr>
          <w:sz w:val="20"/>
          <w:szCs w:val="20"/>
        </w:rPr>
      </w:pPr>
      <w:r w:rsidRPr="008E4270">
        <w:rPr>
          <w:rFonts w:cs="Arial"/>
          <w:sz w:val="20"/>
          <w:szCs w:val="20"/>
        </w:rPr>
        <w:t>P</w:t>
      </w:r>
      <w:r w:rsidR="00DD1C54" w:rsidRPr="008E4270">
        <w:rPr>
          <w:rFonts w:cs="Arial"/>
          <w:sz w:val="20"/>
          <w:szCs w:val="20"/>
        </w:rPr>
        <w:t>říloha</w:t>
      </w:r>
      <w:r w:rsidR="001D0288" w:rsidRPr="008E4270">
        <w:rPr>
          <w:rFonts w:cs="Arial"/>
          <w:sz w:val="20"/>
          <w:szCs w:val="20"/>
        </w:rPr>
        <w:t xml:space="preserve"> č.</w:t>
      </w:r>
      <w:r w:rsidR="00DD1C54" w:rsidRPr="008E4270">
        <w:rPr>
          <w:rFonts w:cs="Arial"/>
          <w:sz w:val="20"/>
          <w:szCs w:val="20"/>
        </w:rPr>
        <w:t xml:space="preserve"> 2 </w:t>
      </w:r>
      <w:r w:rsidR="001D0288" w:rsidRPr="008E4270">
        <w:rPr>
          <w:rFonts w:cs="Arial"/>
          <w:sz w:val="20"/>
          <w:szCs w:val="20"/>
        </w:rPr>
        <w:t>-</w:t>
      </w:r>
      <w:r w:rsidR="00DD1C54" w:rsidRPr="008E4270">
        <w:rPr>
          <w:rFonts w:cs="Arial"/>
          <w:sz w:val="20"/>
          <w:szCs w:val="20"/>
        </w:rPr>
        <w:t xml:space="preserve"> </w:t>
      </w:r>
      <w:r w:rsidR="00BB023B" w:rsidRPr="008E4270">
        <w:rPr>
          <w:sz w:val="20"/>
          <w:szCs w:val="20"/>
        </w:rPr>
        <w:t xml:space="preserve">seznam věcí umělecké, historické a sběratelské hodnoty (příloha č. </w:t>
      </w:r>
      <w:r w:rsidR="00EB3B73" w:rsidRPr="008E4270">
        <w:rPr>
          <w:sz w:val="20"/>
          <w:szCs w:val="20"/>
        </w:rPr>
        <w:t>7</w:t>
      </w:r>
      <w:r w:rsidR="00BB023B" w:rsidRPr="008E4270">
        <w:rPr>
          <w:sz w:val="20"/>
          <w:szCs w:val="20"/>
        </w:rPr>
        <w:t xml:space="preserve"> ZD)</w:t>
      </w:r>
    </w:p>
    <w:p w14:paraId="1178196A" w14:textId="1D5F4AB9" w:rsidR="00BB023B" w:rsidRPr="008E4270" w:rsidRDefault="00BB023B" w:rsidP="000841A4">
      <w:pPr>
        <w:tabs>
          <w:tab w:val="num" w:pos="644"/>
        </w:tabs>
        <w:suppressAutoHyphens/>
        <w:ind w:left="426"/>
        <w:jc w:val="both"/>
        <w:rPr>
          <w:sz w:val="20"/>
          <w:szCs w:val="20"/>
        </w:rPr>
      </w:pPr>
      <w:r w:rsidRPr="008E4270">
        <w:rPr>
          <w:rFonts w:cs="Arial"/>
          <w:sz w:val="20"/>
          <w:szCs w:val="20"/>
        </w:rPr>
        <w:t>P</w:t>
      </w:r>
      <w:r w:rsidR="00DD1C54" w:rsidRPr="008E4270">
        <w:rPr>
          <w:rFonts w:cs="Arial"/>
          <w:sz w:val="20"/>
          <w:szCs w:val="20"/>
        </w:rPr>
        <w:t xml:space="preserve">říloha </w:t>
      </w:r>
      <w:r w:rsidR="001D0288" w:rsidRPr="008E4270">
        <w:rPr>
          <w:rFonts w:cs="Arial"/>
          <w:sz w:val="20"/>
          <w:szCs w:val="20"/>
        </w:rPr>
        <w:t>č.</w:t>
      </w:r>
      <w:r w:rsidR="00DD1C54" w:rsidRPr="008E4270">
        <w:rPr>
          <w:rFonts w:cs="Arial"/>
          <w:sz w:val="20"/>
          <w:szCs w:val="20"/>
        </w:rPr>
        <w:t xml:space="preserve"> 3 </w:t>
      </w:r>
      <w:r w:rsidR="00A372B3" w:rsidRPr="008E4270">
        <w:rPr>
          <w:rFonts w:cs="Arial"/>
          <w:sz w:val="20"/>
          <w:szCs w:val="20"/>
        </w:rPr>
        <w:t>-</w:t>
      </w:r>
      <w:r w:rsidR="00DD1C54" w:rsidRPr="008E4270">
        <w:rPr>
          <w:rFonts w:cs="Arial"/>
          <w:sz w:val="20"/>
          <w:szCs w:val="20"/>
        </w:rPr>
        <w:t xml:space="preserve"> </w:t>
      </w:r>
      <w:r w:rsidRPr="008E4270">
        <w:rPr>
          <w:sz w:val="20"/>
          <w:szCs w:val="20"/>
        </w:rPr>
        <w:t xml:space="preserve">seznam věcí umělecké, historické a sběratelské hodnoty (příloha č. </w:t>
      </w:r>
      <w:r w:rsidR="00EB3B73" w:rsidRPr="008E4270">
        <w:rPr>
          <w:sz w:val="20"/>
          <w:szCs w:val="20"/>
        </w:rPr>
        <w:t>9</w:t>
      </w:r>
      <w:r w:rsidRPr="008E4270">
        <w:rPr>
          <w:sz w:val="20"/>
          <w:szCs w:val="20"/>
        </w:rPr>
        <w:t xml:space="preserve"> ZD)</w:t>
      </w:r>
    </w:p>
    <w:p w14:paraId="5CA597A4" w14:textId="1ADB0405" w:rsidR="00DD1C54" w:rsidRPr="008E4270" w:rsidRDefault="00BB023B" w:rsidP="000841A4">
      <w:pPr>
        <w:tabs>
          <w:tab w:val="left" w:pos="2977"/>
        </w:tabs>
        <w:ind w:left="426"/>
        <w:jc w:val="both"/>
        <w:rPr>
          <w:rFonts w:cs="Arial"/>
          <w:bCs/>
          <w:sz w:val="20"/>
        </w:rPr>
      </w:pPr>
      <w:r w:rsidRPr="008E4270">
        <w:rPr>
          <w:rFonts w:cs="Arial"/>
          <w:spacing w:val="-2"/>
          <w:sz w:val="20"/>
          <w:szCs w:val="20"/>
        </w:rPr>
        <w:t>P</w:t>
      </w:r>
      <w:r w:rsidR="00DD1C54" w:rsidRPr="008E4270">
        <w:rPr>
          <w:rFonts w:cs="Arial"/>
          <w:spacing w:val="-2"/>
          <w:sz w:val="20"/>
          <w:szCs w:val="20"/>
        </w:rPr>
        <w:t xml:space="preserve">říloha </w:t>
      </w:r>
      <w:r w:rsidR="001D0288" w:rsidRPr="008E4270">
        <w:rPr>
          <w:rFonts w:cs="Arial"/>
          <w:spacing w:val="-2"/>
          <w:sz w:val="20"/>
          <w:szCs w:val="20"/>
        </w:rPr>
        <w:t>č.</w:t>
      </w:r>
      <w:r w:rsidR="00DD1C54" w:rsidRPr="008E4270">
        <w:rPr>
          <w:rFonts w:cs="Arial"/>
          <w:spacing w:val="-2"/>
          <w:sz w:val="20"/>
          <w:szCs w:val="20"/>
        </w:rPr>
        <w:t xml:space="preserve"> </w:t>
      </w:r>
      <w:r w:rsidR="00A372B3" w:rsidRPr="008E4270">
        <w:rPr>
          <w:rFonts w:cs="Arial"/>
          <w:spacing w:val="-2"/>
          <w:sz w:val="20"/>
          <w:szCs w:val="20"/>
        </w:rPr>
        <w:t>4</w:t>
      </w:r>
      <w:r w:rsidR="00DD1C54" w:rsidRPr="008E4270">
        <w:rPr>
          <w:rFonts w:cs="Arial"/>
          <w:spacing w:val="-2"/>
          <w:sz w:val="20"/>
          <w:szCs w:val="20"/>
        </w:rPr>
        <w:t xml:space="preserve"> </w:t>
      </w:r>
      <w:r w:rsidR="001D0288" w:rsidRPr="008E4270">
        <w:rPr>
          <w:rFonts w:cs="Arial"/>
          <w:spacing w:val="-2"/>
          <w:sz w:val="20"/>
          <w:szCs w:val="20"/>
        </w:rPr>
        <w:t xml:space="preserve">- </w:t>
      </w:r>
      <w:r w:rsidRPr="008E4270">
        <w:rPr>
          <w:rFonts w:cs="Arial"/>
          <w:bCs/>
          <w:sz w:val="20"/>
        </w:rPr>
        <w:t>seznam soch, památníků, pamětních desek</w:t>
      </w:r>
      <w:r w:rsidR="00C16AB4" w:rsidRPr="008E4270">
        <w:rPr>
          <w:rFonts w:cs="Arial"/>
          <w:bCs/>
          <w:sz w:val="20"/>
        </w:rPr>
        <w:t xml:space="preserve"> </w:t>
      </w:r>
      <w:r w:rsidRPr="008E4270">
        <w:rPr>
          <w:rFonts w:cs="Arial"/>
          <w:bCs/>
          <w:sz w:val="20"/>
        </w:rPr>
        <w:t xml:space="preserve">(příloha č. </w:t>
      </w:r>
      <w:r w:rsidR="00EB3B73" w:rsidRPr="008E4270">
        <w:rPr>
          <w:rFonts w:cs="Arial"/>
          <w:bCs/>
          <w:sz w:val="20"/>
        </w:rPr>
        <w:t>8</w:t>
      </w:r>
      <w:r w:rsidRPr="008E4270">
        <w:rPr>
          <w:rFonts w:cs="Arial"/>
          <w:bCs/>
          <w:sz w:val="20"/>
        </w:rPr>
        <w:t xml:space="preserve"> ZD)</w:t>
      </w:r>
    </w:p>
    <w:p w14:paraId="57B7583A" w14:textId="5F360291" w:rsidR="00DD1C54" w:rsidRPr="008E4270" w:rsidRDefault="00BB023B" w:rsidP="000841A4">
      <w:pPr>
        <w:tabs>
          <w:tab w:val="num" w:pos="644"/>
        </w:tabs>
        <w:suppressAutoHyphens/>
        <w:ind w:left="426"/>
        <w:jc w:val="both"/>
        <w:rPr>
          <w:rFonts w:cs="Arial"/>
          <w:spacing w:val="-2"/>
          <w:sz w:val="20"/>
          <w:szCs w:val="20"/>
        </w:rPr>
      </w:pPr>
      <w:r w:rsidRPr="008E4270">
        <w:rPr>
          <w:rFonts w:cs="Arial"/>
          <w:spacing w:val="-2"/>
          <w:sz w:val="20"/>
          <w:szCs w:val="20"/>
        </w:rPr>
        <w:t xml:space="preserve">Příloha č. 5 - Specifikace lesních porostů (příloha č. </w:t>
      </w:r>
      <w:r w:rsidR="00EB3B73" w:rsidRPr="008E4270">
        <w:rPr>
          <w:rFonts w:cs="Arial"/>
          <w:spacing w:val="-2"/>
          <w:sz w:val="20"/>
          <w:szCs w:val="20"/>
        </w:rPr>
        <w:t>10</w:t>
      </w:r>
      <w:r w:rsidRPr="008E4270">
        <w:rPr>
          <w:rFonts w:cs="Arial"/>
          <w:spacing w:val="-2"/>
          <w:sz w:val="20"/>
          <w:szCs w:val="20"/>
        </w:rPr>
        <w:t xml:space="preserve"> ZD)</w:t>
      </w:r>
    </w:p>
    <w:p w14:paraId="375692C9" w14:textId="3F7B7276" w:rsidR="0035759A" w:rsidRPr="008E4270" w:rsidRDefault="0035759A" w:rsidP="001D0288">
      <w:pPr>
        <w:tabs>
          <w:tab w:val="num" w:pos="644"/>
        </w:tabs>
        <w:suppressAutoHyphens/>
        <w:ind w:left="426"/>
        <w:jc w:val="both"/>
        <w:rPr>
          <w:rFonts w:cs="Arial"/>
          <w:spacing w:val="-2"/>
          <w:sz w:val="20"/>
          <w:szCs w:val="20"/>
        </w:rPr>
      </w:pPr>
      <w:r w:rsidRPr="008E4270">
        <w:rPr>
          <w:rFonts w:cs="Arial"/>
          <w:spacing w:val="-2"/>
          <w:sz w:val="20"/>
          <w:szCs w:val="20"/>
        </w:rPr>
        <w:t xml:space="preserve"> </w:t>
      </w:r>
    </w:p>
    <w:p w14:paraId="5CC0E720" w14:textId="4F922DAE" w:rsidR="00BB023B" w:rsidRPr="008E4270" w:rsidRDefault="00BB023B" w:rsidP="00FA7208">
      <w:pPr>
        <w:tabs>
          <w:tab w:val="num" w:pos="644"/>
        </w:tabs>
        <w:suppressAutoHyphens/>
        <w:ind w:left="567" w:hanging="141"/>
        <w:jc w:val="both"/>
        <w:rPr>
          <w:rFonts w:cs="Arial"/>
          <w:spacing w:val="-2"/>
          <w:sz w:val="20"/>
          <w:szCs w:val="20"/>
        </w:rPr>
      </w:pPr>
    </w:p>
    <w:p w14:paraId="4D5E8450" w14:textId="08933E07" w:rsidR="000A6602" w:rsidRPr="008E4270" w:rsidRDefault="001D0288" w:rsidP="00DD2152">
      <w:pPr>
        <w:tabs>
          <w:tab w:val="num" w:pos="644"/>
        </w:tabs>
        <w:suppressAutoHyphens/>
        <w:ind w:left="426"/>
        <w:jc w:val="both"/>
        <w:rPr>
          <w:rFonts w:cs="Arial"/>
          <w:sz w:val="20"/>
          <w:szCs w:val="20"/>
        </w:rPr>
      </w:pPr>
      <w:r w:rsidRPr="008E4270">
        <w:rPr>
          <w:rFonts w:cs="Arial"/>
          <w:spacing w:val="-2"/>
          <w:sz w:val="20"/>
          <w:szCs w:val="20"/>
        </w:rPr>
        <w:t xml:space="preserve"> </w:t>
      </w:r>
    </w:p>
    <w:p w14:paraId="081560C1" w14:textId="6FFCB952" w:rsidR="00425877" w:rsidRPr="008E4270" w:rsidRDefault="000A5581" w:rsidP="00C56662">
      <w:pPr>
        <w:keepNext/>
        <w:tabs>
          <w:tab w:val="left" w:pos="-1418"/>
          <w:tab w:val="left" w:pos="2835"/>
        </w:tabs>
        <w:jc w:val="both"/>
        <w:rPr>
          <w:rFonts w:cs="Arial"/>
          <w:sz w:val="20"/>
        </w:rPr>
      </w:pPr>
      <w:r w:rsidRPr="008E4270">
        <w:rPr>
          <w:rFonts w:cs="Arial"/>
          <w:sz w:val="20"/>
        </w:rPr>
        <w:t xml:space="preserve">            </w:t>
      </w:r>
    </w:p>
    <w:p w14:paraId="32492B4A" w14:textId="77777777" w:rsidR="000A6602" w:rsidRPr="008E4270" w:rsidRDefault="000A6602" w:rsidP="000A6602">
      <w:pPr>
        <w:keepNext/>
        <w:keepLines/>
        <w:tabs>
          <w:tab w:val="left" w:pos="3420"/>
          <w:tab w:val="left" w:pos="6549"/>
        </w:tabs>
        <w:spacing w:before="480"/>
        <w:rPr>
          <w:sz w:val="20"/>
          <w:szCs w:val="20"/>
        </w:rPr>
      </w:pPr>
      <w:r w:rsidRPr="008E4270">
        <w:rPr>
          <w:sz w:val="20"/>
          <w:szCs w:val="20"/>
        </w:rPr>
        <w:tab/>
        <w:t>.</w:t>
      </w:r>
      <w:r w:rsidRPr="008E4270">
        <w:rPr>
          <w:sz w:val="20"/>
          <w:szCs w:val="20"/>
        </w:rPr>
        <w:tab/>
        <w:t>.</w:t>
      </w:r>
    </w:p>
    <w:p w14:paraId="3C0E8C6D" w14:textId="70EBDD52" w:rsidR="000A6602" w:rsidRPr="008E4270" w:rsidRDefault="000A6602" w:rsidP="000A6602">
      <w:pPr>
        <w:keepNext/>
        <w:keepLines/>
        <w:tabs>
          <w:tab w:val="left" w:pos="3402"/>
          <w:tab w:val="right" w:leader="dot" w:pos="6237"/>
          <w:tab w:val="left" w:pos="6521"/>
          <w:tab w:val="right" w:leader="dot" w:pos="9356"/>
        </w:tabs>
        <w:spacing w:before="480"/>
        <w:rPr>
          <w:sz w:val="20"/>
          <w:szCs w:val="20"/>
        </w:rPr>
      </w:pPr>
      <w:bookmarkStart w:id="23" w:name="_Hlk35264329"/>
      <w:r w:rsidRPr="008E4270">
        <w:rPr>
          <w:sz w:val="20"/>
          <w:szCs w:val="20"/>
        </w:rPr>
        <w:t>Podepsáno dne</w:t>
      </w:r>
      <w:r w:rsidRPr="008E4270">
        <w:rPr>
          <w:sz w:val="20"/>
          <w:szCs w:val="20"/>
          <w:vertAlign w:val="superscript"/>
        </w:rPr>
        <w:t>+</w:t>
      </w:r>
      <w:proofErr w:type="gramStart"/>
      <w:r w:rsidRPr="008E4270">
        <w:rPr>
          <w:sz w:val="20"/>
          <w:szCs w:val="20"/>
        </w:rPr>
        <w:t xml:space="preserve"> ....</w:t>
      </w:r>
      <w:proofErr w:type="gramEnd"/>
      <w:r w:rsidRPr="008E4270">
        <w:rPr>
          <w:sz w:val="20"/>
          <w:szCs w:val="20"/>
        </w:rPr>
        <w:t>.</w:t>
      </w:r>
      <w:r w:rsidR="001C6E44">
        <w:rPr>
          <w:sz w:val="20"/>
          <w:szCs w:val="20"/>
        </w:rPr>
        <w:t xml:space="preserve"> 24. 5. 2024 …</w:t>
      </w:r>
      <w:r w:rsidRPr="008E4270">
        <w:rPr>
          <w:sz w:val="20"/>
          <w:szCs w:val="20"/>
        </w:rPr>
        <w:t>...</w:t>
      </w:r>
      <w:r w:rsidRPr="008E4270">
        <w:rPr>
          <w:sz w:val="20"/>
          <w:szCs w:val="20"/>
        </w:rPr>
        <w:tab/>
      </w:r>
      <w:r w:rsidRPr="008E4270">
        <w:rPr>
          <w:sz w:val="20"/>
          <w:szCs w:val="20"/>
        </w:rPr>
        <w:tab/>
      </w:r>
      <w:r w:rsidRPr="008E4270">
        <w:rPr>
          <w:sz w:val="20"/>
          <w:szCs w:val="20"/>
        </w:rPr>
        <w:tab/>
      </w:r>
      <w:r w:rsidRPr="008E4270">
        <w:rPr>
          <w:sz w:val="20"/>
          <w:szCs w:val="20"/>
        </w:rPr>
        <w:tab/>
      </w:r>
    </w:p>
    <w:p w14:paraId="152E0392" w14:textId="77777777" w:rsidR="000A6602" w:rsidRPr="008E4270" w:rsidRDefault="000A6602" w:rsidP="000A6602">
      <w:pPr>
        <w:keepNext/>
        <w:keepLines/>
        <w:tabs>
          <w:tab w:val="center" w:pos="4820"/>
          <w:tab w:val="center" w:pos="7938"/>
        </w:tabs>
        <w:spacing w:after="720"/>
        <w:rPr>
          <w:sz w:val="20"/>
          <w:szCs w:val="20"/>
        </w:rPr>
      </w:pPr>
      <w:r w:rsidRPr="008E4270">
        <w:rPr>
          <w:sz w:val="20"/>
          <w:szCs w:val="20"/>
        </w:rPr>
        <w:tab/>
        <w:t>za pojistitele</w:t>
      </w:r>
      <w:r w:rsidRPr="008E4270">
        <w:rPr>
          <w:sz w:val="20"/>
          <w:szCs w:val="20"/>
        </w:rPr>
        <w:tab/>
        <w:t>za pojistitele</w:t>
      </w:r>
    </w:p>
    <w:p w14:paraId="1866134D" w14:textId="77777777" w:rsidR="00DD2152" w:rsidRPr="008E4270" w:rsidRDefault="00DD2152" w:rsidP="000A6602">
      <w:pPr>
        <w:keepNext/>
        <w:keepLines/>
        <w:tabs>
          <w:tab w:val="left" w:pos="3402"/>
          <w:tab w:val="right" w:leader="dot" w:pos="6237"/>
          <w:tab w:val="left" w:pos="6804"/>
          <w:tab w:val="right" w:leader="dot" w:pos="9072"/>
        </w:tabs>
        <w:spacing w:before="720"/>
        <w:rPr>
          <w:sz w:val="20"/>
          <w:szCs w:val="20"/>
        </w:rPr>
      </w:pPr>
    </w:p>
    <w:p w14:paraId="214BC6F1" w14:textId="744407CB" w:rsidR="000A6602" w:rsidRPr="008E4270" w:rsidRDefault="000A6602" w:rsidP="00FA7208">
      <w:pPr>
        <w:keepNext/>
        <w:keepLines/>
        <w:tabs>
          <w:tab w:val="left" w:pos="3402"/>
          <w:tab w:val="right" w:leader="dot" w:pos="6237"/>
          <w:tab w:val="left" w:pos="6804"/>
          <w:tab w:val="right" w:leader="dot" w:pos="9072"/>
        </w:tabs>
        <w:spacing w:before="480"/>
        <w:rPr>
          <w:sz w:val="20"/>
          <w:szCs w:val="20"/>
        </w:rPr>
      </w:pPr>
      <w:r w:rsidRPr="008E4270">
        <w:rPr>
          <w:sz w:val="20"/>
          <w:szCs w:val="20"/>
        </w:rPr>
        <w:t>Podepsáno dne</w:t>
      </w:r>
      <w:r w:rsidRPr="008E4270">
        <w:rPr>
          <w:sz w:val="20"/>
          <w:szCs w:val="20"/>
          <w:vertAlign w:val="superscript"/>
        </w:rPr>
        <w:t>+</w:t>
      </w:r>
      <w:r w:rsidRPr="008E4270">
        <w:rPr>
          <w:sz w:val="20"/>
          <w:szCs w:val="20"/>
        </w:rPr>
        <w:t xml:space="preserve"> ......</w:t>
      </w:r>
      <w:r w:rsidR="001C6E44">
        <w:rPr>
          <w:sz w:val="20"/>
          <w:szCs w:val="20"/>
        </w:rPr>
        <w:t xml:space="preserve"> 27. 5. 2024 </w:t>
      </w:r>
      <w:r w:rsidRPr="008E4270">
        <w:rPr>
          <w:sz w:val="20"/>
          <w:szCs w:val="20"/>
        </w:rPr>
        <w:t>......</w:t>
      </w:r>
      <w:r w:rsidRPr="008E4270">
        <w:rPr>
          <w:sz w:val="20"/>
          <w:szCs w:val="20"/>
        </w:rPr>
        <w:tab/>
      </w:r>
      <w:r w:rsidRPr="008E4270">
        <w:rPr>
          <w:sz w:val="20"/>
          <w:szCs w:val="20"/>
        </w:rPr>
        <w:tab/>
      </w:r>
    </w:p>
    <w:p w14:paraId="731BC94A" w14:textId="77777777" w:rsidR="000A6602" w:rsidRPr="008E4270" w:rsidRDefault="000A6602" w:rsidP="000A6602">
      <w:pPr>
        <w:keepNext/>
        <w:keepLines/>
        <w:tabs>
          <w:tab w:val="center" w:pos="4820"/>
          <w:tab w:val="center" w:pos="7938"/>
        </w:tabs>
        <w:spacing w:after="480"/>
        <w:rPr>
          <w:sz w:val="20"/>
          <w:szCs w:val="20"/>
        </w:rPr>
      </w:pPr>
      <w:r w:rsidRPr="008E4270">
        <w:rPr>
          <w:sz w:val="20"/>
          <w:szCs w:val="20"/>
        </w:rPr>
        <w:tab/>
        <w:t>za pojistníka</w:t>
      </w:r>
      <w:r w:rsidRPr="008E4270">
        <w:rPr>
          <w:sz w:val="20"/>
          <w:szCs w:val="20"/>
          <w:vertAlign w:val="superscript"/>
        </w:rPr>
        <w:t>++</w:t>
      </w:r>
    </w:p>
    <w:p w14:paraId="1EBACAC4" w14:textId="77777777" w:rsidR="00FA7208" w:rsidRPr="008E4270" w:rsidRDefault="00FA7208" w:rsidP="000A6602">
      <w:pPr>
        <w:rPr>
          <w:sz w:val="16"/>
          <w:szCs w:val="16"/>
          <w:vertAlign w:val="superscript"/>
        </w:rPr>
      </w:pPr>
      <w:bookmarkStart w:id="24" w:name="_Hlk25570604"/>
    </w:p>
    <w:p w14:paraId="0C060F80" w14:textId="29BBA522" w:rsidR="000A6602" w:rsidRPr="008E4270" w:rsidRDefault="000A6602" w:rsidP="000A6602">
      <w:pPr>
        <w:rPr>
          <w:sz w:val="16"/>
          <w:szCs w:val="16"/>
        </w:rPr>
      </w:pPr>
      <w:r w:rsidRPr="008E4270">
        <w:rPr>
          <w:sz w:val="16"/>
          <w:szCs w:val="16"/>
          <w:vertAlign w:val="superscript"/>
        </w:rPr>
        <w:t xml:space="preserve">+ </w:t>
      </w:r>
      <w:r w:rsidRPr="008E4270">
        <w:rPr>
          <w:sz w:val="16"/>
          <w:szCs w:val="16"/>
        </w:rPr>
        <w:t>Je-li tato pojistná smlouva podepsána uznávaným elektronickým podpisem, je okamžik podpisu vždy obsažen v tomto podpisu.</w:t>
      </w:r>
    </w:p>
    <w:p w14:paraId="5F8D5F77" w14:textId="77777777" w:rsidR="000A6602" w:rsidRPr="008E4270" w:rsidRDefault="000A6602" w:rsidP="000A6602">
      <w:pPr>
        <w:tabs>
          <w:tab w:val="left" w:pos="142"/>
          <w:tab w:val="left" w:pos="426"/>
        </w:tabs>
        <w:ind w:left="426" w:hanging="426"/>
        <w:rPr>
          <w:sz w:val="16"/>
          <w:szCs w:val="16"/>
        </w:rPr>
      </w:pPr>
      <w:r w:rsidRPr="008E4270">
        <w:rPr>
          <w:sz w:val="16"/>
          <w:szCs w:val="16"/>
          <w:vertAlign w:val="superscript"/>
        </w:rPr>
        <w:t>++</w:t>
      </w:r>
      <w:r w:rsidRPr="008E4270">
        <w:rPr>
          <w:sz w:val="16"/>
          <w:szCs w:val="16"/>
        </w:rPr>
        <w:tab/>
        <w:t xml:space="preserve">a) </w:t>
      </w:r>
      <w:r w:rsidRPr="008E4270">
        <w:rPr>
          <w:sz w:val="16"/>
          <w:szCs w:val="16"/>
        </w:rPr>
        <w:tab/>
        <w:t>Je-li tato pojistná smlouva pojistitelem vyhotovena v listinné podobě a podepsána za něj vlastnoručně, uveďte jméno, příjmení a funkci osob/y podepisující/ch za pojistníka, jejich vlastnoruční podpis/y a případně též otisk razítka a doručte pojistiteli takto podepsaný stejnopis pojistné smlouvy v listinné podobě.</w:t>
      </w:r>
    </w:p>
    <w:p w14:paraId="4D943A63" w14:textId="77777777" w:rsidR="000A6602" w:rsidRPr="008E4270" w:rsidRDefault="000A6602" w:rsidP="000A6602">
      <w:pPr>
        <w:tabs>
          <w:tab w:val="left" w:pos="142"/>
          <w:tab w:val="left" w:pos="426"/>
        </w:tabs>
        <w:ind w:left="426" w:hanging="426"/>
        <w:rPr>
          <w:sz w:val="16"/>
          <w:szCs w:val="16"/>
        </w:rPr>
      </w:pPr>
      <w:r w:rsidRPr="008E4270">
        <w:rPr>
          <w:sz w:val="16"/>
          <w:szCs w:val="16"/>
        </w:rPr>
        <w:tab/>
        <w:t xml:space="preserve">b) </w:t>
      </w:r>
      <w:r w:rsidRPr="008E4270">
        <w:rPr>
          <w:sz w:val="16"/>
          <w:szCs w:val="16"/>
        </w:rPr>
        <w:tab/>
        <w:t>Je-li tato pojistná smlouva pojistitelem vyhotovena v elektronické podobě a podepsána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bookmarkEnd w:id="23"/>
    <w:bookmarkEnd w:id="24"/>
    <w:p w14:paraId="7366949B" w14:textId="77777777" w:rsidR="00C024EE" w:rsidRPr="008E4270" w:rsidRDefault="00C024EE" w:rsidP="001E703B">
      <w:pPr>
        <w:rPr>
          <w:rFonts w:cs="Arial"/>
          <w:sz w:val="20"/>
        </w:rPr>
      </w:pPr>
    </w:p>
    <w:p w14:paraId="744E2EB6" w14:textId="0B532331" w:rsidR="00FB2B5D" w:rsidRPr="008E4270" w:rsidRDefault="000E7C71" w:rsidP="00C56662">
      <w:pPr>
        <w:pStyle w:val="Zkladntextodsazen3"/>
        <w:tabs>
          <w:tab w:val="left" w:pos="1418"/>
        </w:tabs>
        <w:spacing w:after="0"/>
        <w:ind w:left="0"/>
        <w:rPr>
          <w:rFonts w:ascii="Koop Office" w:hAnsi="Koop Office"/>
        </w:rPr>
      </w:pPr>
      <w:r>
        <w:rPr>
          <w:rFonts w:ascii="Koop Office" w:hAnsi="Koop Office"/>
        </w:rPr>
        <w:t>Pojistnou smlouvu</w:t>
      </w:r>
      <w:r w:rsidR="001E703B" w:rsidRPr="008E4270">
        <w:rPr>
          <w:rFonts w:ascii="Koop Office" w:hAnsi="Koop Office"/>
        </w:rPr>
        <w:t xml:space="preserve"> vypracoval</w:t>
      </w:r>
      <w:r w:rsidR="000B6E93" w:rsidRPr="008E4270">
        <w:rPr>
          <w:rFonts w:ascii="Koop Office" w:hAnsi="Koop Office"/>
        </w:rPr>
        <w:t>a</w:t>
      </w:r>
      <w:r w:rsidR="001E703B" w:rsidRPr="008E4270">
        <w:rPr>
          <w:rFonts w:ascii="Koop Office" w:hAnsi="Koop Office"/>
        </w:rPr>
        <w:t xml:space="preserve">: </w:t>
      </w:r>
      <w:proofErr w:type="spellStart"/>
      <w:r w:rsidR="001C6E44">
        <w:rPr>
          <w:rFonts w:ascii="Koop Office" w:hAnsi="Koop Office"/>
        </w:rPr>
        <w:t>xxxxxxxxxxxxxxxxx</w:t>
      </w:r>
      <w:proofErr w:type="spellEnd"/>
      <w:r w:rsidR="001E703B" w:rsidRPr="008E4270">
        <w:rPr>
          <w:rFonts w:ascii="Koop Office" w:hAnsi="Koop Office"/>
        </w:rPr>
        <w:t xml:space="preserve"> tel. </w:t>
      </w:r>
      <w:proofErr w:type="spellStart"/>
      <w:r w:rsidR="001C6E44">
        <w:rPr>
          <w:rFonts w:ascii="Koop Office" w:hAnsi="Koop Office"/>
        </w:rPr>
        <w:t>xxxxxxxxxxxx</w:t>
      </w:r>
      <w:proofErr w:type="spellEnd"/>
      <w:r w:rsidR="007E4B0A" w:rsidRPr="008E4270">
        <w:rPr>
          <w:rFonts w:ascii="Koop Office" w:hAnsi="Koop Office"/>
        </w:rPr>
        <w:t xml:space="preserve">, e-mail: </w:t>
      </w:r>
      <w:proofErr w:type="spellStart"/>
      <w:r w:rsidR="001C6E44">
        <w:rPr>
          <w:rFonts w:ascii="Koop Office" w:hAnsi="Koop Office"/>
        </w:rPr>
        <w:t>xxxxxxxxxxxxx</w:t>
      </w:r>
      <w:proofErr w:type="spellEnd"/>
    </w:p>
    <w:sectPr w:rsidR="00FB2B5D" w:rsidRPr="008E4270" w:rsidSect="003A0F73">
      <w:headerReference w:type="default" r:id="rId14"/>
      <w:footerReference w:type="default" r:id="rId15"/>
      <w:headerReference w:type="first" r:id="rId16"/>
      <w:footerReference w:type="first" r:id="rId17"/>
      <w:pgSz w:w="11906" w:h="16838" w:code="9"/>
      <w:pgMar w:top="1134" w:right="849" w:bottom="1418" w:left="993"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8953F" w14:textId="77777777" w:rsidR="001962FC" w:rsidRDefault="001962FC">
      <w:r>
        <w:separator/>
      </w:r>
    </w:p>
  </w:endnote>
  <w:endnote w:type="continuationSeparator" w:id="0">
    <w:p w14:paraId="36C05DAD" w14:textId="77777777" w:rsidR="001962FC" w:rsidRDefault="001962FC">
      <w:r>
        <w:continuationSeparator/>
      </w:r>
    </w:p>
  </w:endnote>
  <w:endnote w:type="continuationNotice" w:id="1">
    <w:p w14:paraId="1D30D1AC" w14:textId="77777777" w:rsidR="001962FC" w:rsidRDefault="00196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alibri"/>
    <w:charset w:val="EE"/>
    <w:family w:val="auto"/>
    <w:pitch w:val="variable"/>
    <w:sig w:usb0="8000002F" w:usb1="1000004A" w:usb2="00000000" w:usb3="00000000" w:csb0="00000093" w:csb1="00000000"/>
  </w:font>
  <w:font w:name="Koop Symbols">
    <w:charset w:val="00"/>
    <w:family w:val="auto"/>
    <w:pitch w:val="variable"/>
    <w:sig w:usb0="A00000AF" w:usb1="5000207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KoopCondPro">
    <w:altName w:val="Calibri"/>
    <w:panose1 w:val="00000000000000000000"/>
    <w:charset w:val="EE"/>
    <w:family w:val="swiss"/>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900BA" w14:textId="35466ED0" w:rsidR="00A27E9D" w:rsidRDefault="001C6E44">
    <w:pPr>
      <w:pStyle w:val="Zpat"/>
      <w:jc w:val="center"/>
    </w:pPr>
    <w:r>
      <w:rPr>
        <w:noProof/>
      </w:rPr>
      <w:pict w14:anchorId="6A15E465">
        <v:shapetype id="_x0000_t202" coordsize="21600,21600" o:spt="202" path="m,l,21600r21600,l21600,xe">
          <v:stroke joinstyle="miter"/>
          <v:path gradientshapeok="t" o:connecttype="rect"/>
        </v:shapetype>
        <v:shape id="MSIPCM25bd4be1a9e9bf607f0304b1" o:spid="_x0000_s1025" type="#_x0000_t202" alt="{&quot;HashCode&quot;:670382985,&quot;Height&quot;:841.0,&quot;Width&quot;:595.0,&quot;Placement&quot;:&quot;Footer&quot;,&quot;Index&quot;:&quot;Primary&quot;,&quot;Section&quot;:1,&quot;Top&quot;:0.0,&quot;Left&quot;:0.0}" style="position:absolute;left:0;text-align:left;margin-left:0;margin-top:805.35pt;width:595.3pt;height:21.55pt;z-index:251657216;mso-wrap-style:square;mso-position-horizontal:absolute;mso-position-horizontal-relative:page;mso-position-vertical:absolute;mso-position-vertical-relative:page;v-text-anchor:bottom" o:allowincell="f" filled="f" stroked="f">
          <v:textbox inset="20pt,0,,0">
            <w:txbxContent>
              <w:p w14:paraId="2A646E5D" w14:textId="69EAB881" w:rsidR="004B1ACF" w:rsidRPr="004B1ACF" w:rsidRDefault="004B1ACF" w:rsidP="004B1ACF">
                <w:pPr>
                  <w:rPr>
                    <w:rFonts w:ascii="Calibri" w:hAnsi="Calibri" w:cs="Calibri"/>
                    <w:color w:val="000000"/>
                    <w:sz w:val="18"/>
                  </w:rPr>
                </w:pPr>
                <w:proofErr w:type="spellStart"/>
                <w:r w:rsidRPr="004B1ACF">
                  <w:rPr>
                    <w:rFonts w:ascii="Calibri" w:hAnsi="Calibri" w:cs="Calibri"/>
                    <w:color w:val="000000"/>
                    <w:sz w:val="18"/>
                  </w:rPr>
                  <w:t>VIG_CZ:Důvěrné</w:t>
                </w:r>
                <w:proofErr w:type="spellEnd"/>
                <w:r w:rsidRPr="004B1ACF">
                  <w:rPr>
                    <w:rFonts w:ascii="Calibri" w:hAnsi="Calibri" w:cs="Calibri"/>
                    <w:color w:val="000000"/>
                    <w:sz w:val="18"/>
                  </w:rPr>
                  <w:t>/</w:t>
                </w:r>
                <w:proofErr w:type="spellStart"/>
                <w:r w:rsidRPr="004B1ACF">
                  <w:rPr>
                    <w:rFonts w:ascii="Calibri" w:hAnsi="Calibri" w:cs="Calibri"/>
                    <w:color w:val="000000"/>
                    <w:sz w:val="18"/>
                  </w:rPr>
                  <w:t>Confidential</w:t>
                </w:r>
                <w:proofErr w:type="spellEnd"/>
              </w:p>
            </w:txbxContent>
          </v:textbox>
          <w10:wrap anchorx="page" anchory="page"/>
        </v:shape>
      </w:pict>
    </w:r>
    <w:r w:rsidR="00A27E9D">
      <w:fldChar w:fldCharType="begin"/>
    </w:r>
    <w:r w:rsidR="00A27E9D">
      <w:instrText>PAGE   \* MERGEFORMAT</w:instrText>
    </w:r>
    <w:r w:rsidR="00A27E9D">
      <w:fldChar w:fldCharType="separate"/>
    </w:r>
    <w:r w:rsidR="00A27E9D">
      <w:rPr>
        <w:noProof/>
      </w:rPr>
      <w:t>12</w:t>
    </w:r>
    <w:r w:rsidR="00A27E9D">
      <w:fldChar w:fldCharType="end"/>
    </w:r>
  </w:p>
  <w:p w14:paraId="2ABDA841" w14:textId="77777777" w:rsidR="00A27E9D" w:rsidRDefault="00A27E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F2E77" w14:textId="6CB51B15" w:rsidR="004B1ACF" w:rsidRDefault="001C6E44">
    <w:pPr>
      <w:pStyle w:val="Zpat"/>
    </w:pPr>
    <w:r>
      <w:rPr>
        <w:noProof/>
      </w:rPr>
      <w:pict w14:anchorId="7ADCD5E2">
        <v:shapetype id="_x0000_t202" coordsize="21600,21600" o:spt="202" path="m,l,21600r21600,l21600,xe">
          <v:stroke joinstyle="miter"/>
          <v:path gradientshapeok="t" o:connecttype="rect"/>
        </v:shapetype>
        <v:shape id="MSIPCMe5b447fda75cab4d0ff85eee" o:spid="_x0000_s1026" type="#_x0000_t202" alt="{&quot;HashCode&quot;:670382985,&quot;Height&quot;:841.0,&quot;Width&quot;:595.0,&quot;Placement&quot;:&quot;Footer&quot;,&quot;Index&quot;:&quot;FirstPage&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20pt,0,,0">
            <w:txbxContent>
              <w:p w14:paraId="5A69F415" w14:textId="2DC5BBAC" w:rsidR="004B1ACF" w:rsidRPr="004B1ACF" w:rsidRDefault="004B1ACF" w:rsidP="004B1ACF">
                <w:pPr>
                  <w:rPr>
                    <w:rFonts w:ascii="Calibri" w:hAnsi="Calibri" w:cs="Calibri"/>
                    <w:color w:val="000000"/>
                    <w:sz w:val="18"/>
                  </w:rPr>
                </w:pPr>
                <w:proofErr w:type="spellStart"/>
                <w:r w:rsidRPr="004B1ACF">
                  <w:rPr>
                    <w:rFonts w:ascii="Calibri" w:hAnsi="Calibri" w:cs="Calibri"/>
                    <w:color w:val="000000"/>
                    <w:sz w:val="18"/>
                  </w:rPr>
                  <w:t>VIG_CZ:Důvěrné</w:t>
                </w:r>
                <w:proofErr w:type="spellEnd"/>
                <w:r w:rsidRPr="004B1ACF">
                  <w:rPr>
                    <w:rFonts w:ascii="Calibri" w:hAnsi="Calibri" w:cs="Calibri"/>
                    <w:color w:val="000000"/>
                    <w:sz w:val="18"/>
                  </w:rPr>
                  <w:t>/</w:t>
                </w:r>
                <w:proofErr w:type="spellStart"/>
                <w:r w:rsidRPr="004B1ACF">
                  <w:rPr>
                    <w:rFonts w:ascii="Calibri" w:hAnsi="Calibri" w:cs="Calibri"/>
                    <w:color w:val="000000"/>
                    <w:sz w:val="18"/>
                  </w:rPr>
                  <w:t>Confidential</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38EB2" w14:textId="77777777" w:rsidR="001962FC" w:rsidRDefault="001962FC">
      <w:r>
        <w:separator/>
      </w:r>
    </w:p>
  </w:footnote>
  <w:footnote w:type="continuationSeparator" w:id="0">
    <w:p w14:paraId="33EAFA5E" w14:textId="77777777" w:rsidR="001962FC" w:rsidRDefault="001962FC">
      <w:r>
        <w:continuationSeparator/>
      </w:r>
    </w:p>
  </w:footnote>
  <w:footnote w:type="continuationNotice" w:id="1">
    <w:p w14:paraId="37F313AB" w14:textId="77777777" w:rsidR="001962FC" w:rsidRDefault="00196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4D5DC" w14:textId="77777777" w:rsidR="00A27E9D" w:rsidRPr="00652055" w:rsidRDefault="00A27E9D"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7EC5B" w14:textId="77777777" w:rsidR="00A27E9D" w:rsidRPr="00A61619" w:rsidRDefault="00A27E9D" w:rsidP="00652055">
    <w:pPr>
      <w:pStyle w:val="Zhlav"/>
    </w:pPr>
    <w:r>
      <w:rPr>
        <w:sz w:val="23"/>
        <w:szCs w:val="23"/>
      </w:rPr>
      <w:tab/>
    </w:r>
    <w:r>
      <w:rPr>
        <w:sz w:val="23"/>
        <w:szCs w:val="23"/>
      </w:rPr>
      <w:tab/>
    </w:r>
  </w:p>
  <w:p w14:paraId="2F032438" w14:textId="77777777" w:rsidR="00A27E9D" w:rsidRDefault="00A27E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rPr>
        <w:rFonts w:cs="Times New Roman"/>
      </w:rPr>
    </w:lvl>
    <w:lvl w:ilvl="1">
      <w:start w:val="9"/>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3" w15:restartNumberingAfterBreak="0">
    <w:nsid w:val="02B46C9B"/>
    <w:multiLevelType w:val="hybridMultilevel"/>
    <w:tmpl w:val="AB1033FC"/>
    <w:lvl w:ilvl="0" w:tplc="94A646D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F7A88"/>
    <w:multiLevelType w:val="hybridMultilevel"/>
    <w:tmpl w:val="2AFC50BE"/>
    <w:lvl w:ilvl="0" w:tplc="109C9DC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666B46"/>
    <w:multiLevelType w:val="multilevel"/>
    <w:tmpl w:val="2294EACE"/>
    <w:lvl w:ilvl="0">
      <w:start w:val="1"/>
      <w:numFmt w:val="decimal"/>
      <w:lvlText w:val="%1."/>
      <w:lvlJc w:val="left"/>
      <w:pPr>
        <w:ind w:left="360" w:hanging="360"/>
      </w:pPr>
      <w:rPr>
        <w:b/>
        <w:bCs/>
      </w:r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64A50"/>
    <w:multiLevelType w:val="multilevel"/>
    <w:tmpl w:val="FABCBEB4"/>
    <w:lvl w:ilvl="0">
      <w:start w:val="1"/>
      <w:numFmt w:val="decimal"/>
      <w:lvlText w:val="3.%1."/>
      <w:lvlJc w:val="left"/>
      <w:pPr>
        <w:tabs>
          <w:tab w:val="num" w:pos="425"/>
        </w:tabs>
        <w:ind w:left="425" w:hanging="425"/>
      </w:pPr>
      <w:rPr>
        <w:rFonts w:cs="Times New Roman" w:hint="default"/>
        <w:b/>
        <w:i w:val="0"/>
        <w:color w:val="auto"/>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244930"/>
    <w:multiLevelType w:val="multilevel"/>
    <w:tmpl w:val="FA9E1460"/>
    <w:lvl w:ilvl="0">
      <w:start w:val="1"/>
      <w:numFmt w:val="decimal"/>
      <w:pStyle w:val="slovn-rove1-netunb"/>
      <w:lvlText w:val="%1."/>
      <w:lvlJc w:val="left"/>
      <w:pPr>
        <w:tabs>
          <w:tab w:val="num" w:pos="425"/>
        </w:tabs>
        <w:ind w:left="425" w:hanging="425"/>
      </w:pPr>
      <w:rPr>
        <w:rFonts w:ascii="Koop Office" w:hAnsi="Koop Office"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color w:val="auto"/>
        <w:spacing w:val="0"/>
        <w:kern w:val="0"/>
        <w:position w:val="0"/>
        <w:sz w:val="20"/>
        <w:u w:val="none"/>
        <w:effect w:val="none"/>
        <w:vertAlign w:val="baseline"/>
        <w:em w:val="none"/>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9"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D581A21"/>
    <w:multiLevelType w:val="hybridMultilevel"/>
    <w:tmpl w:val="AB1033FC"/>
    <w:lvl w:ilvl="0" w:tplc="94A646D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E3573A"/>
    <w:multiLevelType w:val="hybridMultilevel"/>
    <w:tmpl w:val="F976D2CC"/>
    <w:lvl w:ilvl="0" w:tplc="6F8235D8">
      <w:start w:val="1"/>
      <w:numFmt w:val="decimal"/>
      <w:pStyle w:val="slovn-rove1"/>
      <w:lvlText w:val="%1."/>
      <w:lvlJc w:val="left"/>
      <w:pPr>
        <w:tabs>
          <w:tab w:val="num" w:pos="720"/>
        </w:tabs>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pStyle w:val="slovn-rove2"/>
      <w:lvlText w:val="%2."/>
      <w:lvlJc w:val="left"/>
      <w:pPr>
        <w:tabs>
          <w:tab w:val="num" w:pos="1440"/>
        </w:tabs>
        <w:ind w:left="1440" w:hanging="360"/>
      </w:pPr>
      <w:rPr>
        <w:rFonts w:cs="Times New Roman"/>
      </w:rPr>
    </w:lvl>
    <w:lvl w:ilvl="2" w:tplc="0405001B" w:tentative="1">
      <w:start w:val="1"/>
      <w:numFmt w:val="lowerRoman"/>
      <w:pStyle w:val="slovn-rove3"/>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2E7CA3"/>
    <w:multiLevelType w:val="multilevel"/>
    <w:tmpl w:val="6F220BFC"/>
    <w:lvl w:ilvl="0">
      <w:start w:val="1"/>
      <w:numFmt w:val="decimal"/>
      <w:lvlText w:val="%1."/>
      <w:lvlJc w:val="left"/>
      <w:pPr>
        <w:ind w:left="360" w:hanging="360"/>
      </w:pPr>
      <w:rPr>
        <w:rFonts w:hint="default"/>
        <w:b/>
        <w:bCs/>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B65A4A"/>
    <w:multiLevelType w:val="hybridMultilevel"/>
    <w:tmpl w:val="4B42BB2C"/>
    <w:lvl w:ilvl="0" w:tplc="1520F222">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98701B"/>
    <w:multiLevelType w:val="hybridMultilevel"/>
    <w:tmpl w:val="D624ADEC"/>
    <w:lvl w:ilvl="0" w:tplc="DF2C2138">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6"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A7A37E9"/>
    <w:multiLevelType w:val="hybridMultilevel"/>
    <w:tmpl w:val="1E3C47F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2123E7"/>
    <w:multiLevelType w:val="multilevel"/>
    <w:tmpl w:val="C32AC97E"/>
    <w:styleLink w:val="Odrky-rove1"/>
    <w:lvl w:ilvl="0">
      <w:start w:val="1"/>
      <w:numFmt w:val="bullet"/>
      <w:lvlText w:val="•"/>
      <w:lvlJc w:val="left"/>
      <w:pPr>
        <w:tabs>
          <w:tab w:val="num" w:pos="284"/>
        </w:tabs>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97083"/>
    <w:multiLevelType w:val="hybridMultilevel"/>
    <w:tmpl w:val="1DD25048"/>
    <w:lvl w:ilvl="0" w:tplc="02A866DA">
      <w:start w:val="1"/>
      <w:numFmt w:val="decimal"/>
      <w:lvlText w:val="%1."/>
      <w:lvlJc w:val="left"/>
      <w:pPr>
        <w:ind w:left="1065" w:hanging="705"/>
      </w:pPr>
      <w:rPr>
        <w:rFonts w:ascii="Calibri" w:hAnsi="Calibri" w:cs="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A97AD9"/>
    <w:multiLevelType w:val="hybridMultilevel"/>
    <w:tmpl w:val="2018B2D6"/>
    <w:lvl w:ilvl="0" w:tplc="4226F83C">
      <w:start w:val="1"/>
      <w:numFmt w:val="decimal"/>
      <w:lvlText w:val="%1."/>
      <w:lvlJc w:val="left"/>
      <w:pPr>
        <w:ind w:left="360" w:hanging="360"/>
      </w:pPr>
      <w:rPr>
        <w:rFonts w:ascii="Koop Office" w:hAnsi="Koop Office" w:hint="default"/>
        <w:b/>
        <w:bCs/>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B04513C"/>
    <w:multiLevelType w:val="multilevel"/>
    <w:tmpl w:val="FC304BD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15:restartNumberingAfterBreak="0">
    <w:nsid w:val="3E2129DD"/>
    <w:multiLevelType w:val="multilevel"/>
    <w:tmpl w:val="A9FA75C0"/>
    <w:styleLink w:val="StylVcerovovKoopOffice9b"/>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227"/>
        </w:tabs>
        <w:ind w:left="227" w:hanging="227"/>
      </w:pPr>
      <w:rPr>
        <w:rFonts w:ascii="Koop Office" w:hAnsi="Koop Office" w:cs="Times New Roman"/>
        <w:spacing w:val="1"/>
        <w:sz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F7063E3"/>
    <w:multiLevelType w:val="multilevel"/>
    <w:tmpl w:val="4350B5DE"/>
    <w:lvl w:ilvl="0">
      <w:start w:val="3"/>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cs="Times New Roman"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cs="Times New Roman" w:hint="default"/>
      </w:rPr>
    </w:lvl>
    <w:lvl w:ilvl="8">
      <w:start w:val="1"/>
      <w:numFmt w:val="none"/>
      <w:suff w:val="nothing"/>
      <w:lvlText w:val="%9"/>
      <w:lvlJc w:val="left"/>
      <w:rPr>
        <w:rFonts w:cs="Times New Roman" w:hint="default"/>
      </w:rPr>
    </w:lvl>
  </w:abstractNum>
  <w:abstractNum w:abstractNumId="26" w15:restartNumberingAfterBreak="0">
    <w:nsid w:val="41FE5E5C"/>
    <w:multiLevelType w:val="hybridMultilevel"/>
    <w:tmpl w:val="813654A4"/>
    <w:lvl w:ilvl="0" w:tplc="8924BCF2">
      <w:start w:val="1"/>
      <w:numFmt w:val="decimal"/>
      <w:lvlText w:val="%1."/>
      <w:lvlJc w:val="left"/>
      <w:pPr>
        <w:ind w:left="720" w:hanging="360"/>
      </w:pPr>
      <w:rPr>
        <w:rFonts w:hint="default"/>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E41626"/>
    <w:multiLevelType w:val="hybridMultilevel"/>
    <w:tmpl w:val="FC5296F0"/>
    <w:lvl w:ilvl="0" w:tplc="C1D0B916">
      <w:start w:val="2"/>
      <w:numFmt w:val="bullet"/>
      <w:lvlText w:val="-"/>
      <w:lvlJc w:val="left"/>
      <w:pPr>
        <w:ind w:left="785" w:hanging="360"/>
      </w:pPr>
      <w:rPr>
        <w:rFonts w:ascii="Koop Office" w:eastAsia="Times New Roman" w:hAnsi="Koop Office"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5514216B"/>
    <w:multiLevelType w:val="hybridMultilevel"/>
    <w:tmpl w:val="6EE24CA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FC77D1"/>
    <w:multiLevelType w:val="multilevel"/>
    <w:tmpl w:val="B5B68E3A"/>
    <w:lvl w:ilvl="0">
      <w:start w:val="1"/>
      <w:numFmt w:val="decimal"/>
      <w:lvlText w:val="%1."/>
      <w:lvlJc w:val="left"/>
      <w:pPr>
        <w:tabs>
          <w:tab w:val="num" w:pos="425"/>
        </w:tabs>
        <w:ind w:left="425" w:hanging="425"/>
      </w:pPr>
      <w:rPr>
        <w:rFonts w:cs="Times New Roman" w:hint="default"/>
        <w:b/>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35" w15:restartNumberingAfterBreak="0">
    <w:nsid w:val="5F435798"/>
    <w:multiLevelType w:val="hybridMultilevel"/>
    <w:tmpl w:val="FA147E08"/>
    <w:lvl w:ilvl="0" w:tplc="8160A556">
      <w:start w:val="1"/>
      <w:numFmt w:val="lowerLetter"/>
      <w:lvlText w:val="%1)"/>
      <w:lvlJc w:val="left"/>
      <w:pPr>
        <w:ind w:left="720" w:hanging="360"/>
      </w:pPr>
      <w:rPr>
        <w:rFonts w:eastAsia="Calibri" w:cs="Times New Roman" w:hint="default"/>
        <w:color w:val="auto"/>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A06C8F"/>
    <w:multiLevelType w:val="hybridMultilevel"/>
    <w:tmpl w:val="77CE74A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CF423E6"/>
    <w:multiLevelType w:val="hybridMultilevel"/>
    <w:tmpl w:val="AB1033FC"/>
    <w:lvl w:ilvl="0" w:tplc="94A646D6">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74153F"/>
    <w:multiLevelType w:val="multilevel"/>
    <w:tmpl w:val="17C68F78"/>
    <w:styleLink w:val="Odrka-rove2"/>
    <w:lvl w:ilvl="0">
      <w:start w:val="1"/>
      <w:numFmt w:val="bullet"/>
      <w:lvlText w:val="•"/>
      <w:lvlJc w:val="left"/>
      <w:pPr>
        <w:tabs>
          <w:tab w:val="num" w:pos="567"/>
        </w:tabs>
        <w:ind w:left="108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20B57"/>
    <w:multiLevelType w:val="multilevel"/>
    <w:tmpl w:val="59F0A7B6"/>
    <w:lvl w:ilvl="0">
      <w:start w:val="1"/>
      <w:numFmt w:val="decimal"/>
      <w:lvlText w:val="%1."/>
      <w:lvlJc w:val="left"/>
      <w:pPr>
        <w:tabs>
          <w:tab w:val="num" w:pos="390"/>
        </w:tabs>
        <w:ind w:left="390" w:hanging="390"/>
      </w:pPr>
      <w:rPr>
        <w:rFonts w:cs="Times New Roman" w:hint="default"/>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43D2C03"/>
    <w:multiLevelType w:val="hybridMultilevel"/>
    <w:tmpl w:val="318AD4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2F6C94"/>
    <w:multiLevelType w:val="hybridMultilevel"/>
    <w:tmpl w:val="59685096"/>
    <w:lvl w:ilvl="0" w:tplc="AB80BEA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3556"/>
        </w:tabs>
        <w:ind w:left="355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15:restartNumberingAfterBreak="0">
    <w:nsid w:val="79EC22EB"/>
    <w:multiLevelType w:val="hybridMultilevel"/>
    <w:tmpl w:val="F6C0AA98"/>
    <w:lvl w:ilvl="0" w:tplc="A8705FF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15:restartNumberingAfterBreak="0">
    <w:nsid w:val="7D422B30"/>
    <w:multiLevelType w:val="hybridMultilevel"/>
    <w:tmpl w:val="FF1208E4"/>
    <w:lvl w:ilvl="0" w:tplc="7D78E944">
      <w:start w:val="1"/>
      <w:numFmt w:val="lowerLetter"/>
      <w:lvlText w:val="II. %1)"/>
      <w:lvlJc w:val="left"/>
      <w:pPr>
        <w:tabs>
          <w:tab w:val="num" w:pos="851"/>
        </w:tabs>
        <w:ind w:left="851" w:hanging="567"/>
      </w:pPr>
      <w:rPr>
        <w:rFonts w:ascii="Koop Office" w:eastAsia="Calibri" w:hAnsi="Koop Office" w:cs="Times New Roman" w:hint="default"/>
        <w:color w:val="auto"/>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0051809">
    <w:abstractNumId w:val="16"/>
  </w:num>
  <w:num w:numId="2" w16cid:durableId="528687380">
    <w:abstractNumId w:val="38"/>
  </w:num>
  <w:num w:numId="3" w16cid:durableId="566385365">
    <w:abstractNumId w:val="19"/>
  </w:num>
  <w:num w:numId="4" w16cid:durableId="1014038814">
    <w:abstractNumId w:val="34"/>
  </w:num>
  <w:num w:numId="5" w16cid:durableId="490216887">
    <w:abstractNumId w:val="25"/>
  </w:num>
  <w:num w:numId="6" w16cid:durableId="1281297161">
    <w:abstractNumId w:val="28"/>
  </w:num>
  <w:num w:numId="7" w16cid:durableId="1209950933">
    <w:abstractNumId w:val="23"/>
  </w:num>
  <w:num w:numId="8" w16cid:durableId="94326261">
    <w:abstractNumId w:val="22"/>
  </w:num>
  <w:num w:numId="9" w16cid:durableId="831914725">
    <w:abstractNumId w:val="39"/>
  </w:num>
  <w:num w:numId="10" w16cid:durableId="284894810">
    <w:abstractNumId w:val="6"/>
  </w:num>
  <w:num w:numId="11" w16cid:durableId="1952787185">
    <w:abstractNumId w:val="30"/>
  </w:num>
  <w:num w:numId="12" w16cid:durableId="1604991868">
    <w:abstractNumId w:val="43"/>
  </w:num>
  <w:num w:numId="13" w16cid:durableId="1921677924">
    <w:abstractNumId w:val="32"/>
  </w:num>
  <w:num w:numId="14" w16cid:durableId="826552567">
    <w:abstractNumId w:val="40"/>
  </w:num>
  <w:num w:numId="15" w16cid:durableId="939486222">
    <w:abstractNumId w:val="18"/>
  </w:num>
  <w:num w:numId="16" w16cid:durableId="989677213">
    <w:abstractNumId w:val="8"/>
  </w:num>
  <w:num w:numId="17" w16cid:durableId="1058167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5206511">
    <w:abstractNumId w:val="2"/>
  </w:num>
  <w:num w:numId="19" w16cid:durableId="1779714444">
    <w:abstractNumId w:val="33"/>
  </w:num>
  <w:num w:numId="20" w16cid:durableId="3673062">
    <w:abstractNumId w:val="7"/>
  </w:num>
  <w:num w:numId="21" w16cid:durableId="1765611655">
    <w:abstractNumId w:val="29"/>
  </w:num>
  <w:num w:numId="22" w16cid:durableId="1379008990">
    <w:abstractNumId w:val="11"/>
  </w:num>
  <w:num w:numId="23" w16cid:durableId="6625870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7740836">
    <w:abstractNumId w:val="13"/>
  </w:num>
  <w:num w:numId="25" w16cid:durableId="2026129057">
    <w:abstractNumId w:val="24"/>
  </w:num>
  <w:num w:numId="26" w16cid:durableId="2134132727">
    <w:abstractNumId w:val="15"/>
  </w:num>
  <w:num w:numId="27" w16cid:durableId="1724476513">
    <w:abstractNumId w:val="44"/>
  </w:num>
  <w:num w:numId="28" w16cid:durableId="1596479451">
    <w:abstractNumId w:val="27"/>
  </w:num>
  <w:num w:numId="29" w16cid:durableId="1886064676">
    <w:abstractNumId w:val="10"/>
  </w:num>
  <w:num w:numId="30" w16cid:durableId="936710932">
    <w:abstractNumId w:val="26"/>
  </w:num>
  <w:num w:numId="31" w16cid:durableId="1302685082">
    <w:abstractNumId w:val="37"/>
  </w:num>
  <w:num w:numId="32" w16cid:durableId="1200239171">
    <w:abstractNumId w:val="3"/>
  </w:num>
  <w:num w:numId="33" w16cid:durableId="11036505">
    <w:abstractNumId w:val="42"/>
  </w:num>
  <w:num w:numId="34" w16cid:durableId="298807620">
    <w:abstractNumId w:val="4"/>
  </w:num>
  <w:num w:numId="35" w16cid:durableId="1964194044">
    <w:abstractNumId w:val="41"/>
  </w:num>
  <w:num w:numId="36" w16cid:durableId="859390506">
    <w:abstractNumId w:val="31"/>
  </w:num>
  <w:num w:numId="37" w16cid:durableId="1559583974">
    <w:abstractNumId w:val="14"/>
  </w:num>
  <w:num w:numId="38" w16cid:durableId="1616399841">
    <w:abstractNumId w:val="21"/>
  </w:num>
  <w:num w:numId="39" w16cid:durableId="99760233">
    <w:abstractNumId w:val="36"/>
  </w:num>
  <w:num w:numId="40" w16cid:durableId="1361783194">
    <w:abstractNumId w:val="5"/>
  </w:num>
  <w:num w:numId="41" w16cid:durableId="1095247897">
    <w:abstractNumId w:val="35"/>
  </w:num>
  <w:num w:numId="42" w16cid:durableId="106631343">
    <w:abstractNumId w:val="12"/>
  </w:num>
  <w:num w:numId="43" w16cid:durableId="1298339456">
    <w:abstractNumId w:val="45"/>
  </w:num>
  <w:num w:numId="44" w16cid:durableId="1855342687">
    <w:abstractNumId w:val="17"/>
  </w:num>
  <w:num w:numId="45" w16cid:durableId="462163139">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doNotShadeFormData/>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FB6"/>
    <w:rsid w:val="00000AEC"/>
    <w:rsid w:val="00002BE2"/>
    <w:rsid w:val="00002EAF"/>
    <w:rsid w:val="0000304E"/>
    <w:rsid w:val="00003078"/>
    <w:rsid w:val="000031E3"/>
    <w:rsid w:val="00004162"/>
    <w:rsid w:val="000044D3"/>
    <w:rsid w:val="00004DF0"/>
    <w:rsid w:val="000056C9"/>
    <w:rsid w:val="000067B5"/>
    <w:rsid w:val="00006E30"/>
    <w:rsid w:val="0001024B"/>
    <w:rsid w:val="0001084B"/>
    <w:rsid w:val="00012595"/>
    <w:rsid w:val="00013F40"/>
    <w:rsid w:val="000140B5"/>
    <w:rsid w:val="00014FBC"/>
    <w:rsid w:val="00015203"/>
    <w:rsid w:val="00016200"/>
    <w:rsid w:val="00020DF0"/>
    <w:rsid w:val="0002133B"/>
    <w:rsid w:val="00023E0F"/>
    <w:rsid w:val="00025ED5"/>
    <w:rsid w:val="0002676B"/>
    <w:rsid w:val="00026932"/>
    <w:rsid w:val="000269DE"/>
    <w:rsid w:val="00026C86"/>
    <w:rsid w:val="00027092"/>
    <w:rsid w:val="0002717A"/>
    <w:rsid w:val="000277E9"/>
    <w:rsid w:val="0003020E"/>
    <w:rsid w:val="00030F0B"/>
    <w:rsid w:val="00032351"/>
    <w:rsid w:val="000323C8"/>
    <w:rsid w:val="000333B4"/>
    <w:rsid w:val="00033F43"/>
    <w:rsid w:val="0003415C"/>
    <w:rsid w:val="000341AF"/>
    <w:rsid w:val="000343B2"/>
    <w:rsid w:val="000347C6"/>
    <w:rsid w:val="00034C66"/>
    <w:rsid w:val="000359D6"/>
    <w:rsid w:val="00040B44"/>
    <w:rsid w:val="00041168"/>
    <w:rsid w:val="0004260F"/>
    <w:rsid w:val="0004263C"/>
    <w:rsid w:val="00042C6B"/>
    <w:rsid w:val="00045DC6"/>
    <w:rsid w:val="00047521"/>
    <w:rsid w:val="00051005"/>
    <w:rsid w:val="000521DB"/>
    <w:rsid w:val="000540F2"/>
    <w:rsid w:val="000541A4"/>
    <w:rsid w:val="00055603"/>
    <w:rsid w:val="000601C7"/>
    <w:rsid w:val="000603EF"/>
    <w:rsid w:val="00060851"/>
    <w:rsid w:val="00060DA6"/>
    <w:rsid w:val="000611C7"/>
    <w:rsid w:val="00065B06"/>
    <w:rsid w:val="000664A2"/>
    <w:rsid w:val="00070FA1"/>
    <w:rsid w:val="00071BE9"/>
    <w:rsid w:val="00074399"/>
    <w:rsid w:val="000751A5"/>
    <w:rsid w:val="00077008"/>
    <w:rsid w:val="00077718"/>
    <w:rsid w:val="00077F31"/>
    <w:rsid w:val="00080B29"/>
    <w:rsid w:val="00080B9C"/>
    <w:rsid w:val="00081D78"/>
    <w:rsid w:val="00081E97"/>
    <w:rsid w:val="00082153"/>
    <w:rsid w:val="00082EFD"/>
    <w:rsid w:val="000832CA"/>
    <w:rsid w:val="000841A4"/>
    <w:rsid w:val="00084DA2"/>
    <w:rsid w:val="00084F31"/>
    <w:rsid w:val="00085618"/>
    <w:rsid w:val="00086E4F"/>
    <w:rsid w:val="00090ECC"/>
    <w:rsid w:val="000914C6"/>
    <w:rsid w:val="00093B9D"/>
    <w:rsid w:val="0009467A"/>
    <w:rsid w:val="00094C4C"/>
    <w:rsid w:val="00094CC9"/>
    <w:rsid w:val="00094F13"/>
    <w:rsid w:val="00095DCA"/>
    <w:rsid w:val="00097110"/>
    <w:rsid w:val="00097229"/>
    <w:rsid w:val="0009786D"/>
    <w:rsid w:val="00097CD0"/>
    <w:rsid w:val="000A025A"/>
    <w:rsid w:val="000A10CA"/>
    <w:rsid w:val="000A2D57"/>
    <w:rsid w:val="000A3884"/>
    <w:rsid w:val="000A3B0B"/>
    <w:rsid w:val="000A5581"/>
    <w:rsid w:val="000A6602"/>
    <w:rsid w:val="000A6940"/>
    <w:rsid w:val="000A6CC5"/>
    <w:rsid w:val="000B0C00"/>
    <w:rsid w:val="000B0F48"/>
    <w:rsid w:val="000B1956"/>
    <w:rsid w:val="000B2402"/>
    <w:rsid w:val="000B3E8B"/>
    <w:rsid w:val="000B548D"/>
    <w:rsid w:val="000B6E93"/>
    <w:rsid w:val="000B7F6A"/>
    <w:rsid w:val="000C0562"/>
    <w:rsid w:val="000C117C"/>
    <w:rsid w:val="000C19A5"/>
    <w:rsid w:val="000C4D24"/>
    <w:rsid w:val="000C4EBA"/>
    <w:rsid w:val="000C5028"/>
    <w:rsid w:val="000C54EB"/>
    <w:rsid w:val="000C5D0C"/>
    <w:rsid w:val="000C6477"/>
    <w:rsid w:val="000C676E"/>
    <w:rsid w:val="000D0067"/>
    <w:rsid w:val="000D04DB"/>
    <w:rsid w:val="000D0C96"/>
    <w:rsid w:val="000D0D2E"/>
    <w:rsid w:val="000D0EC3"/>
    <w:rsid w:val="000D0FEA"/>
    <w:rsid w:val="000D33E1"/>
    <w:rsid w:val="000D3647"/>
    <w:rsid w:val="000D3AAF"/>
    <w:rsid w:val="000D3F42"/>
    <w:rsid w:val="000D4E4E"/>
    <w:rsid w:val="000D4F82"/>
    <w:rsid w:val="000E1627"/>
    <w:rsid w:val="000E2707"/>
    <w:rsid w:val="000E51F6"/>
    <w:rsid w:val="000E5882"/>
    <w:rsid w:val="000E639E"/>
    <w:rsid w:val="000E7136"/>
    <w:rsid w:val="000E7A1F"/>
    <w:rsid w:val="000E7C71"/>
    <w:rsid w:val="000F0B7B"/>
    <w:rsid w:val="000F1B25"/>
    <w:rsid w:val="000F2EBD"/>
    <w:rsid w:val="000F414C"/>
    <w:rsid w:val="000F4D58"/>
    <w:rsid w:val="000F4DC1"/>
    <w:rsid w:val="000F5721"/>
    <w:rsid w:val="000F5B35"/>
    <w:rsid w:val="000F5DF7"/>
    <w:rsid w:val="000F6703"/>
    <w:rsid w:val="000F692E"/>
    <w:rsid w:val="000F6A4A"/>
    <w:rsid w:val="000F7CC7"/>
    <w:rsid w:val="00101054"/>
    <w:rsid w:val="001012C3"/>
    <w:rsid w:val="00101730"/>
    <w:rsid w:val="001017AE"/>
    <w:rsid w:val="001028E7"/>
    <w:rsid w:val="00102D67"/>
    <w:rsid w:val="001031FB"/>
    <w:rsid w:val="001039E7"/>
    <w:rsid w:val="0010468E"/>
    <w:rsid w:val="001050C8"/>
    <w:rsid w:val="001050E9"/>
    <w:rsid w:val="001067EE"/>
    <w:rsid w:val="00107F95"/>
    <w:rsid w:val="0011071F"/>
    <w:rsid w:val="001109FB"/>
    <w:rsid w:val="00110EE9"/>
    <w:rsid w:val="00113820"/>
    <w:rsid w:val="00113DF5"/>
    <w:rsid w:val="00114431"/>
    <w:rsid w:val="00114D11"/>
    <w:rsid w:val="00116048"/>
    <w:rsid w:val="00116134"/>
    <w:rsid w:val="00116F7D"/>
    <w:rsid w:val="00117FC6"/>
    <w:rsid w:val="00121F8B"/>
    <w:rsid w:val="0012646C"/>
    <w:rsid w:val="00126732"/>
    <w:rsid w:val="00126FB8"/>
    <w:rsid w:val="00126FFC"/>
    <w:rsid w:val="00130420"/>
    <w:rsid w:val="00130538"/>
    <w:rsid w:val="001306BE"/>
    <w:rsid w:val="001330AA"/>
    <w:rsid w:val="00133185"/>
    <w:rsid w:val="00134D8E"/>
    <w:rsid w:val="00135937"/>
    <w:rsid w:val="001367EC"/>
    <w:rsid w:val="0013749C"/>
    <w:rsid w:val="0014043E"/>
    <w:rsid w:val="001431A3"/>
    <w:rsid w:val="00143FF3"/>
    <w:rsid w:val="001442F1"/>
    <w:rsid w:val="0014433E"/>
    <w:rsid w:val="00147B8F"/>
    <w:rsid w:val="001504EB"/>
    <w:rsid w:val="00150B7C"/>
    <w:rsid w:val="00151909"/>
    <w:rsid w:val="001532C9"/>
    <w:rsid w:val="00153394"/>
    <w:rsid w:val="00153F4A"/>
    <w:rsid w:val="001548F4"/>
    <w:rsid w:val="00154E1F"/>
    <w:rsid w:val="00154F5A"/>
    <w:rsid w:val="00155045"/>
    <w:rsid w:val="00155459"/>
    <w:rsid w:val="0015575D"/>
    <w:rsid w:val="001568CE"/>
    <w:rsid w:val="00156EB0"/>
    <w:rsid w:val="0016055D"/>
    <w:rsid w:val="0016104F"/>
    <w:rsid w:val="001615BD"/>
    <w:rsid w:val="00162B5E"/>
    <w:rsid w:val="001637A1"/>
    <w:rsid w:val="0016615D"/>
    <w:rsid w:val="00167F6C"/>
    <w:rsid w:val="001715DD"/>
    <w:rsid w:val="00172697"/>
    <w:rsid w:val="00172E2D"/>
    <w:rsid w:val="00173230"/>
    <w:rsid w:val="00173AF8"/>
    <w:rsid w:val="00174270"/>
    <w:rsid w:val="00175BEA"/>
    <w:rsid w:val="00175F45"/>
    <w:rsid w:val="001768B3"/>
    <w:rsid w:val="00176FAD"/>
    <w:rsid w:val="001773E3"/>
    <w:rsid w:val="00177492"/>
    <w:rsid w:val="0018056A"/>
    <w:rsid w:val="00180711"/>
    <w:rsid w:val="00180F5B"/>
    <w:rsid w:val="00181409"/>
    <w:rsid w:val="001823D9"/>
    <w:rsid w:val="00182B3C"/>
    <w:rsid w:val="00182F57"/>
    <w:rsid w:val="00185130"/>
    <w:rsid w:val="00186D56"/>
    <w:rsid w:val="00190C30"/>
    <w:rsid w:val="00191595"/>
    <w:rsid w:val="00191F1A"/>
    <w:rsid w:val="00192160"/>
    <w:rsid w:val="001921EE"/>
    <w:rsid w:val="00194020"/>
    <w:rsid w:val="00194D14"/>
    <w:rsid w:val="00195791"/>
    <w:rsid w:val="00195DBD"/>
    <w:rsid w:val="001962FC"/>
    <w:rsid w:val="00197C98"/>
    <w:rsid w:val="00197F51"/>
    <w:rsid w:val="001A01D6"/>
    <w:rsid w:val="001A1133"/>
    <w:rsid w:val="001A2CD7"/>
    <w:rsid w:val="001A3F5A"/>
    <w:rsid w:val="001A45C3"/>
    <w:rsid w:val="001A4FD5"/>
    <w:rsid w:val="001A50C9"/>
    <w:rsid w:val="001A523E"/>
    <w:rsid w:val="001A7313"/>
    <w:rsid w:val="001A738F"/>
    <w:rsid w:val="001A7621"/>
    <w:rsid w:val="001B1FBE"/>
    <w:rsid w:val="001B2D68"/>
    <w:rsid w:val="001B2E18"/>
    <w:rsid w:val="001B3158"/>
    <w:rsid w:val="001B3EA8"/>
    <w:rsid w:val="001B4F1B"/>
    <w:rsid w:val="001B5550"/>
    <w:rsid w:val="001B642D"/>
    <w:rsid w:val="001B71D7"/>
    <w:rsid w:val="001B72C9"/>
    <w:rsid w:val="001B75B2"/>
    <w:rsid w:val="001B7CB1"/>
    <w:rsid w:val="001B7FCD"/>
    <w:rsid w:val="001C1990"/>
    <w:rsid w:val="001C1B45"/>
    <w:rsid w:val="001C2749"/>
    <w:rsid w:val="001C2A7F"/>
    <w:rsid w:val="001C33C9"/>
    <w:rsid w:val="001C3896"/>
    <w:rsid w:val="001C3BC4"/>
    <w:rsid w:val="001C3D35"/>
    <w:rsid w:val="001C46FA"/>
    <w:rsid w:val="001C493A"/>
    <w:rsid w:val="001C4C5E"/>
    <w:rsid w:val="001C5A0D"/>
    <w:rsid w:val="001C5A78"/>
    <w:rsid w:val="001C6E44"/>
    <w:rsid w:val="001C7BF8"/>
    <w:rsid w:val="001D0288"/>
    <w:rsid w:val="001D03FA"/>
    <w:rsid w:val="001D0842"/>
    <w:rsid w:val="001D2EA4"/>
    <w:rsid w:val="001D341E"/>
    <w:rsid w:val="001D3D4C"/>
    <w:rsid w:val="001D4CA3"/>
    <w:rsid w:val="001D53AD"/>
    <w:rsid w:val="001D573C"/>
    <w:rsid w:val="001D58F7"/>
    <w:rsid w:val="001D5B41"/>
    <w:rsid w:val="001D7F15"/>
    <w:rsid w:val="001D7F7A"/>
    <w:rsid w:val="001E1D6A"/>
    <w:rsid w:val="001E1D85"/>
    <w:rsid w:val="001E311D"/>
    <w:rsid w:val="001E331D"/>
    <w:rsid w:val="001E4BBA"/>
    <w:rsid w:val="001E50C3"/>
    <w:rsid w:val="001E703B"/>
    <w:rsid w:val="001F17EC"/>
    <w:rsid w:val="001F1C6E"/>
    <w:rsid w:val="001F77D4"/>
    <w:rsid w:val="00200F45"/>
    <w:rsid w:val="00200FF3"/>
    <w:rsid w:val="00201934"/>
    <w:rsid w:val="002021DB"/>
    <w:rsid w:val="00202E7E"/>
    <w:rsid w:val="002037D5"/>
    <w:rsid w:val="00205E88"/>
    <w:rsid w:val="00207BD3"/>
    <w:rsid w:val="00213AAC"/>
    <w:rsid w:val="00214C96"/>
    <w:rsid w:val="002153D3"/>
    <w:rsid w:val="00215E8B"/>
    <w:rsid w:val="00216090"/>
    <w:rsid w:val="00216C2E"/>
    <w:rsid w:val="002170B4"/>
    <w:rsid w:val="0021759B"/>
    <w:rsid w:val="00217AE1"/>
    <w:rsid w:val="00221407"/>
    <w:rsid w:val="002228DC"/>
    <w:rsid w:val="00224037"/>
    <w:rsid w:val="00224653"/>
    <w:rsid w:val="00224672"/>
    <w:rsid w:val="002250DE"/>
    <w:rsid w:val="0022613A"/>
    <w:rsid w:val="002267B4"/>
    <w:rsid w:val="00230100"/>
    <w:rsid w:val="00230228"/>
    <w:rsid w:val="002316B5"/>
    <w:rsid w:val="002317CF"/>
    <w:rsid w:val="002318F4"/>
    <w:rsid w:val="0023273B"/>
    <w:rsid w:val="002327ED"/>
    <w:rsid w:val="00232A2E"/>
    <w:rsid w:val="00232BA8"/>
    <w:rsid w:val="00234DA7"/>
    <w:rsid w:val="00235F27"/>
    <w:rsid w:val="00236485"/>
    <w:rsid w:val="0023692A"/>
    <w:rsid w:val="002452FC"/>
    <w:rsid w:val="00245618"/>
    <w:rsid w:val="002459D2"/>
    <w:rsid w:val="00247BFA"/>
    <w:rsid w:val="002501D0"/>
    <w:rsid w:val="002504F1"/>
    <w:rsid w:val="00250903"/>
    <w:rsid w:val="002511E3"/>
    <w:rsid w:val="00251F9C"/>
    <w:rsid w:val="00252372"/>
    <w:rsid w:val="00252534"/>
    <w:rsid w:val="00252C66"/>
    <w:rsid w:val="00254378"/>
    <w:rsid w:val="002549A5"/>
    <w:rsid w:val="002549E8"/>
    <w:rsid w:val="00254D75"/>
    <w:rsid w:val="0025567D"/>
    <w:rsid w:val="00255749"/>
    <w:rsid w:val="00255B70"/>
    <w:rsid w:val="00255EFC"/>
    <w:rsid w:val="002564F4"/>
    <w:rsid w:val="00257C49"/>
    <w:rsid w:val="002604B5"/>
    <w:rsid w:val="00262178"/>
    <w:rsid w:val="00262629"/>
    <w:rsid w:val="00262FC8"/>
    <w:rsid w:val="00263019"/>
    <w:rsid w:val="002634CC"/>
    <w:rsid w:val="00263CDF"/>
    <w:rsid w:val="00264FB0"/>
    <w:rsid w:val="0027116E"/>
    <w:rsid w:val="002711A4"/>
    <w:rsid w:val="00272535"/>
    <w:rsid w:val="002738BA"/>
    <w:rsid w:val="00273FFA"/>
    <w:rsid w:val="002764DC"/>
    <w:rsid w:val="002764E4"/>
    <w:rsid w:val="002808E7"/>
    <w:rsid w:val="00280AF7"/>
    <w:rsid w:val="00280B20"/>
    <w:rsid w:val="002812F9"/>
    <w:rsid w:val="00281F3D"/>
    <w:rsid w:val="00282FF2"/>
    <w:rsid w:val="002834DA"/>
    <w:rsid w:val="0028468F"/>
    <w:rsid w:val="00284953"/>
    <w:rsid w:val="00284F94"/>
    <w:rsid w:val="00287092"/>
    <w:rsid w:val="002904DC"/>
    <w:rsid w:val="00290D83"/>
    <w:rsid w:val="00291075"/>
    <w:rsid w:val="002910B4"/>
    <w:rsid w:val="0029187F"/>
    <w:rsid w:val="00296295"/>
    <w:rsid w:val="002963CF"/>
    <w:rsid w:val="00297FCC"/>
    <w:rsid w:val="002A13E3"/>
    <w:rsid w:val="002A1588"/>
    <w:rsid w:val="002A19BC"/>
    <w:rsid w:val="002A1AA1"/>
    <w:rsid w:val="002A23E6"/>
    <w:rsid w:val="002A2CD3"/>
    <w:rsid w:val="002A2FC0"/>
    <w:rsid w:val="002A341D"/>
    <w:rsid w:val="002A41C6"/>
    <w:rsid w:val="002A423F"/>
    <w:rsid w:val="002A4566"/>
    <w:rsid w:val="002A5254"/>
    <w:rsid w:val="002A58DB"/>
    <w:rsid w:val="002A5CE1"/>
    <w:rsid w:val="002A653F"/>
    <w:rsid w:val="002A733E"/>
    <w:rsid w:val="002A7DC9"/>
    <w:rsid w:val="002B05C5"/>
    <w:rsid w:val="002B08EB"/>
    <w:rsid w:val="002B091F"/>
    <w:rsid w:val="002B3072"/>
    <w:rsid w:val="002B4B57"/>
    <w:rsid w:val="002B57A6"/>
    <w:rsid w:val="002B6EAE"/>
    <w:rsid w:val="002B7920"/>
    <w:rsid w:val="002C0807"/>
    <w:rsid w:val="002C18E9"/>
    <w:rsid w:val="002C2AA8"/>
    <w:rsid w:val="002C2B1D"/>
    <w:rsid w:val="002C3934"/>
    <w:rsid w:val="002C3FD2"/>
    <w:rsid w:val="002C4130"/>
    <w:rsid w:val="002C47DC"/>
    <w:rsid w:val="002C5271"/>
    <w:rsid w:val="002C5D09"/>
    <w:rsid w:val="002C6A91"/>
    <w:rsid w:val="002C7134"/>
    <w:rsid w:val="002C7D52"/>
    <w:rsid w:val="002D0C1E"/>
    <w:rsid w:val="002D15A4"/>
    <w:rsid w:val="002D22B3"/>
    <w:rsid w:val="002D41D2"/>
    <w:rsid w:val="002D4826"/>
    <w:rsid w:val="002D6DFB"/>
    <w:rsid w:val="002D71B5"/>
    <w:rsid w:val="002E031B"/>
    <w:rsid w:val="002E0CBA"/>
    <w:rsid w:val="002E13D5"/>
    <w:rsid w:val="002E18E8"/>
    <w:rsid w:val="002E1C17"/>
    <w:rsid w:val="002E2751"/>
    <w:rsid w:val="002E36BE"/>
    <w:rsid w:val="002E4AC8"/>
    <w:rsid w:val="002E4B13"/>
    <w:rsid w:val="002E5293"/>
    <w:rsid w:val="002E53F3"/>
    <w:rsid w:val="002E6B01"/>
    <w:rsid w:val="002E6FFB"/>
    <w:rsid w:val="002F05B2"/>
    <w:rsid w:val="002F0718"/>
    <w:rsid w:val="002F0A79"/>
    <w:rsid w:val="002F0CD4"/>
    <w:rsid w:val="002F40FB"/>
    <w:rsid w:val="002F4383"/>
    <w:rsid w:val="002F4E61"/>
    <w:rsid w:val="002F576E"/>
    <w:rsid w:val="002F7552"/>
    <w:rsid w:val="00300523"/>
    <w:rsid w:val="00301657"/>
    <w:rsid w:val="00301CDB"/>
    <w:rsid w:val="003035EE"/>
    <w:rsid w:val="003044BE"/>
    <w:rsid w:val="0030477F"/>
    <w:rsid w:val="00305A93"/>
    <w:rsid w:val="003063D3"/>
    <w:rsid w:val="0030674A"/>
    <w:rsid w:val="003068FE"/>
    <w:rsid w:val="00306EDC"/>
    <w:rsid w:val="0031028B"/>
    <w:rsid w:val="0031085B"/>
    <w:rsid w:val="00311B0D"/>
    <w:rsid w:val="00312551"/>
    <w:rsid w:val="003154F3"/>
    <w:rsid w:val="00315B96"/>
    <w:rsid w:val="00317AD3"/>
    <w:rsid w:val="00320BB3"/>
    <w:rsid w:val="00320DF2"/>
    <w:rsid w:val="003210F5"/>
    <w:rsid w:val="0032209A"/>
    <w:rsid w:val="00323BCB"/>
    <w:rsid w:val="00323F2B"/>
    <w:rsid w:val="00324E32"/>
    <w:rsid w:val="00326087"/>
    <w:rsid w:val="00326760"/>
    <w:rsid w:val="00326953"/>
    <w:rsid w:val="00326BD0"/>
    <w:rsid w:val="00327467"/>
    <w:rsid w:val="003275B7"/>
    <w:rsid w:val="00330496"/>
    <w:rsid w:val="0033156A"/>
    <w:rsid w:val="003319E7"/>
    <w:rsid w:val="00331D89"/>
    <w:rsid w:val="0033262C"/>
    <w:rsid w:val="00332B78"/>
    <w:rsid w:val="00335684"/>
    <w:rsid w:val="00335E55"/>
    <w:rsid w:val="00335FEF"/>
    <w:rsid w:val="003415F7"/>
    <w:rsid w:val="00341B9F"/>
    <w:rsid w:val="003425D8"/>
    <w:rsid w:val="00342919"/>
    <w:rsid w:val="00343087"/>
    <w:rsid w:val="0034317C"/>
    <w:rsid w:val="003450CC"/>
    <w:rsid w:val="003451F1"/>
    <w:rsid w:val="00345452"/>
    <w:rsid w:val="0034551F"/>
    <w:rsid w:val="003464F6"/>
    <w:rsid w:val="003465BD"/>
    <w:rsid w:val="00346B80"/>
    <w:rsid w:val="0034799A"/>
    <w:rsid w:val="00350DB1"/>
    <w:rsid w:val="0035101F"/>
    <w:rsid w:val="003511F9"/>
    <w:rsid w:val="0035242D"/>
    <w:rsid w:val="003533FF"/>
    <w:rsid w:val="00354810"/>
    <w:rsid w:val="003560F7"/>
    <w:rsid w:val="00356A38"/>
    <w:rsid w:val="00356A8F"/>
    <w:rsid w:val="00356F52"/>
    <w:rsid w:val="003572A6"/>
    <w:rsid w:val="0035759A"/>
    <w:rsid w:val="00360BB0"/>
    <w:rsid w:val="00360E3C"/>
    <w:rsid w:val="00361310"/>
    <w:rsid w:val="00361724"/>
    <w:rsid w:val="003626DD"/>
    <w:rsid w:val="0036401C"/>
    <w:rsid w:val="003642DB"/>
    <w:rsid w:val="003643EB"/>
    <w:rsid w:val="00364EB0"/>
    <w:rsid w:val="00365901"/>
    <w:rsid w:val="00365F74"/>
    <w:rsid w:val="003679A4"/>
    <w:rsid w:val="00370387"/>
    <w:rsid w:val="003705FD"/>
    <w:rsid w:val="00371098"/>
    <w:rsid w:val="00371E80"/>
    <w:rsid w:val="00372283"/>
    <w:rsid w:val="00372369"/>
    <w:rsid w:val="0037282C"/>
    <w:rsid w:val="003733DF"/>
    <w:rsid w:val="00374B37"/>
    <w:rsid w:val="00377052"/>
    <w:rsid w:val="00377DE3"/>
    <w:rsid w:val="00380524"/>
    <w:rsid w:val="00380BB3"/>
    <w:rsid w:val="003811B6"/>
    <w:rsid w:val="00381E13"/>
    <w:rsid w:val="00382AF2"/>
    <w:rsid w:val="0038407C"/>
    <w:rsid w:val="00384906"/>
    <w:rsid w:val="003865AB"/>
    <w:rsid w:val="00391366"/>
    <w:rsid w:val="0039186C"/>
    <w:rsid w:val="003919AB"/>
    <w:rsid w:val="00392143"/>
    <w:rsid w:val="00392C58"/>
    <w:rsid w:val="00396521"/>
    <w:rsid w:val="003971E3"/>
    <w:rsid w:val="0039741A"/>
    <w:rsid w:val="003A068E"/>
    <w:rsid w:val="003A0E74"/>
    <w:rsid w:val="003A0F73"/>
    <w:rsid w:val="003A118E"/>
    <w:rsid w:val="003A155F"/>
    <w:rsid w:val="003A2384"/>
    <w:rsid w:val="003A2506"/>
    <w:rsid w:val="003A279D"/>
    <w:rsid w:val="003A2931"/>
    <w:rsid w:val="003A4222"/>
    <w:rsid w:val="003A47A8"/>
    <w:rsid w:val="003A641B"/>
    <w:rsid w:val="003A6BE7"/>
    <w:rsid w:val="003B0965"/>
    <w:rsid w:val="003B34EC"/>
    <w:rsid w:val="003B3A25"/>
    <w:rsid w:val="003B3C93"/>
    <w:rsid w:val="003B6D53"/>
    <w:rsid w:val="003B73D9"/>
    <w:rsid w:val="003B79BF"/>
    <w:rsid w:val="003B7CFF"/>
    <w:rsid w:val="003B7D8A"/>
    <w:rsid w:val="003C0DEB"/>
    <w:rsid w:val="003C0E83"/>
    <w:rsid w:val="003C1124"/>
    <w:rsid w:val="003C191B"/>
    <w:rsid w:val="003C2CE5"/>
    <w:rsid w:val="003C2DB7"/>
    <w:rsid w:val="003C332E"/>
    <w:rsid w:val="003C3394"/>
    <w:rsid w:val="003C3807"/>
    <w:rsid w:val="003C39FD"/>
    <w:rsid w:val="003C4D8D"/>
    <w:rsid w:val="003C5147"/>
    <w:rsid w:val="003C7019"/>
    <w:rsid w:val="003C7D48"/>
    <w:rsid w:val="003D1F93"/>
    <w:rsid w:val="003D204B"/>
    <w:rsid w:val="003D3637"/>
    <w:rsid w:val="003D3889"/>
    <w:rsid w:val="003D5994"/>
    <w:rsid w:val="003D6A3F"/>
    <w:rsid w:val="003E0867"/>
    <w:rsid w:val="003E08BF"/>
    <w:rsid w:val="003E0C16"/>
    <w:rsid w:val="003E1282"/>
    <w:rsid w:val="003E2FC4"/>
    <w:rsid w:val="003E3750"/>
    <w:rsid w:val="003E3841"/>
    <w:rsid w:val="003E41F7"/>
    <w:rsid w:val="003E48DD"/>
    <w:rsid w:val="003E4B28"/>
    <w:rsid w:val="003E6167"/>
    <w:rsid w:val="003E76AC"/>
    <w:rsid w:val="003F01E9"/>
    <w:rsid w:val="003F03F5"/>
    <w:rsid w:val="003F0A73"/>
    <w:rsid w:val="003F1C32"/>
    <w:rsid w:val="003F38F4"/>
    <w:rsid w:val="003F3DF9"/>
    <w:rsid w:val="003F3E38"/>
    <w:rsid w:val="003F4456"/>
    <w:rsid w:val="003F4800"/>
    <w:rsid w:val="003F51E6"/>
    <w:rsid w:val="003F52BA"/>
    <w:rsid w:val="003F52E9"/>
    <w:rsid w:val="003F5F15"/>
    <w:rsid w:val="003F7218"/>
    <w:rsid w:val="003F7C61"/>
    <w:rsid w:val="00400B60"/>
    <w:rsid w:val="00400E77"/>
    <w:rsid w:val="00401104"/>
    <w:rsid w:val="004015A2"/>
    <w:rsid w:val="004036F1"/>
    <w:rsid w:val="00404905"/>
    <w:rsid w:val="00406A5F"/>
    <w:rsid w:val="00410950"/>
    <w:rsid w:val="00412202"/>
    <w:rsid w:val="004127FF"/>
    <w:rsid w:val="00413830"/>
    <w:rsid w:val="004149EA"/>
    <w:rsid w:val="00415086"/>
    <w:rsid w:val="0041558F"/>
    <w:rsid w:val="00416BAC"/>
    <w:rsid w:val="00417AAC"/>
    <w:rsid w:val="00417AEC"/>
    <w:rsid w:val="00420528"/>
    <w:rsid w:val="00420E05"/>
    <w:rsid w:val="0042166D"/>
    <w:rsid w:val="00421D97"/>
    <w:rsid w:val="0042225D"/>
    <w:rsid w:val="00422574"/>
    <w:rsid w:val="004225D5"/>
    <w:rsid w:val="004236AD"/>
    <w:rsid w:val="004239DC"/>
    <w:rsid w:val="00425023"/>
    <w:rsid w:val="00425877"/>
    <w:rsid w:val="00426552"/>
    <w:rsid w:val="004267FA"/>
    <w:rsid w:val="0042704A"/>
    <w:rsid w:val="00432F0D"/>
    <w:rsid w:val="004337FE"/>
    <w:rsid w:val="00433B3A"/>
    <w:rsid w:val="00433D9F"/>
    <w:rsid w:val="004354E9"/>
    <w:rsid w:val="004410FB"/>
    <w:rsid w:val="00441F15"/>
    <w:rsid w:val="004434FD"/>
    <w:rsid w:val="00444FE6"/>
    <w:rsid w:val="00445483"/>
    <w:rsid w:val="004458BA"/>
    <w:rsid w:val="00445E75"/>
    <w:rsid w:val="0044603E"/>
    <w:rsid w:val="0044665F"/>
    <w:rsid w:val="00446E7A"/>
    <w:rsid w:val="00447CEE"/>
    <w:rsid w:val="0045077A"/>
    <w:rsid w:val="00450F02"/>
    <w:rsid w:val="00452183"/>
    <w:rsid w:val="00453225"/>
    <w:rsid w:val="0045337B"/>
    <w:rsid w:val="00453F72"/>
    <w:rsid w:val="0045489E"/>
    <w:rsid w:val="00454C1E"/>
    <w:rsid w:val="00456426"/>
    <w:rsid w:val="00457A90"/>
    <w:rsid w:val="0046023F"/>
    <w:rsid w:val="00460713"/>
    <w:rsid w:val="00462CBA"/>
    <w:rsid w:val="00462E56"/>
    <w:rsid w:val="0046326A"/>
    <w:rsid w:val="00464C42"/>
    <w:rsid w:val="0046508C"/>
    <w:rsid w:val="00465183"/>
    <w:rsid w:val="00465726"/>
    <w:rsid w:val="004658EB"/>
    <w:rsid w:val="0046667D"/>
    <w:rsid w:val="00466BCC"/>
    <w:rsid w:val="004670F5"/>
    <w:rsid w:val="0046742D"/>
    <w:rsid w:val="00467480"/>
    <w:rsid w:val="00472ABC"/>
    <w:rsid w:val="00473800"/>
    <w:rsid w:val="00474087"/>
    <w:rsid w:val="00475053"/>
    <w:rsid w:val="00476D9C"/>
    <w:rsid w:val="00477CF1"/>
    <w:rsid w:val="00480B61"/>
    <w:rsid w:val="00481386"/>
    <w:rsid w:val="00481A1D"/>
    <w:rsid w:val="004823BC"/>
    <w:rsid w:val="004827DC"/>
    <w:rsid w:val="00482AE1"/>
    <w:rsid w:val="00483376"/>
    <w:rsid w:val="00483DCD"/>
    <w:rsid w:val="00483E40"/>
    <w:rsid w:val="00484BB4"/>
    <w:rsid w:val="00485679"/>
    <w:rsid w:val="00486BC8"/>
    <w:rsid w:val="004870AA"/>
    <w:rsid w:val="004909E0"/>
    <w:rsid w:val="00491468"/>
    <w:rsid w:val="0049169D"/>
    <w:rsid w:val="0049185B"/>
    <w:rsid w:val="00494E63"/>
    <w:rsid w:val="00495D29"/>
    <w:rsid w:val="00496683"/>
    <w:rsid w:val="004977B4"/>
    <w:rsid w:val="004978D4"/>
    <w:rsid w:val="004A1887"/>
    <w:rsid w:val="004A2A87"/>
    <w:rsid w:val="004A345D"/>
    <w:rsid w:val="004A367D"/>
    <w:rsid w:val="004A3959"/>
    <w:rsid w:val="004A42FD"/>
    <w:rsid w:val="004A592F"/>
    <w:rsid w:val="004A5B95"/>
    <w:rsid w:val="004A5FF9"/>
    <w:rsid w:val="004A656A"/>
    <w:rsid w:val="004A73A8"/>
    <w:rsid w:val="004A7B67"/>
    <w:rsid w:val="004B0C5F"/>
    <w:rsid w:val="004B181D"/>
    <w:rsid w:val="004B1ACF"/>
    <w:rsid w:val="004B1FEF"/>
    <w:rsid w:val="004B205D"/>
    <w:rsid w:val="004B2475"/>
    <w:rsid w:val="004B2B44"/>
    <w:rsid w:val="004B34C4"/>
    <w:rsid w:val="004B3B07"/>
    <w:rsid w:val="004B591F"/>
    <w:rsid w:val="004B5C30"/>
    <w:rsid w:val="004B7E98"/>
    <w:rsid w:val="004C004E"/>
    <w:rsid w:val="004C0C2B"/>
    <w:rsid w:val="004C2156"/>
    <w:rsid w:val="004C73A0"/>
    <w:rsid w:val="004D00F5"/>
    <w:rsid w:val="004D24BA"/>
    <w:rsid w:val="004D25AB"/>
    <w:rsid w:val="004D3225"/>
    <w:rsid w:val="004D3E0D"/>
    <w:rsid w:val="004D4DFE"/>
    <w:rsid w:val="004D4F69"/>
    <w:rsid w:val="004D50FA"/>
    <w:rsid w:val="004D5B85"/>
    <w:rsid w:val="004E046C"/>
    <w:rsid w:val="004E0C7F"/>
    <w:rsid w:val="004E11DA"/>
    <w:rsid w:val="004E1362"/>
    <w:rsid w:val="004E3128"/>
    <w:rsid w:val="004E374F"/>
    <w:rsid w:val="004E3D60"/>
    <w:rsid w:val="004E63A5"/>
    <w:rsid w:val="004E6A62"/>
    <w:rsid w:val="004E740E"/>
    <w:rsid w:val="004E7D98"/>
    <w:rsid w:val="004F0EC2"/>
    <w:rsid w:val="004F1A62"/>
    <w:rsid w:val="004F43EE"/>
    <w:rsid w:val="004F4EF8"/>
    <w:rsid w:val="004F557E"/>
    <w:rsid w:val="004F5CB5"/>
    <w:rsid w:val="004F681F"/>
    <w:rsid w:val="004F7111"/>
    <w:rsid w:val="004F7FF4"/>
    <w:rsid w:val="00500FF2"/>
    <w:rsid w:val="00501006"/>
    <w:rsid w:val="0050101E"/>
    <w:rsid w:val="005015FA"/>
    <w:rsid w:val="005019AA"/>
    <w:rsid w:val="00502430"/>
    <w:rsid w:val="00502A56"/>
    <w:rsid w:val="00502BF0"/>
    <w:rsid w:val="005030FA"/>
    <w:rsid w:val="005036F5"/>
    <w:rsid w:val="00503723"/>
    <w:rsid w:val="00504E09"/>
    <w:rsid w:val="0050519C"/>
    <w:rsid w:val="00505BD8"/>
    <w:rsid w:val="00506C8E"/>
    <w:rsid w:val="00506D04"/>
    <w:rsid w:val="00511206"/>
    <w:rsid w:val="00511DAF"/>
    <w:rsid w:val="00511F63"/>
    <w:rsid w:val="005123A2"/>
    <w:rsid w:val="005128B6"/>
    <w:rsid w:val="00512999"/>
    <w:rsid w:val="0051352D"/>
    <w:rsid w:val="00513C02"/>
    <w:rsid w:val="00514743"/>
    <w:rsid w:val="00514B28"/>
    <w:rsid w:val="00514D15"/>
    <w:rsid w:val="00515871"/>
    <w:rsid w:val="00515A37"/>
    <w:rsid w:val="00515B99"/>
    <w:rsid w:val="00516021"/>
    <w:rsid w:val="0051706C"/>
    <w:rsid w:val="00517364"/>
    <w:rsid w:val="00521A2D"/>
    <w:rsid w:val="00522735"/>
    <w:rsid w:val="0052287A"/>
    <w:rsid w:val="005237F8"/>
    <w:rsid w:val="00523828"/>
    <w:rsid w:val="005249F1"/>
    <w:rsid w:val="00527B81"/>
    <w:rsid w:val="0053028B"/>
    <w:rsid w:val="005302DA"/>
    <w:rsid w:val="0053058A"/>
    <w:rsid w:val="00530654"/>
    <w:rsid w:val="00530706"/>
    <w:rsid w:val="00530838"/>
    <w:rsid w:val="00531A4B"/>
    <w:rsid w:val="00532E5E"/>
    <w:rsid w:val="00532F0A"/>
    <w:rsid w:val="00532F2F"/>
    <w:rsid w:val="00533066"/>
    <w:rsid w:val="0053344E"/>
    <w:rsid w:val="00535590"/>
    <w:rsid w:val="00535691"/>
    <w:rsid w:val="00536193"/>
    <w:rsid w:val="005361CC"/>
    <w:rsid w:val="005365B1"/>
    <w:rsid w:val="00536632"/>
    <w:rsid w:val="0053675B"/>
    <w:rsid w:val="00536BBD"/>
    <w:rsid w:val="005375AD"/>
    <w:rsid w:val="00541967"/>
    <w:rsid w:val="00542505"/>
    <w:rsid w:val="00542B5F"/>
    <w:rsid w:val="00542D24"/>
    <w:rsid w:val="0054493C"/>
    <w:rsid w:val="0054567D"/>
    <w:rsid w:val="005471ED"/>
    <w:rsid w:val="0054793D"/>
    <w:rsid w:val="00547E3D"/>
    <w:rsid w:val="00551427"/>
    <w:rsid w:val="00552B01"/>
    <w:rsid w:val="00556CF6"/>
    <w:rsid w:val="00556D16"/>
    <w:rsid w:val="00556F6C"/>
    <w:rsid w:val="00561901"/>
    <w:rsid w:val="00561D6C"/>
    <w:rsid w:val="00561DCF"/>
    <w:rsid w:val="005639FE"/>
    <w:rsid w:val="00563C77"/>
    <w:rsid w:val="005641D3"/>
    <w:rsid w:val="00564D5F"/>
    <w:rsid w:val="00565266"/>
    <w:rsid w:val="00565737"/>
    <w:rsid w:val="005664D9"/>
    <w:rsid w:val="005679B6"/>
    <w:rsid w:val="0057044E"/>
    <w:rsid w:val="005715B2"/>
    <w:rsid w:val="00573A96"/>
    <w:rsid w:val="00573FCD"/>
    <w:rsid w:val="00574573"/>
    <w:rsid w:val="00575F21"/>
    <w:rsid w:val="00581219"/>
    <w:rsid w:val="00582184"/>
    <w:rsid w:val="00582D5F"/>
    <w:rsid w:val="0058382A"/>
    <w:rsid w:val="00586B46"/>
    <w:rsid w:val="00587274"/>
    <w:rsid w:val="00587741"/>
    <w:rsid w:val="00590B95"/>
    <w:rsid w:val="00591925"/>
    <w:rsid w:val="00592B75"/>
    <w:rsid w:val="00593137"/>
    <w:rsid w:val="00593FB6"/>
    <w:rsid w:val="00595329"/>
    <w:rsid w:val="00597601"/>
    <w:rsid w:val="005A169E"/>
    <w:rsid w:val="005A1AB3"/>
    <w:rsid w:val="005A1C9B"/>
    <w:rsid w:val="005A24AA"/>
    <w:rsid w:val="005A276B"/>
    <w:rsid w:val="005A2E78"/>
    <w:rsid w:val="005A327C"/>
    <w:rsid w:val="005A3465"/>
    <w:rsid w:val="005A375C"/>
    <w:rsid w:val="005A6084"/>
    <w:rsid w:val="005A79D1"/>
    <w:rsid w:val="005A7F70"/>
    <w:rsid w:val="005B02ED"/>
    <w:rsid w:val="005B0A26"/>
    <w:rsid w:val="005B2310"/>
    <w:rsid w:val="005B29A8"/>
    <w:rsid w:val="005B2D7C"/>
    <w:rsid w:val="005B413B"/>
    <w:rsid w:val="005B4952"/>
    <w:rsid w:val="005B524A"/>
    <w:rsid w:val="005B52AD"/>
    <w:rsid w:val="005B62F0"/>
    <w:rsid w:val="005B675A"/>
    <w:rsid w:val="005B78DA"/>
    <w:rsid w:val="005C1423"/>
    <w:rsid w:val="005C1B8E"/>
    <w:rsid w:val="005C231B"/>
    <w:rsid w:val="005C26F4"/>
    <w:rsid w:val="005C305B"/>
    <w:rsid w:val="005C66A6"/>
    <w:rsid w:val="005D2BB0"/>
    <w:rsid w:val="005D342B"/>
    <w:rsid w:val="005D4456"/>
    <w:rsid w:val="005D4AB9"/>
    <w:rsid w:val="005D4DEE"/>
    <w:rsid w:val="005D4E95"/>
    <w:rsid w:val="005D5494"/>
    <w:rsid w:val="005D6BBE"/>
    <w:rsid w:val="005D6DDE"/>
    <w:rsid w:val="005D6F16"/>
    <w:rsid w:val="005E17AC"/>
    <w:rsid w:val="005E2261"/>
    <w:rsid w:val="005E246A"/>
    <w:rsid w:val="005E547A"/>
    <w:rsid w:val="005E58A2"/>
    <w:rsid w:val="005E6C99"/>
    <w:rsid w:val="005E7DC2"/>
    <w:rsid w:val="005F060A"/>
    <w:rsid w:val="005F11F1"/>
    <w:rsid w:val="005F183C"/>
    <w:rsid w:val="005F18FA"/>
    <w:rsid w:val="005F1C5C"/>
    <w:rsid w:val="005F2471"/>
    <w:rsid w:val="005F55D6"/>
    <w:rsid w:val="005F5DA0"/>
    <w:rsid w:val="005F6863"/>
    <w:rsid w:val="005F7341"/>
    <w:rsid w:val="005F771E"/>
    <w:rsid w:val="005F77BE"/>
    <w:rsid w:val="005F7A8E"/>
    <w:rsid w:val="005F7C23"/>
    <w:rsid w:val="00600CEC"/>
    <w:rsid w:val="00602127"/>
    <w:rsid w:val="006022AB"/>
    <w:rsid w:val="00602B85"/>
    <w:rsid w:val="00605755"/>
    <w:rsid w:val="006060A5"/>
    <w:rsid w:val="00606CE3"/>
    <w:rsid w:val="006070E6"/>
    <w:rsid w:val="006072E0"/>
    <w:rsid w:val="00610862"/>
    <w:rsid w:val="006110C1"/>
    <w:rsid w:val="00612599"/>
    <w:rsid w:val="0061304A"/>
    <w:rsid w:val="006130F1"/>
    <w:rsid w:val="006135C1"/>
    <w:rsid w:val="00614D3E"/>
    <w:rsid w:val="006157AF"/>
    <w:rsid w:val="0061641E"/>
    <w:rsid w:val="00616D1F"/>
    <w:rsid w:val="006172ED"/>
    <w:rsid w:val="00617735"/>
    <w:rsid w:val="00620287"/>
    <w:rsid w:val="00621D8C"/>
    <w:rsid w:val="00623AFC"/>
    <w:rsid w:val="00626C01"/>
    <w:rsid w:val="00627496"/>
    <w:rsid w:val="00627B14"/>
    <w:rsid w:val="00630688"/>
    <w:rsid w:val="00630821"/>
    <w:rsid w:val="00631EC4"/>
    <w:rsid w:val="006321BF"/>
    <w:rsid w:val="0063279B"/>
    <w:rsid w:val="006327C3"/>
    <w:rsid w:val="0063386B"/>
    <w:rsid w:val="006342C6"/>
    <w:rsid w:val="00634335"/>
    <w:rsid w:val="00634F88"/>
    <w:rsid w:val="006356C9"/>
    <w:rsid w:val="00635A51"/>
    <w:rsid w:val="00635D89"/>
    <w:rsid w:val="006367AE"/>
    <w:rsid w:val="006368D9"/>
    <w:rsid w:val="00636AE0"/>
    <w:rsid w:val="00637581"/>
    <w:rsid w:val="006404B6"/>
    <w:rsid w:val="006427FD"/>
    <w:rsid w:val="00642988"/>
    <w:rsid w:val="0064460A"/>
    <w:rsid w:val="0064470C"/>
    <w:rsid w:val="00645880"/>
    <w:rsid w:val="006466AA"/>
    <w:rsid w:val="00647905"/>
    <w:rsid w:val="00647CEC"/>
    <w:rsid w:val="00651147"/>
    <w:rsid w:val="00651A18"/>
    <w:rsid w:val="00652055"/>
    <w:rsid w:val="00652812"/>
    <w:rsid w:val="0065387E"/>
    <w:rsid w:val="00653F9E"/>
    <w:rsid w:val="00654A01"/>
    <w:rsid w:val="006554A0"/>
    <w:rsid w:val="0065631D"/>
    <w:rsid w:val="00657511"/>
    <w:rsid w:val="006576BA"/>
    <w:rsid w:val="00657965"/>
    <w:rsid w:val="00661340"/>
    <w:rsid w:val="00661B98"/>
    <w:rsid w:val="00661D7E"/>
    <w:rsid w:val="00661FA5"/>
    <w:rsid w:val="00663065"/>
    <w:rsid w:val="00663B50"/>
    <w:rsid w:val="00665130"/>
    <w:rsid w:val="00665FB4"/>
    <w:rsid w:val="0066668E"/>
    <w:rsid w:val="00666A40"/>
    <w:rsid w:val="00666EEF"/>
    <w:rsid w:val="006670E0"/>
    <w:rsid w:val="0067014F"/>
    <w:rsid w:val="00670416"/>
    <w:rsid w:val="00671158"/>
    <w:rsid w:val="00671CAA"/>
    <w:rsid w:val="00671F52"/>
    <w:rsid w:val="00673538"/>
    <w:rsid w:val="00675439"/>
    <w:rsid w:val="00676DAE"/>
    <w:rsid w:val="006772F3"/>
    <w:rsid w:val="006821A1"/>
    <w:rsid w:val="00682C62"/>
    <w:rsid w:val="00682D19"/>
    <w:rsid w:val="00683583"/>
    <w:rsid w:val="006847FF"/>
    <w:rsid w:val="00684A07"/>
    <w:rsid w:val="00684E87"/>
    <w:rsid w:val="00684FB1"/>
    <w:rsid w:val="00685928"/>
    <w:rsid w:val="00686F62"/>
    <w:rsid w:val="0068794D"/>
    <w:rsid w:val="006879E1"/>
    <w:rsid w:val="00690862"/>
    <w:rsid w:val="00690A7B"/>
    <w:rsid w:val="00691A50"/>
    <w:rsid w:val="00691B3C"/>
    <w:rsid w:val="0069250C"/>
    <w:rsid w:val="00694106"/>
    <w:rsid w:val="00695652"/>
    <w:rsid w:val="0069627D"/>
    <w:rsid w:val="006973BE"/>
    <w:rsid w:val="006A0B1A"/>
    <w:rsid w:val="006A3365"/>
    <w:rsid w:val="006A3680"/>
    <w:rsid w:val="006A3CA7"/>
    <w:rsid w:val="006A5330"/>
    <w:rsid w:val="006A5DE3"/>
    <w:rsid w:val="006A6442"/>
    <w:rsid w:val="006B0C8C"/>
    <w:rsid w:val="006B2CBE"/>
    <w:rsid w:val="006B40CB"/>
    <w:rsid w:val="006B53A5"/>
    <w:rsid w:val="006B6671"/>
    <w:rsid w:val="006B6845"/>
    <w:rsid w:val="006B6F68"/>
    <w:rsid w:val="006B7815"/>
    <w:rsid w:val="006B7867"/>
    <w:rsid w:val="006C1B00"/>
    <w:rsid w:val="006C265A"/>
    <w:rsid w:val="006C2792"/>
    <w:rsid w:val="006C315C"/>
    <w:rsid w:val="006C349E"/>
    <w:rsid w:val="006C3690"/>
    <w:rsid w:val="006C447A"/>
    <w:rsid w:val="006C5F34"/>
    <w:rsid w:val="006C67CE"/>
    <w:rsid w:val="006C70BA"/>
    <w:rsid w:val="006C7AF6"/>
    <w:rsid w:val="006D0421"/>
    <w:rsid w:val="006D3277"/>
    <w:rsid w:val="006D35FC"/>
    <w:rsid w:val="006D3B94"/>
    <w:rsid w:val="006D52CD"/>
    <w:rsid w:val="006D5327"/>
    <w:rsid w:val="006D674F"/>
    <w:rsid w:val="006D7317"/>
    <w:rsid w:val="006D7684"/>
    <w:rsid w:val="006E12A7"/>
    <w:rsid w:val="006E1690"/>
    <w:rsid w:val="006E2480"/>
    <w:rsid w:val="006E30A7"/>
    <w:rsid w:val="006E3282"/>
    <w:rsid w:val="006E36E7"/>
    <w:rsid w:val="006E40B4"/>
    <w:rsid w:val="006E4294"/>
    <w:rsid w:val="006E4681"/>
    <w:rsid w:val="006E4A1C"/>
    <w:rsid w:val="006F00C2"/>
    <w:rsid w:val="006F0FB3"/>
    <w:rsid w:val="006F10B6"/>
    <w:rsid w:val="006F1AC2"/>
    <w:rsid w:val="006F2EE8"/>
    <w:rsid w:val="006F2F40"/>
    <w:rsid w:val="006F3268"/>
    <w:rsid w:val="006F50F9"/>
    <w:rsid w:val="006F55E3"/>
    <w:rsid w:val="006F682B"/>
    <w:rsid w:val="00700124"/>
    <w:rsid w:val="007006B0"/>
    <w:rsid w:val="007024F2"/>
    <w:rsid w:val="00702EC7"/>
    <w:rsid w:val="007037B8"/>
    <w:rsid w:val="00704FA8"/>
    <w:rsid w:val="007065E3"/>
    <w:rsid w:val="00706FE3"/>
    <w:rsid w:val="00707684"/>
    <w:rsid w:val="00707D1B"/>
    <w:rsid w:val="00710F4B"/>
    <w:rsid w:val="00711F3C"/>
    <w:rsid w:val="0071310E"/>
    <w:rsid w:val="00713175"/>
    <w:rsid w:val="00716E15"/>
    <w:rsid w:val="0071726D"/>
    <w:rsid w:val="00721451"/>
    <w:rsid w:val="007239EA"/>
    <w:rsid w:val="00724C83"/>
    <w:rsid w:val="00725F46"/>
    <w:rsid w:val="00726025"/>
    <w:rsid w:val="007268E3"/>
    <w:rsid w:val="007271CC"/>
    <w:rsid w:val="00727444"/>
    <w:rsid w:val="007309D4"/>
    <w:rsid w:val="007310D6"/>
    <w:rsid w:val="00732C17"/>
    <w:rsid w:val="00734423"/>
    <w:rsid w:val="0073508C"/>
    <w:rsid w:val="00735870"/>
    <w:rsid w:val="007378A8"/>
    <w:rsid w:val="00737B01"/>
    <w:rsid w:val="00737E4C"/>
    <w:rsid w:val="007406A8"/>
    <w:rsid w:val="00742EDE"/>
    <w:rsid w:val="007440FF"/>
    <w:rsid w:val="007451FC"/>
    <w:rsid w:val="007459FA"/>
    <w:rsid w:val="00745B01"/>
    <w:rsid w:val="007461ED"/>
    <w:rsid w:val="007467DD"/>
    <w:rsid w:val="00746BE7"/>
    <w:rsid w:val="00747005"/>
    <w:rsid w:val="00747EE5"/>
    <w:rsid w:val="007517B3"/>
    <w:rsid w:val="00752B1B"/>
    <w:rsid w:val="00752EE5"/>
    <w:rsid w:val="007538E4"/>
    <w:rsid w:val="007544D4"/>
    <w:rsid w:val="00755DA6"/>
    <w:rsid w:val="00756AC5"/>
    <w:rsid w:val="00760E06"/>
    <w:rsid w:val="00762AB3"/>
    <w:rsid w:val="00762DB6"/>
    <w:rsid w:val="00763E54"/>
    <w:rsid w:val="007656D4"/>
    <w:rsid w:val="007671EB"/>
    <w:rsid w:val="0076734A"/>
    <w:rsid w:val="007702CB"/>
    <w:rsid w:val="00770F02"/>
    <w:rsid w:val="00771078"/>
    <w:rsid w:val="00771937"/>
    <w:rsid w:val="00774034"/>
    <w:rsid w:val="00774594"/>
    <w:rsid w:val="00774CB1"/>
    <w:rsid w:val="007752C6"/>
    <w:rsid w:val="00776019"/>
    <w:rsid w:val="00776502"/>
    <w:rsid w:val="00776BDB"/>
    <w:rsid w:val="0077788F"/>
    <w:rsid w:val="00780149"/>
    <w:rsid w:val="0078039C"/>
    <w:rsid w:val="007805AB"/>
    <w:rsid w:val="00780B08"/>
    <w:rsid w:val="00781DB4"/>
    <w:rsid w:val="00782167"/>
    <w:rsid w:val="00784D5D"/>
    <w:rsid w:val="007852FE"/>
    <w:rsid w:val="00786B0B"/>
    <w:rsid w:val="007879FA"/>
    <w:rsid w:val="00790510"/>
    <w:rsid w:val="00790C9A"/>
    <w:rsid w:val="00790CF7"/>
    <w:rsid w:val="00792D1B"/>
    <w:rsid w:val="007939F5"/>
    <w:rsid w:val="00794645"/>
    <w:rsid w:val="00794B7C"/>
    <w:rsid w:val="0079560F"/>
    <w:rsid w:val="00796EF1"/>
    <w:rsid w:val="007A0D3C"/>
    <w:rsid w:val="007A0DB6"/>
    <w:rsid w:val="007A0EAB"/>
    <w:rsid w:val="007A1E88"/>
    <w:rsid w:val="007A2187"/>
    <w:rsid w:val="007A24DE"/>
    <w:rsid w:val="007A3504"/>
    <w:rsid w:val="007A43D7"/>
    <w:rsid w:val="007A4E91"/>
    <w:rsid w:val="007A5324"/>
    <w:rsid w:val="007A576C"/>
    <w:rsid w:val="007A5ADC"/>
    <w:rsid w:val="007A5C0F"/>
    <w:rsid w:val="007A69FC"/>
    <w:rsid w:val="007A7820"/>
    <w:rsid w:val="007A7E8C"/>
    <w:rsid w:val="007B0054"/>
    <w:rsid w:val="007B07B3"/>
    <w:rsid w:val="007B0D43"/>
    <w:rsid w:val="007B45E2"/>
    <w:rsid w:val="007B5638"/>
    <w:rsid w:val="007B5A3D"/>
    <w:rsid w:val="007B6750"/>
    <w:rsid w:val="007B6EBD"/>
    <w:rsid w:val="007C3392"/>
    <w:rsid w:val="007C47E3"/>
    <w:rsid w:val="007C4A6A"/>
    <w:rsid w:val="007C5C59"/>
    <w:rsid w:val="007C6242"/>
    <w:rsid w:val="007C766B"/>
    <w:rsid w:val="007D037E"/>
    <w:rsid w:val="007D03A0"/>
    <w:rsid w:val="007D0D29"/>
    <w:rsid w:val="007D1F7E"/>
    <w:rsid w:val="007D1FA4"/>
    <w:rsid w:val="007D273A"/>
    <w:rsid w:val="007D352F"/>
    <w:rsid w:val="007D4EFE"/>
    <w:rsid w:val="007D6E4C"/>
    <w:rsid w:val="007D70A8"/>
    <w:rsid w:val="007D7796"/>
    <w:rsid w:val="007D7C4F"/>
    <w:rsid w:val="007E1102"/>
    <w:rsid w:val="007E1430"/>
    <w:rsid w:val="007E144D"/>
    <w:rsid w:val="007E1F5D"/>
    <w:rsid w:val="007E393A"/>
    <w:rsid w:val="007E43BA"/>
    <w:rsid w:val="007E4B0A"/>
    <w:rsid w:val="007E58FA"/>
    <w:rsid w:val="007E5D56"/>
    <w:rsid w:val="007E67FE"/>
    <w:rsid w:val="007E7310"/>
    <w:rsid w:val="007E77EC"/>
    <w:rsid w:val="007E7DFB"/>
    <w:rsid w:val="007F03FE"/>
    <w:rsid w:val="007F2D49"/>
    <w:rsid w:val="007F3125"/>
    <w:rsid w:val="007F3FA8"/>
    <w:rsid w:val="007F44F2"/>
    <w:rsid w:val="007F5278"/>
    <w:rsid w:val="007F5460"/>
    <w:rsid w:val="007F610A"/>
    <w:rsid w:val="007F6E6C"/>
    <w:rsid w:val="007F7CA1"/>
    <w:rsid w:val="00800D0A"/>
    <w:rsid w:val="00800D8E"/>
    <w:rsid w:val="00802B85"/>
    <w:rsid w:val="008042CB"/>
    <w:rsid w:val="00804EF5"/>
    <w:rsid w:val="008066E0"/>
    <w:rsid w:val="00806D69"/>
    <w:rsid w:val="00807A42"/>
    <w:rsid w:val="008104BA"/>
    <w:rsid w:val="008105FB"/>
    <w:rsid w:val="00811766"/>
    <w:rsid w:val="0081292A"/>
    <w:rsid w:val="00813396"/>
    <w:rsid w:val="00813559"/>
    <w:rsid w:val="008145A5"/>
    <w:rsid w:val="00814614"/>
    <w:rsid w:val="00817AE3"/>
    <w:rsid w:val="00820393"/>
    <w:rsid w:val="00821DA0"/>
    <w:rsid w:val="00821F09"/>
    <w:rsid w:val="008228AE"/>
    <w:rsid w:val="00822C3A"/>
    <w:rsid w:val="00824112"/>
    <w:rsid w:val="00824E11"/>
    <w:rsid w:val="008258B3"/>
    <w:rsid w:val="0082630F"/>
    <w:rsid w:val="00827008"/>
    <w:rsid w:val="00831A91"/>
    <w:rsid w:val="00831C4A"/>
    <w:rsid w:val="00831D86"/>
    <w:rsid w:val="00831E36"/>
    <w:rsid w:val="008320B1"/>
    <w:rsid w:val="00832201"/>
    <w:rsid w:val="0083493A"/>
    <w:rsid w:val="00835444"/>
    <w:rsid w:val="00835A6A"/>
    <w:rsid w:val="00835A78"/>
    <w:rsid w:val="00836036"/>
    <w:rsid w:val="008360D1"/>
    <w:rsid w:val="0083612B"/>
    <w:rsid w:val="008364C1"/>
    <w:rsid w:val="00836688"/>
    <w:rsid w:val="00836742"/>
    <w:rsid w:val="0083715A"/>
    <w:rsid w:val="008376D8"/>
    <w:rsid w:val="00837F17"/>
    <w:rsid w:val="00841E18"/>
    <w:rsid w:val="00842CE5"/>
    <w:rsid w:val="00843283"/>
    <w:rsid w:val="008450CC"/>
    <w:rsid w:val="008452CB"/>
    <w:rsid w:val="008464DE"/>
    <w:rsid w:val="00846685"/>
    <w:rsid w:val="00847210"/>
    <w:rsid w:val="0084760E"/>
    <w:rsid w:val="00851C40"/>
    <w:rsid w:val="008531CF"/>
    <w:rsid w:val="0085333E"/>
    <w:rsid w:val="00854387"/>
    <w:rsid w:val="008564D7"/>
    <w:rsid w:val="008565A1"/>
    <w:rsid w:val="00856950"/>
    <w:rsid w:val="00856FE8"/>
    <w:rsid w:val="008573BE"/>
    <w:rsid w:val="0086010C"/>
    <w:rsid w:val="00860E21"/>
    <w:rsid w:val="00861185"/>
    <w:rsid w:val="00861702"/>
    <w:rsid w:val="00861E32"/>
    <w:rsid w:val="00862C63"/>
    <w:rsid w:val="00863E22"/>
    <w:rsid w:val="00866800"/>
    <w:rsid w:val="00866A06"/>
    <w:rsid w:val="00870157"/>
    <w:rsid w:val="00871017"/>
    <w:rsid w:val="00871AD8"/>
    <w:rsid w:val="00872A34"/>
    <w:rsid w:val="00873AA8"/>
    <w:rsid w:val="00874316"/>
    <w:rsid w:val="00874536"/>
    <w:rsid w:val="00874EF3"/>
    <w:rsid w:val="00874F98"/>
    <w:rsid w:val="008752F9"/>
    <w:rsid w:val="00876433"/>
    <w:rsid w:val="00877895"/>
    <w:rsid w:val="008810DC"/>
    <w:rsid w:val="00881B4E"/>
    <w:rsid w:val="00883F1D"/>
    <w:rsid w:val="00885DD0"/>
    <w:rsid w:val="008873A1"/>
    <w:rsid w:val="00887865"/>
    <w:rsid w:val="00887D27"/>
    <w:rsid w:val="00887F62"/>
    <w:rsid w:val="008901D3"/>
    <w:rsid w:val="0089031E"/>
    <w:rsid w:val="00890759"/>
    <w:rsid w:val="00891130"/>
    <w:rsid w:val="00891343"/>
    <w:rsid w:val="008916B1"/>
    <w:rsid w:val="00892666"/>
    <w:rsid w:val="008938E7"/>
    <w:rsid w:val="00895948"/>
    <w:rsid w:val="00895A7D"/>
    <w:rsid w:val="00897058"/>
    <w:rsid w:val="00897E96"/>
    <w:rsid w:val="008A03D8"/>
    <w:rsid w:val="008A0DA4"/>
    <w:rsid w:val="008A290C"/>
    <w:rsid w:val="008A3366"/>
    <w:rsid w:val="008A4344"/>
    <w:rsid w:val="008A5EF5"/>
    <w:rsid w:val="008A6826"/>
    <w:rsid w:val="008B00BD"/>
    <w:rsid w:val="008B06A9"/>
    <w:rsid w:val="008B0709"/>
    <w:rsid w:val="008B0722"/>
    <w:rsid w:val="008B0801"/>
    <w:rsid w:val="008B15A9"/>
    <w:rsid w:val="008B2228"/>
    <w:rsid w:val="008B3B19"/>
    <w:rsid w:val="008B3DF9"/>
    <w:rsid w:val="008B593C"/>
    <w:rsid w:val="008B5D80"/>
    <w:rsid w:val="008B5FF7"/>
    <w:rsid w:val="008B60DF"/>
    <w:rsid w:val="008B798F"/>
    <w:rsid w:val="008C0B86"/>
    <w:rsid w:val="008C1AD3"/>
    <w:rsid w:val="008C1B8D"/>
    <w:rsid w:val="008C2446"/>
    <w:rsid w:val="008C28C7"/>
    <w:rsid w:val="008C2E19"/>
    <w:rsid w:val="008C3BA4"/>
    <w:rsid w:val="008C3C3B"/>
    <w:rsid w:val="008C41AF"/>
    <w:rsid w:val="008C4C1A"/>
    <w:rsid w:val="008C6488"/>
    <w:rsid w:val="008C6809"/>
    <w:rsid w:val="008C68A8"/>
    <w:rsid w:val="008C72FF"/>
    <w:rsid w:val="008D0AEE"/>
    <w:rsid w:val="008D11A9"/>
    <w:rsid w:val="008D1732"/>
    <w:rsid w:val="008D287B"/>
    <w:rsid w:val="008D2BD5"/>
    <w:rsid w:val="008D34F2"/>
    <w:rsid w:val="008D36D2"/>
    <w:rsid w:val="008D3F58"/>
    <w:rsid w:val="008D48F5"/>
    <w:rsid w:val="008D4CE6"/>
    <w:rsid w:val="008D4E10"/>
    <w:rsid w:val="008D5D28"/>
    <w:rsid w:val="008D79F6"/>
    <w:rsid w:val="008D7E60"/>
    <w:rsid w:val="008E0144"/>
    <w:rsid w:val="008E0335"/>
    <w:rsid w:val="008E19B6"/>
    <w:rsid w:val="008E1B87"/>
    <w:rsid w:val="008E1FBF"/>
    <w:rsid w:val="008E4270"/>
    <w:rsid w:val="008E51C7"/>
    <w:rsid w:val="008E520B"/>
    <w:rsid w:val="008E5FAC"/>
    <w:rsid w:val="008E715F"/>
    <w:rsid w:val="008E7AE4"/>
    <w:rsid w:val="008F017D"/>
    <w:rsid w:val="008F01DC"/>
    <w:rsid w:val="008F15B9"/>
    <w:rsid w:val="008F1C82"/>
    <w:rsid w:val="008F213B"/>
    <w:rsid w:val="008F2D6F"/>
    <w:rsid w:val="008F2FD3"/>
    <w:rsid w:val="008F3E07"/>
    <w:rsid w:val="008F4A10"/>
    <w:rsid w:val="008F5671"/>
    <w:rsid w:val="008F5954"/>
    <w:rsid w:val="008F6D8D"/>
    <w:rsid w:val="0090031C"/>
    <w:rsid w:val="009006E2"/>
    <w:rsid w:val="0090090F"/>
    <w:rsid w:val="00900B3F"/>
    <w:rsid w:val="00901A83"/>
    <w:rsid w:val="00907146"/>
    <w:rsid w:val="00907609"/>
    <w:rsid w:val="00911101"/>
    <w:rsid w:val="009123A2"/>
    <w:rsid w:val="0091342A"/>
    <w:rsid w:val="00913559"/>
    <w:rsid w:val="00914369"/>
    <w:rsid w:val="00915200"/>
    <w:rsid w:val="00915A77"/>
    <w:rsid w:val="00920D16"/>
    <w:rsid w:val="00920D3A"/>
    <w:rsid w:val="00921E94"/>
    <w:rsid w:val="0092289B"/>
    <w:rsid w:val="00923432"/>
    <w:rsid w:val="0092495E"/>
    <w:rsid w:val="009250EE"/>
    <w:rsid w:val="009259B5"/>
    <w:rsid w:val="00926225"/>
    <w:rsid w:val="0092682D"/>
    <w:rsid w:val="00930F4A"/>
    <w:rsid w:val="00933C1B"/>
    <w:rsid w:val="00934C3A"/>
    <w:rsid w:val="00935F9B"/>
    <w:rsid w:val="00936C19"/>
    <w:rsid w:val="00937F6D"/>
    <w:rsid w:val="00941240"/>
    <w:rsid w:val="00941328"/>
    <w:rsid w:val="00944E79"/>
    <w:rsid w:val="00945D9C"/>
    <w:rsid w:val="00946B07"/>
    <w:rsid w:val="009471AD"/>
    <w:rsid w:val="00947BFD"/>
    <w:rsid w:val="009504F0"/>
    <w:rsid w:val="009509EC"/>
    <w:rsid w:val="00950BBB"/>
    <w:rsid w:val="0095111A"/>
    <w:rsid w:val="0095153A"/>
    <w:rsid w:val="00951DD5"/>
    <w:rsid w:val="00952262"/>
    <w:rsid w:val="00953048"/>
    <w:rsid w:val="009533B9"/>
    <w:rsid w:val="00953F96"/>
    <w:rsid w:val="0095493D"/>
    <w:rsid w:val="0095635F"/>
    <w:rsid w:val="009568D0"/>
    <w:rsid w:val="009576A6"/>
    <w:rsid w:val="00957883"/>
    <w:rsid w:val="00957A75"/>
    <w:rsid w:val="0096035D"/>
    <w:rsid w:val="009603D0"/>
    <w:rsid w:val="009606E0"/>
    <w:rsid w:val="00964DA9"/>
    <w:rsid w:val="00964E85"/>
    <w:rsid w:val="00965015"/>
    <w:rsid w:val="00965171"/>
    <w:rsid w:val="00966251"/>
    <w:rsid w:val="009665EB"/>
    <w:rsid w:val="00966A12"/>
    <w:rsid w:val="009672FC"/>
    <w:rsid w:val="00967528"/>
    <w:rsid w:val="0096774E"/>
    <w:rsid w:val="00967B89"/>
    <w:rsid w:val="00967C3B"/>
    <w:rsid w:val="00970E26"/>
    <w:rsid w:val="0097193E"/>
    <w:rsid w:val="00972338"/>
    <w:rsid w:val="009740F5"/>
    <w:rsid w:val="00974B31"/>
    <w:rsid w:val="00975C84"/>
    <w:rsid w:val="009761EC"/>
    <w:rsid w:val="009765DA"/>
    <w:rsid w:val="009769A3"/>
    <w:rsid w:val="00977A9A"/>
    <w:rsid w:val="00980514"/>
    <w:rsid w:val="00980562"/>
    <w:rsid w:val="009805D8"/>
    <w:rsid w:val="0098078A"/>
    <w:rsid w:val="0098160A"/>
    <w:rsid w:val="00983369"/>
    <w:rsid w:val="00983472"/>
    <w:rsid w:val="00983A07"/>
    <w:rsid w:val="00983DD5"/>
    <w:rsid w:val="00984FE3"/>
    <w:rsid w:val="00987DBC"/>
    <w:rsid w:val="00990E08"/>
    <w:rsid w:val="009910CE"/>
    <w:rsid w:val="00991632"/>
    <w:rsid w:val="00991A45"/>
    <w:rsid w:val="00992296"/>
    <w:rsid w:val="00992426"/>
    <w:rsid w:val="00992629"/>
    <w:rsid w:val="009928BB"/>
    <w:rsid w:val="00993829"/>
    <w:rsid w:val="00995BA2"/>
    <w:rsid w:val="00996BB9"/>
    <w:rsid w:val="00996C6F"/>
    <w:rsid w:val="00997131"/>
    <w:rsid w:val="00997C7F"/>
    <w:rsid w:val="009A0081"/>
    <w:rsid w:val="009A0E3C"/>
    <w:rsid w:val="009A1391"/>
    <w:rsid w:val="009A190E"/>
    <w:rsid w:val="009A2F62"/>
    <w:rsid w:val="009A3321"/>
    <w:rsid w:val="009A340F"/>
    <w:rsid w:val="009A381B"/>
    <w:rsid w:val="009A3C2C"/>
    <w:rsid w:val="009A42FD"/>
    <w:rsid w:val="009A446B"/>
    <w:rsid w:val="009A4AC5"/>
    <w:rsid w:val="009A6B50"/>
    <w:rsid w:val="009A7349"/>
    <w:rsid w:val="009A7D12"/>
    <w:rsid w:val="009B0479"/>
    <w:rsid w:val="009B14DA"/>
    <w:rsid w:val="009B1A8D"/>
    <w:rsid w:val="009B1C0B"/>
    <w:rsid w:val="009B27DB"/>
    <w:rsid w:val="009B2AEF"/>
    <w:rsid w:val="009B2E61"/>
    <w:rsid w:val="009B39BB"/>
    <w:rsid w:val="009B3B47"/>
    <w:rsid w:val="009B4252"/>
    <w:rsid w:val="009B4346"/>
    <w:rsid w:val="009B6503"/>
    <w:rsid w:val="009B79FC"/>
    <w:rsid w:val="009C0300"/>
    <w:rsid w:val="009C04E8"/>
    <w:rsid w:val="009C16C1"/>
    <w:rsid w:val="009C1FF3"/>
    <w:rsid w:val="009C20FF"/>
    <w:rsid w:val="009C25E9"/>
    <w:rsid w:val="009C2E4E"/>
    <w:rsid w:val="009C3634"/>
    <w:rsid w:val="009C408A"/>
    <w:rsid w:val="009C48C2"/>
    <w:rsid w:val="009C4A75"/>
    <w:rsid w:val="009C50E2"/>
    <w:rsid w:val="009C5A83"/>
    <w:rsid w:val="009C5A85"/>
    <w:rsid w:val="009C6418"/>
    <w:rsid w:val="009C6A9B"/>
    <w:rsid w:val="009C6AEE"/>
    <w:rsid w:val="009C777A"/>
    <w:rsid w:val="009C7B21"/>
    <w:rsid w:val="009C7C63"/>
    <w:rsid w:val="009C7F78"/>
    <w:rsid w:val="009D19A4"/>
    <w:rsid w:val="009D2658"/>
    <w:rsid w:val="009D26B7"/>
    <w:rsid w:val="009D2F82"/>
    <w:rsid w:val="009D2F8F"/>
    <w:rsid w:val="009D437D"/>
    <w:rsid w:val="009D526B"/>
    <w:rsid w:val="009D625C"/>
    <w:rsid w:val="009D7AA6"/>
    <w:rsid w:val="009E1525"/>
    <w:rsid w:val="009E187D"/>
    <w:rsid w:val="009E501B"/>
    <w:rsid w:val="009E5872"/>
    <w:rsid w:val="009E5C33"/>
    <w:rsid w:val="009E73BC"/>
    <w:rsid w:val="009E7D9F"/>
    <w:rsid w:val="009F00E7"/>
    <w:rsid w:val="009F0696"/>
    <w:rsid w:val="009F08A1"/>
    <w:rsid w:val="009F14CF"/>
    <w:rsid w:val="009F1DF4"/>
    <w:rsid w:val="009F20FD"/>
    <w:rsid w:val="009F34AE"/>
    <w:rsid w:val="009F541E"/>
    <w:rsid w:val="009F588F"/>
    <w:rsid w:val="009F6117"/>
    <w:rsid w:val="009F6C54"/>
    <w:rsid w:val="00A001B7"/>
    <w:rsid w:val="00A00600"/>
    <w:rsid w:val="00A00E58"/>
    <w:rsid w:val="00A016CA"/>
    <w:rsid w:val="00A01FBC"/>
    <w:rsid w:val="00A021ED"/>
    <w:rsid w:val="00A0627B"/>
    <w:rsid w:val="00A068D2"/>
    <w:rsid w:val="00A06E35"/>
    <w:rsid w:val="00A07579"/>
    <w:rsid w:val="00A07780"/>
    <w:rsid w:val="00A108CF"/>
    <w:rsid w:val="00A12930"/>
    <w:rsid w:val="00A129C9"/>
    <w:rsid w:val="00A13282"/>
    <w:rsid w:val="00A13F76"/>
    <w:rsid w:val="00A14C7C"/>
    <w:rsid w:val="00A1635E"/>
    <w:rsid w:val="00A16ED5"/>
    <w:rsid w:val="00A17AE6"/>
    <w:rsid w:val="00A20068"/>
    <w:rsid w:val="00A218E3"/>
    <w:rsid w:val="00A219AC"/>
    <w:rsid w:val="00A2261D"/>
    <w:rsid w:val="00A232B2"/>
    <w:rsid w:val="00A2356A"/>
    <w:rsid w:val="00A23E3A"/>
    <w:rsid w:val="00A248C2"/>
    <w:rsid w:val="00A252A7"/>
    <w:rsid w:val="00A2573E"/>
    <w:rsid w:val="00A25F7D"/>
    <w:rsid w:val="00A26239"/>
    <w:rsid w:val="00A2769F"/>
    <w:rsid w:val="00A27D55"/>
    <w:rsid w:val="00A27E9D"/>
    <w:rsid w:val="00A3036D"/>
    <w:rsid w:val="00A3095F"/>
    <w:rsid w:val="00A310BA"/>
    <w:rsid w:val="00A311DA"/>
    <w:rsid w:val="00A3164E"/>
    <w:rsid w:val="00A327CB"/>
    <w:rsid w:val="00A329C9"/>
    <w:rsid w:val="00A33096"/>
    <w:rsid w:val="00A3353E"/>
    <w:rsid w:val="00A34A9E"/>
    <w:rsid w:val="00A34B30"/>
    <w:rsid w:val="00A350FA"/>
    <w:rsid w:val="00A36CA0"/>
    <w:rsid w:val="00A372B3"/>
    <w:rsid w:val="00A40655"/>
    <w:rsid w:val="00A40B91"/>
    <w:rsid w:val="00A46BA4"/>
    <w:rsid w:val="00A46BF6"/>
    <w:rsid w:val="00A47E9D"/>
    <w:rsid w:val="00A501BF"/>
    <w:rsid w:val="00A501DB"/>
    <w:rsid w:val="00A50654"/>
    <w:rsid w:val="00A50917"/>
    <w:rsid w:val="00A54278"/>
    <w:rsid w:val="00A55671"/>
    <w:rsid w:val="00A563AE"/>
    <w:rsid w:val="00A6045E"/>
    <w:rsid w:val="00A60950"/>
    <w:rsid w:val="00A61619"/>
    <w:rsid w:val="00A61BB5"/>
    <w:rsid w:val="00A6264E"/>
    <w:rsid w:val="00A628DF"/>
    <w:rsid w:val="00A62F63"/>
    <w:rsid w:val="00A6332F"/>
    <w:rsid w:val="00A6534E"/>
    <w:rsid w:val="00A65C48"/>
    <w:rsid w:val="00A65D03"/>
    <w:rsid w:val="00A65DA1"/>
    <w:rsid w:val="00A660DC"/>
    <w:rsid w:val="00A67279"/>
    <w:rsid w:val="00A67BF7"/>
    <w:rsid w:val="00A70018"/>
    <w:rsid w:val="00A709EB"/>
    <w:rsid w:val="00A70B9D"/>
    <w:rsid w:val="00A7158B"/>
    <w:rsid w:val="00A73041"/>
    <w:rsid w:val="00A73350"/>
    <w:rsid w:val="00A73D64"/>
    <w:rsid w:val="00A73E57"/>
    <w:rsid w:val="00A75FDB"/>
    <w:rsid w:val="00A76164"/>
    <w:rsid w:val="00A7647B"/>
    <w:rsid w:val="00A7657A"/>
    <w:rsid w:val="00A7659E"/>
    <w:rsid w:val="00A76D6F"/>
    <w:rsid w:val="00A77073"/>
    <w:rsid w:val="00A77B86"/>
    <w:rsid w:val="00A81597"/>
    <w:rsid w:val="00A82CC5"/>
    <w:rsid w:val="00A85207"/>
    <w:rsid w:val="00A870DF"/>
    <w:rsid w:val="00A87ED1"/>
    <w:rsid w:val="00A9093C"/>
    <w:rsid w:val="00A92E5F"/>
    <w:rsid w:val="00A94337"/>
    <w:rsid w:val="00A95075"/>
    <w:rsid w:val="00A9611C"/>
    <w:rsid w:val="00A9672F"/>
    <w:rsid w:val="00AA0586"/>
    <w:rsid w:val="00AA0616"/>
    <w:rsid w:val="00AA196E"/>
    <w:rsid w:val="00AA34DB"/>
    <w:rsid w:val="00AA35FB"/>
    <w:rsid w:val="00AA394F"/>
    <w:rsid w:val="00AA4846"/>
    <w:rsid w:val="00AA4CA4"/>
    <w:rsid w:val="00AA53C7"/>
    <w:rsid w:val="00AA59A8"/>
    <w:rsid w:val="00AA59FC"/>
    <w:rsid w:val="00AA5E00"/>
    <w:rsid w:val="00AA716D"/>
    <w:rsid w:val="00AB010E"/>
    <w:rsid w:val="00AB0B78"/>
    <w:rsid w:val="00AB1312"/>
    <w:rsid w:val="00AB2CAD"/>
    <w:rsid w:val="00AB42DD"/>
    <w:rsid w:val="00AB51EE"/>
    <w:rsid w:val="00AB6521"/>
    <w:rsid w:val="00AB7146"/>
    <w:rsid w:val="00AB7C43"/>
    <w:rsid w:val="00AC052B"/>
    <w:rsid w:val="00AC1338"/>
    <w:rsid w:val="00AC1C62"/>
    <w:rsid w:val="00AC26C2"/>
    <w:rsid w:val="00AC2EB3"/>
    <w:rsid w:val="00AC3D39"/>
    <w:rsid w:val="00AC4415"/>
    <w:rsid w:val="00AC479B"/>
    <w:rsid w:val="00AC499F"/>
    <w:rsid w:val="00AC558E"/>
    <w:rsid w:val="00AC5A99"/>
    <w:rsid w:val="00AC630A"/>
    <w:rsid w:val="00AC78E5"/>
    <w:rsid w:val="00AC7968"/>
    <w:rsid w:val="00AC7B1C"/>
    <w:rsid w:val="00AD048E"/>
    <w:rsid w:val="00AD067F"/>
    <w:rsid w:val="00AD0830"/>
    <w:rsid w:val="00AD0DC6"/>
    <w:rsid w:val="00AD1432"/>
    <w:rsid w:val="00AD24A1"/>
    <w:rsid w:val="00AD343D"/>
    <w:rsid w:val="00AD40EB"/>
    <w:rsid w:val="00AD4DFC"/>
    <w:rsid w:val="00AD4E9C"/>
    <w:rsid w:val="00AD5157"/>
    <w:rsid w:val="00AD70B4"/>
    <w:rsid w:val="00AE0E0B"/>
    <w:rsid w:val="00AE2DDC"/>
    <w:rsid w:val="00AE3A79"/>
    <w:rsid w:val="00AE4567"/>
    <w:rsid w:val="00AE4B7D"/>
    <w:rsid w:val="00AE61F5"/>
    <w:rsid w:val="00AF13C9"/>
    <w:rsid w:val="00AF298F"/>
    <w:rsid w:val="00AF2D81"/>
    <w:rsid w:val="00AF4C35"/>
    <w:rsid w:val="00AF521E"/>
    <w:rsid w:val="00AF528D"/>
    <w:rsid w:val="00AF59C8"/>
    <w:rsid w:val="00AF62DF"/>
    <w:rsid w:val="00AF6C78"/>
    <w:rsid w:val="00B00E8B"/>
    <w:rsid w:val="00B02200"/>
    <w:rsid w:val="00B03EC1"/>
    <w:rsid w:val="00B051E4"/>
    <w:rsid w:val="00B06196"/>
    <w:rsid w:val="00B07737"/>
    <w:rsid w:val="00B10219"/>
    <w:rsid w:val="00B10244"/>
    <w:rsid w:val="00B10841"/>
    <w:rsid w:val="00B1305D"/>
    <w:rsid w:val="00B1378E"/>
    <w:rsid w:val="00B13AD7"/>
    <w:rsid w:val="00B13F15"/>
    <w:rsid w:val="00B14AF3"/>
    <w:rsid w:val="00B15405"/>
    <w:rsid w:val="00B15BD9"/>
    <w:rsid w:val="00B16515"/>
    <w:rsid w:val="00B16FA4"/>
    <w:rsid w:val="00B178BD"/>
    <w:rsid w:val="00B17B45"/>
    <w:rsid w:val="00B20E74"/>
    <w:rsid w:val="00B21C0A"/>
    <w:rsid w:val="00B225C5"/>
    <w:rsid w:val="00B229D8"/>
    <w:rsid w:val="00B2348B"/>
    <w:rsid w:val="00B24DFC"/>
    <w:rsid w:val="00B26437"/>
    <w:rsid w:val="00B26BE9"/>
    <w:rsid w:val="00B26E58"/>
    <w:rsid w:val="00B26FE9"/>
    <w:rsid w:val="00B2771B"/>
    <w:rsid w:val="00B3110E"/>
    <w:rsid w:val="00B323AA"/>
    <w:rsid w:val="00B32BA9"/>
    <w:rsid w:val="00B342C6"/>
    <w:rsid w:val="00B35194"/>
    <w:rsid w:val="00B355A7"/>
    <w:rsid w:val="00B3635C"/>
    <w:rsid w:val="00B365E9"/>
    <w:rsid w:val="00B377D5"/>
    <w:rsid w:val="00B40306"/>
    <w:rsid w:val="00B40DFA"/>
    <w:rsid w:val="00B41646"/>
    <w:rsid w:val="00B41BA9"/>
    <w:rsid w:val="00B4240E"/>
    <w:rsid w:val="00B42580"/>
    <w:rsid w:val="00B42B20"/>
    <w:rsid w:val="00B45103"/>
    <w:rsid w:val="00B45F97"/>
    <w:rsid w:val="00B46656"/>
    <w:rsid w:val="00B52FCC"/>
    <w:rsid w:val="00B531D9"/>
    <w:rsid w:val="00B534D6"/>
    <w:rsid w:val="00B5380C"/>
    <w:rsid w:val="00B53DB4"/>
    <w:rsid w:val="00B53F99"/>
    <w:rsid w:val="00B54D7B"/>
    <w:rsid w:val="00B54DEE"/>
    <w:rsid w:val="00B54E35"/>
    <w:rsid w:val="00B55962"/>
    <w:rsid w:val="00B60BF4"/>
    <w:rsid w:val="00B612A4"/>
    <w:rsid w:val="00B619F0"/>
    <w:rsid w:val="00B61CB6"/>
    <w:rsid w:val="00B6318A"/>
    <w:rsid w:val="00B6390D"/>
    <w:rsid w:val="00B64B39"/>
    <w:rsid w:val="00B71798"/>
    <w:rsid w:val="00B71C4B"/>
    <w:rsid w:val="00B71D41"/>
    <w:rsid w:val="00B72440"/>
    <w:rsid w:val="00B725AD"/>
    <w:rsid w:val="00B72C89"/>
    <w:rsid w:val="00B72F91"/>
    <w:rsid w:val="00B7376D"/>
    <w:rsid w:val="00B73D27"/>
    <w:rsid w:val="00B744EA"/>
    <w:rsid w:val="00B754CA"/>
    <w:rsid w:val="00B76B84"/>
    <w:rsid w:val="00B76CE5"/>
    <w:rsid w:val="00B76E6A"/>
    <w:rsid w:val="00B803B6"/>
    <w:rsid w:val="00B811F2"/>
    <w:rsid w:val="00B828DD"/>
    <w:rsid w:val="00B82B8A"/>
    <w:rsid w:val="00B83225"/>
    <w:rsid w:val="00B83EFE"/>
    <w:rsid w:val="00B85533"/>
    <w:rsid w:val="00B857B0"/>
    <w:rsid w:val="00B85824"/>
    <w:rsid w:val="00B86DA0"/>
    <w:rsid w:val="00B87227"/>
    <w:rsid w:val="00B87CD8"/>
    <w:rsid w:val="00B91580"/>
    <w:rsid w:val="00B918A6"/>
    <w:rsid w:val="00B9278A"/>
    <w:rsid w:val="00B92938"/>
    <w:rsid w:val="00B933B4"/>
    <w:rsid w:val="00B937D1"/>
    <w:rsid w:val="00B93DC8"/>
    <w:rsid w:val="00B947BC"/>
    <w:rsid w:val="00B94E75"/>
    <w:rsid w:val="00B952B6"/>
    <w:rsid w:val="00B95AA7"/>
    <w:rsid w:val="00B97466"/>
    <w:rsid w:val="00B97F50"/>
    <w:rsid w:val="00BA0032"/>
    <w:rsid w:val="00BA1725"/>
    <w:rsid w:val="00BA1F29"/>
    <w:rsid w:val="00BA2374"/>
    <w:rsid w:val="00BA24DA"/>
    <w:rsid w:val="00BA27E8"/>
    <w:rsid w:val="00BA38D7"/>
    <w:rsid w:val="00BA4DA0"/>
    <w:rsid w:val="00BA5CF6"/>
    <w:rsid w:val="00BA75D0"/>
    <w:rsid w:val="00BB023B"/>
    <w:rsid w:val="00BB02CB"/>
    <w:rsid w:val="00BB1694"/>
    <w:rsid w:val="00BB1DFA"/>
    <w:rsid w:val="00BB1EC5"/>
    <w:rsid w:val="00BB226E"/>
    <w:rsid w:val="00BB2AFC"/>
    <w:rsid w:val="00BB2BC9"/>
    <w:rsid w:val="00BB34CF"/>
    <w:rsid w:val="00BB3728"/>
    <w:rsid w:val="00BB37EB"/>
    <w:rsid w:val="00BB52BC"/>
    <w:rsid w:val="00BB7592"/>
    <w:rsid w:val="00BB769D"/>
    <w:rsid w:val="00BB7AC2"/>
    <w:rsid w:val="00BC0E08"/>
    <w:rsid w:val="00BC1070"/>
    <w:rsid w:val="00BC1A19"/>
    <w:rsid w:val="00BC2609"/>
    <w:rsid w:val="00BC2C0C"/>
    <w:rsid w:val="00BC3591"/>
    <w:rsid w:val="00BC4277"/>
    <w:rsid w:val="00BC4F0B"/>
    <w:rsid w:val="00BC665C"/>
    <w:rsid w:val="00BC6BE6"/>
    <w:rsid w:val="00BC6F65"/>
    <w:rsid w:val="00BC79E2"/>
    <w:rsid w:val="00BD28DC"/>
    <w:rsid w:val="00BD3226"/>
    <w:rsid w:val="00BD32C9"/>
    <w:rsid w:val="00BD3E17"/>
    <w:rsid w:val="00BD3F3B"/>
    <w:rsid w:val="00BD4127"/>
    <w:rsid w:val="00BD7DD0"/>
    <w:rsid w:val="00BE076A"/>
    <w:rsid w:val="00BE1FCC"/>
    <w:rsid w:val="00BE20E6"/>
    <w:rsid w:val="00BE2287"/>
    <w:rsid w:val="00BE2719"/>
    <w:rsid w:val="00BE3DC9"/>
    <w:rsid w:val="00BE4DA5"/>
    <w:rsid w:val="00BE577F"/>
    <w:rsid w:val="00BE671B"/>
    <w:rsid w:val="00BE7C21"/>
    <w:rsid w:val="00BF0D5E"/>
    <w:rsid w:val="00BF22E8"/>
    <w:rsid w:val="00BF39D4"/>
    <w:rsid w:val="00BF4B52"/>
    <w:rsid w:val="00BF65C3"/>
    <w:rsid w:val="00BF6D1E"/>
    <w:rsid w:val="00BF7D0C"/>
    <w:rsid w:val="00C009F1"/>
    <w:rsid w:val="00C01071"/>
    <w:rsid w:val="00C01DF2"/>
    <w:rsid w:val="00C01E8B"/>
    <w:rsid w:val="00C024EE"/>
    <w:rsid w:val="00C04539"/>
    <w:rsid w:val="00C0463C"/>
    <w:rsid w:val="00C0582E"/>
    <w:rsid w:val="00C05B04"/>
    <w:rsid w:val="00C1083B"/>
    <w:rsid w:val="00C108BC"/>
    <w:rsid w:val="00C11DDC"/>
    <w:rsid w:val="00C12222"/>
    <w:rsid w:val="00C125D3"/>
    <w:rsid w:val="00C1518F"/>
    <w:rsid w:val="00C15B00"/>
    <w:rsid w:val="00C15F1C"/>
    <w:rsid w:val="00C16350"/>
    <w:rsid w:val="00C16AB4"/>
    <w:rsid w:val="00C1743B"/>
    <w:rsid w:val="00C1778E"/>
    <w:rsid w:val="00C1794A"/>
    <w:rsid w:val="00C17C35"/>
    <w:rsid w:val="00C21F96"/>
    <w:rsid w:val="00C235BC"/>
    <w:rsid w:val="00C23A6C"/>
    <w:rsid w:val="00C2684B"/>
    <w:rsid w:val="00C3353B"/>
    <w:rsid w:val="00C33FAB"/>
    <w:rsid w:val="00C3522F"/>
    <w:rsid w:val="00C378DE"/>
    <w:rsid w:val="00C41101"/>
    <w:rsid w:val="00C41D04"/>
    <w:rsid w:val="00C41F33"/>
    <w:rsid w:val="00C42AD0"/>
    <w:rsid w:val="00C4353B"/>
    <w:rsid w:val="00C43CF2"/>
    <w:rsid w:val="00C43EAA"/>
    <w:rsid w:val="00C44700"/>
    <w:rsid w:val="00C44900"/>
    <w:rsid w:val="00C453FF"/>
    <w:rsid w:val="00C45FBF"/>
    <w:rsid w:val="00C47D55"/>
    <w:rsid w:val="00C5005F"/>
    <w:rsid w:val="00C50560"/>
    <w:rsid w:val="00C50767"/>
    <w:rsid w:val="00C50884"/>
    <w:rsid w:val="00C51F70"/>
    <w:rsid w:val="00C52016"/>
    <w:rsid w:val="00C52F06"/>
    <w:rsid w:val="00C52F93"/>
    <w:rsid w:val="00C530E9"/>
    <w:rsid w:val="00C53106"/>
    <w:rsid w:val="00C539A1"/>
    <w:rsid w:val="00C56662"/>
    <w:rsid w:val="00C569E3"/>
    <w:rsid w:val="00C56CEA"/>
    <w:rsid w:val="00C574AF"/>
    <w:rsid w:val="00C57B66"/>
    <w:rsid w:val="00C60AD9"/>
    <w:rsid w:val="00C6131B"/>
    <w:rsid w:val="00C6373D"/>
    <w:rsid w:val="00C63B67"/>
    <w:rsid w:val="00C6426E"/>
    <w:rsid w:val="00C6599D"/>
    <w:rsid w:val="00C6767D"/>
    <w:rsid w:val="00C73135"/>
    <w:rsid w:val="00C73C17"/>
    <w:rsid w:val="00C73C72"/>
    <w:rsid w:val="00C742CF"/>
    <w:rsid w:val="00C75723"/>
    <w:rsid w:val="00C75E86"/>
    <w:rsid w:val="00C77483"/>
    <w:rsid w:val="00C775C5"/>
    <w:rsid w:val="00C8046A"/>
    <w:rsid w:val="00C80FD4"/>
    <w:rsid w:val="00C8206E"/>
    <w:rsid w:val="00C8346F"/>
    <w:rsid w:val="00C84E69"/>
    <w:rsid w:val="00C8612E"/>
    <w:rsid w:val="00C8657D"/>
    <w:rsid w:val="00C870A8"/>
    <w:rsid w:val="00C873FE"/>
    <w:rsid w:val="00C8769D"/>
    <w:rsid w:val="00C87D47"/>
    <w:rsid w:val="00C9016E"/>
    <w:rsid w:val="00C90587"/>
    <w:rsid w:val="00C93090"/>
    <w:rsid w:val="00C93168"/>
    <w:rsid w:val="00C93ACC"/>
    <w:rsid w:val="00C94A00"/>
    <w:rsid w:val="00C94FEC"/>
    <w:rsid w:val="00C96E2A"/>
    <w:rsid w:val="00C971FA"/>
    <w:rsid w:val="00C97235"/>
    <w:rsid w:val="00CA03DC"/>
    <w:rsid w:val="00CA0CFC"/>
    <w:rsid w:val="00CA248D"/>
    <w:rsid w:val="00CA5F59"/>
    <w:rsid w:val="00CA6851"/>
    <w:rsid w:val="00CA6902"/>
    <w:rsid w:val="00CB0E54"/>
    <w:rsid w:val="00CB0F12"/>
    <w:rsid w:val="00CB1C1A"/>
    <w:rsid w:val="00CB2C87"/>
    <w:rsid w:val="00CB2E92"/>
    <w:rsid w:val="00CB38EA"/>
    <w:rsid w:val="00CB4153"/>
    <w:rsid w:val="00CB45C7"/>
    <w:rsid w:val="00CB4823"/>
    <w:rsid w:val="00CB57E5"/>
    <w:rsid w:val="00CB5957"/>
    <w:rsid w:val="00CB7238"/>
    <w:rsid w:val="00CB7467"/>
    <w:rsid w:val="00CB757E"/>
    <w:rsid w:val="00CC0935"/>
    <w:rsid w:val="00CC1AF5"/>
    <w:rsid w:val="00CC1B0B"/>
    <w:rsid w:val="00CC1E94"/>
    <w:rsid w:val="00CC2735"/>
    <w:rsid w:val="00CC2C32"/>
    <w:rsid w:val="00CC62B3"/>
    <w:rsid w:val="00CC6B98"/>
    <w:rsid w:val="00CC77F0"/>
    <w:rsid w:val="00CD00B1"/>
    <w:rsid w:val="00CD04A7"/>
    <w:rsid w:val="00CD174B"/>
    <w:rsid w:val="00CD19EF"/>
    <w:rsid w:val="00CD46C4"/>
    <w:rsid w:val="00CD494E"/>
    <w:rsid w:val="00CD7B88"/>
    <w:rsid w:val="00CD7E0E"/>
    <w:rsid w:val="00CE01D2"/>
    <w:rsid w:val="00CE32B0"/>
    <w:rsid w:val="00CE3B52"/>
    <w:rsid w:val="00CE65D4"/>
    <w:rsid w:val="00CE7683"/>
    <w:rsid w:val="00CF1C07"/>
    <w:rsid w:val="00CF2A82"/>
    <w:rsid w:val="00CF2C44"/>
    <w:rsid w:val="00CF38D9"/>
    <w:rsid w:val="00CF41A8"/>
    <w:rsid w:val="00CF4354"/>
    <w:rsid w:val="00CF4517"/>
    <w:rsid w:val="00CF5713"/>
    <w:rsid w:val="00CF6EB1"/>
    <w:rsid w:val="00CF6F8C"/>
    <w:rsid w:val="00CF7AEF"/>
    <w:rsid w:val="00D007F1"/>
    <w:rsid w:val="00D01037"/>
    <w:rsid w:val="00D016D6"/>
    <w:rsid w:val="00D019A5"/>
    <w:rsid w:val="00D01D5F"/>
    <w:rsid w:val="00D02C62"/>
    <w:rsid w:val="00D031C6"/>
    <w:rsid w:val="00D0342B"/>
    <w:rsid w:val="00D0363D"/>
    <w:rsid w:val="00D049E3"/>
    <w:rsid w:val="00D05B31"/>
    <w:rsid w:val="00D05D6B"/>
    <w:rsid w:val="00D0647F"/>
    <w:rsid w:val="00D064CE"/>
    <w:rsid w:val="00D06513"/>
    <w:rsid w:val="00D06BCC"/>
    <w:rsid w:val="00D06CB6"/>
    <w:rsid w:val="00D0719B"/>
    <w:rsid w:val="00D07637"/>
    <w:rsid w:val="00D0788F"/>
    <w:rsid w:val="00D07A9F"/>
    <w:rsid w:val="00D11E11"/>
    <w:rsid w:val="00D14A5F"/>
    <w:rsid w:val="00D1692E"/>
    <w:rsid w:val="00D16E48"/>
    <w:rsid w:val="00D17541"/>
    <w:rsid w:val="00D1763A"/>
    <w:rsid w:val="00D177FC"/>
    <w:rsid w:val="00D179FC"/>
    <w:rsid w:val="00D2042B"/>
    <w:rsid w:val="00D21BCE"/>
    <w:rsid w:val="00D21FDE"/>
    <w:rsid w:val="00D23A33"/>
    <w:rsid w:val="00D25059"/>
    <w:rsid w:val="00D25147"/>
    <w:rsid w:val="00D26F85"/>
    <w:rsid w:val="00D272E2"/>
    <w:rsid w:val="00D278B6"/>
    <w:rsid w:val="00D301AA"/>
    <w:rsid w:val="00D306DA"/>
    <w:rsid w:val="00D30DFC"/>
    <w:rsid w:val="00D31DE5"/>
    <w:rsid w:val="00D31E37"/>
    <w:rsid w:val="00D329A2"/>
    <w:rsid w:val="00D34EB7"/>
    <w:rsid w:val="00D377FA"/>
    <w:rsid w:val="00D409C0"/>
    <w:rsid w:val="00D4221E"/>
    <w:rsid w:val="00D44477"/>
    <w:rsid w:val="00D45119"/>
    <w:rsid w:val="00D456F9"/>
    <w:rsid w:val="00D45AA9"/>
    <w:rsid w:val="00D46702"/>
    <w:rsid w:val="00D47075"/>
    <w:rsid w:val="00D47753"/>
    <w:rsid w:val="00D47CF8"/>
    <w:rsid w:val="00D50975"/>
    <w:rsid w:val="00D50D31"/>
    <w:rsid w:val="00D51643"/>
    <w:rsid w:val="00D51DAA"/>
    <w:rsid w:val="00D5263D"/>
    <w:rsid w:val="00D52C75"/>
    <w:rsid w:val="00D543B8"/>
    <w:rsid w:val="00D55263"/>
    <w:rsid w:val="00D55C23"/>
    <w:rsid w:val="00D57AFC"/>
    <w:rsid w:val="00D6128A"/>
    <w:rsid w:val="00D61867"/>
    <w:rsid w:val="00D61B54"/>
    <w:rsid w:val="00D622EC"/>
    <w:rsid w:val="00D62FA4"/>
    <w:rsid w:val="00D63A41"/>
    <w:rsid w:val="00D6501F"/>
    <w:rsid w:val="00D65385"/>
    <w:rsid w:val="00D657B6"/>
    <w:rsid w:val="00D65A2D"/>
    <w:rsid w:val="00D65A5E"/>
    <w:rsid w:val="00D65D59"/>
    <w:rsid w:val="00D713AD"/>
    <w:rsid w:val="00D72F3E"/>
    <w:rsid w:val="00D7357B"/>
    <w:rsid w:val="00D737F3"/>
    <w:rsid w:val="00D73C51"/>
    <w:rsid w:val="00D74929"/>
    <w:rsid w:val="00D750E9"/>
    <w:rsid w:val="00D75496"/>
    <w:rsid w:val="00D76330"/>
    <w:rsid w:val="00D76AE4"/>
    <w:rsid w:val="00D8016A"/>
    <w:rsid w:val="00D801F3"/>
    <w:rsid w:val="00D81456"/>
    <w:rsid w:val="00D84B8E"/>
    <w:rsid w:val="00D84C8D"/>
    <w:rsid w:val="00D855DE"/>
    <w:rsid w:val="00D856DD"/>
    <w:rsid w:val="00D86F64"/>
    <w:rsid w:val="00D87B10"/>
    <w:rsid w:val="00D91113"/>
    <w:rsid w:val="00D92493"/>
    <w:rsid w:val="00D95075"/>
    <w:rsid w:val="00D97A66"/>
    <w:rsid w:val="00D97B2A"/>
    <w:rsid w:val="00DA01C4"/>
    <w:rsid w:val="00DA0448"/>
    <w:rsid w:val="00DA0532"/>
    <w:rsid w:val="00DA1A27"/>
    <w:rsid w:val="00DA1E36"/>
    <w:rsid w:val="00DA61BF"/>
    <w:rsid w:val="00DA644B"/>
    <w:rsid w:val="00DA68E2"/>
    <w:rsid w:val="00DA6E94"/>
    <w:rsid w:val="00DB0D88"/>
    <w:rsid w:val="00DB1727"/>
    <w:rsid w:val="00DB2BC0"/>
    <w:rsid w:val="00DB4123"/>
    <w:rsid w:val="00DB488E"/>
    <w:rsid w:val="00DB4A84"/>
    <w:rsid w:val="00DB52CC"/>
    <w:rsid w:val="00DC0113"/>
    <w:rsid w:val="00DC0324"/>
    <w:rsid w:val="00DC0C0E"/>
    <w:rsid w:val="00DC10E6"/>
    <w:rsid w:val="00DC2701"/>
    <w:rsid w:val="00DC2FD7"/>
    <w:rsid w:val="00DC3430"/>
    <w:rsid w:val="00DC4514"/>
    <w:rsid w:val="00DC59BE"/>
    <w:rsid w:val="00DC5B69"/>
    <w:rsid w:val="00DC62F5"/>
    <w:rsid w:val="00DC7E96"/>
    <w:rsid w:val="00DD00DF"/>
    <w:rsid w:val="00DD1C54"/>
    <w:rsid w:val="00DD2152"/>
    <w:rsid w:val="00DD25FB"/>
    <w:rsid w:val="00DD3DE5"/>
    <w:rsid w:val="00DD481D"/>
    <w:rsid w:val="00DD5DFC"/>
    <w:rsid w:val="00DD696D"/>
    <w:rsid w:val="00DD78E3"/>
    <w:rsid w:val="00DE0A30"/>
    <w:rsid w:val="00DE2116"/>
    <w:rsid w:val="00DE26B9"/>
    <w:rsid w:val="00DE27A0"/>
    <w:rsid w:val="00DE32CB"/>
    <w:rsid w:val="00DE437F"/>
    <w:rsid w:val="00DE4450"/>
    <w:rsid w:val="00DE60B1"/>
    <w:rsid w:val="00DE67DD"/>
    <w:rsid w:val="00DE74ED"/>
    <w:rsid w:val="00DE7BF7"/>
    <w:rsid w:val="00DF2014"/>
    <w:rsid w:val="00DF315D"/>
    <w:rsid w:val="00DF3A6E"/>
    <w:rsid w:val="00DF4E1A"/>
    <w:rsid w:val="00DF51CA"/>
    <w:rsid w:val="00DF5386"/>
    <w:rsid w:val="00DF5999"/>
    <w:rsid w:val="00DF5E37"/>
    <w:rsid w:val="00DF7006"/>
    <w:rsid w:val="00DF7A26"/>
    <w:rsid w:val="00DF7B4C"/>
    <w:rsid w:val="00E00062"/>
    <w:rsid w:val="00E01270"/>
    <w:rsid w:val="00E012C5"/>
    <w:rsid w:val="00E021AF"/>
    <w:rsid w:val="00E02E5A"/>
    <w:rsid w:val="00E02F31"/>
    <w:rsid w:val="00E037D8"/>
    <w:rsid w:val="00E03F89"/>
    <w:rsid w:val="00E04811"/>
    <w:rsid w:val="00E04FED"/>
    <w:rsid w:val="00E05579"/>
    <w:rsid w:val="00E07B07"/>
    <w:rsid w:val="00E10DAB"/>
    <w:rsid w:val="00E113A6"/>
    <w:rsid w:val="00E11733"/>
    <w:rsid w:val="00E16FB7"/>
    <w:rsid w:val="00E1750A"/>
    <w:rsid w:val="00E17B16"/>
    <w:rsid w:val="00E17D88"/>
    <w:rsid w:val="00E21DA4"/>
    <w:rsid w:val="00E22B22"/>
    <w:rsid w:val="00E23396"/>
    <w:rsid w:val="00E24C6E"/>
    <w:rsid w:val="00E25771"/>
    <w:rsid w:val="00E25D29"/>
    <w:rsid w:val="00E25E25"/>
    <w:rsid w:val="00E26081"/>
    <w:rsid w:val="00E261D5"/>
    <w:rsid w:val="00E265F8"/>
    <w:rsid w:val="00E26FC5"/>
    <w:rsid w:val="00E27A97"/>
    <w:rsid w:val="00E32292"/>
    <w:rsid w:val="00E3279F"/>
    <w:rsid w:val="00E3356D"/>
    <w:rsid w:val="00E34378"/>
    <w:rsid w:val="00E34A14"/>
    <w:rsid w:val="00E34C61"/>
    <w:rsid w:val="00E34ED3"/>
    <w:rsid w:val="00E360FC"/>
    <w:rsid w:val="00E3708E"/>
    <w:rsid w:val="00E372D2"/>
    <w:rsid w:val="00E40037"/>
    <w:rsid w:val="00E40B2B"/>
    <w:rsid w:val="00E40FD3"/>
    <w:rsid w:val="00E41576"/>
    <w:rsid w:val="00E4181B"/>
    <w:rsid w:val="00E4226B"/>
    <w:rsid w:val="00E42BAB"/>
    <w:rsid w:val="00E4304F"/>
    <w:rsid w:val="00E43898"/>
    <w:rsid w:val="00E44641"/>
    <w:rsid w:val="00E447FE"/>
    <w:rsid w:val="00E4533D"/>
    <w:rsid w:val="00E454A2"/>
    <w:rsid w:val="00E454E9"/>
    <w:rsid w:val="00E45B85"/>
    <w:rsid w:val="00E46B96"/>
    <w:rsid w:val="00E47CF1"/>
    <w:rsid w:val="00E510DE"/>
    <w:rsid w:val="00E510EC"/>
    <w:rsid w:val="00E52825"/>
    <w:rsid w:val="00E53066"/>
    <w:rsid w:val="00E53131"/>
    <w:rsid w:val="00E5412F"/>
    <w:rsid w:val="00E5426A"/>
    <w:rsid w:val="00E554D2"/>
    <w:rsid w:val="00E55848"/>
    <w:rsid w:val="00E5646F"/>
    <w:rsid w:val="00E57BA0"/>
    <w:rsid w:val="00E60BBD"/>
    <w:rsid w:val="00E60D70"/>
    <w:rsid w:val="00E6187A"/>
    <w:rsid w:val="00E619D5"/>
    <w:rsid w:val="00E61ECB"/>
    <w:rsid w:val="00E62AD7"/>
    <w:rsid w:val="00E635F3"/>
    <w:rsid w:val="00E645B5"/>
    <w:rsid w:val="00E65AC5"/>
    <w:rsid w:val="00E66CF3"/>
    <w:rsid w:val="00E673B4"/>
    <w:rsid w:val="00E6752D"/>
    <w:rsid w:val="00E67907"/>
    <w:rsid w:val="00E70013"/>
    <w:rsid w:val="00E701E0"/>
    <w:rsid w:val="00E72546"/>
    <w:rsid w:val="00E730FA"/>
    <w:rsid w:val="00E737DE"/>
    <w:rsid w:val="00E737FA"/>
    <w:rsid w:val="00E746CF"/>
    <w:rsid w:val="00E748CA"/>
    <w:rsid w:val="00E75096"/>
    <w:rsid w:val="00E750C8"/>
    <w:rsid w:val="00E75655"/>
    <w:rsid w:val="00E7747C"/>
    <w:rsid w:val="00E813A6"/>
    <w:rsid w:val="00E82D44"/>
    <w:rsid w:val="00E831B6"/>
    <w:rsid w:val="00E835DC"/>
    <w:rsid w:val="00E83D3D"/>
    <w:rsid w:val="00E84CA8"/>
    <w:rsid w:val="00E86DAB"/>
    <w:rsid w:val="00E921EF"/>
    <w:rsid w:val="00E93811"/>
    <w:rsid w:val="00E95A36"/>
    <w:rsid w:val="00E97D27"/>
    <w:rsid w:val="00EA05ED"/>
    <w:rsid w:val="00EA0AF8"/>
    <w:rsid w:val="00EA0BF3"/>
    <w:rsid w:val="00EA15A9"/>
    <w:rsid w:val="00EA15F7"/>
    <w:rsid w:val="00EA1EAD"/>
    <w:rsid w:val="00EA28E1"/>
    <w:rsid w:val="00EA44E0"/>
    <w:rsid w:val="00EA4503"/>
    <w:rsid w:val="00EB159A"/>
    <w:rsid w:val="00EB3B73"/>
    <w:rsid w:val="00EB3DC1"/>
    <w:rsid w:val="00EB3EC4"/>
    <w:rsid w:val="00EB46C1"/>
    <w:rsid w:val="00EB703D"/>
    <w:rsid w:val="00EB704F"/>
    <w:rsid w:val="00EB773A"/>
    <w:rsid w:val="00EC06BF"/>
    <w:rsid w:val="00EC13F3"/>
    <w:rsid w:val="00EC25A6"/>
    <w:rsid w:val="00EC2EC4"/>
    <w:rsid w:val="00EC2FF2"/>
    <w:rsid w:val="00EC3037"/>
    <w:rsid w:val="00EC4461"/>
    <w:rsid w:val="00EC490F"/>
    <w:rsid w:val="00EC50F5"/>
    <w:rsid w:val="00EC7610"/>
    <w:rsid w:val="00EC7DCF"/>
    <w:rsid w:val="00ED0BFA"/>
    <w:rsid w:val="00ED0EB3"/>
    <w:rsid w:val="00ED281C"/>
    <w:rsid w:val="00ED382F"/>
    <w:rsid w:val="00ED53F8"/>
    <w:rsid w:val="00ED640F"/>
    <w:rsid w:val="00ED6795"/>
    <w:rsid w:val="00ED6FD3"/>
    <w:rsid w:val="00ED78FF"/>
    <w:rsid w:val="00ED79E9"/>
    <w:rsid w:val="00ED7D4F"/>
    <w:rsid w:val="00EE004B"/>
    <w:rsid w:val="00EE0971"/>
    <w:rsid w:val="00EE0DC7"/>
    <w:rsid w:val="00EE1332"/>
    <w:rsid w:val="00EE20B6"/>
    <w:rsid w:val="00EE2C1A"/>
    <w:rsid w:val="00EE2C73"/>
    <w:rsid w:val="00EE48F8"/>
    <w:rsid w:val="00EE4D5F"/>
    <w:rsid w:val="00EE5817"/>
    <w:rsid w:val="00EE6766"/>
    <w:rsid w:val="00EE6DB4"/>
    <w:rsid w:val="00EE770F"/>
    <w:rsid w:val="00EF0042"/>
    <w:rsid w:val="00EF04CC"/>
    <w:rsid w:val="00EF1A78"/>
    <w:rsid w:val="00EF1B25"/>
    <w:rsid w:val="00EF1FB6"/>
    <w:rsid w:val="00EF283B"/>
    <w:rsid w:val="00EF336A"/>
    <w:rsid w:val="00EF44ED"/>
    <w:rsid w:val="00EF7822"/>
    <w:rsid w:val="00F002D1"/>
    <w:rsid w:val="00F0119C"/>
    <w:rsid w:val="00F018EA"/>
    <w:rsid w:val="00F020A5"/>
    <w:rsid w:val="00F02326"/>
    <w:rsid w:val="00F025E1"/>
    <w:rsid w:val="00F035CD"/>
    <w:rsid w:val="00F03FC0"/>
    <w:rsid w:val="00F04069"/>
    <w:rsid w:val="00F04759"/>
    <w:rsid w:val="00F04CE8"/>
    <w:rsid w:val="00F05078"/>
    <w:rsid w:val="00F06E2A"/>
    <w:rsid w:val="00F10827"/>
    <w:rsid w:val="00F11C51"/>
    <w:rsid w:val="00F11EC8"/>
    <w:rsid w:val="00F11F7B"/>
    <w:rsid w:val="00F12A1A"/>
    <w:rsid w:val="00F14E8F"/>
    <w:rsid w:val="00F15E35"/>
    <w:rsid w:val="00F16A7C"/>
    <w:rsid w:val="00F16D39"/>
    <w:rsid w:val="00F16D54"/>
    <w:rsid w:val="00F20AE3"/>
    <w:rsid w:val="00F21F29"/>
    <w:rsid w:val="00F223A7"/>
    <w:rsid w:val="00F22494"/>
    <w:rsid w:val="00F23BE1"/>
    <w:rsid w:val="00F24FCF"/>
    <w:rsid w:val="00F25F21"/>
    <w:rsid w:val="00F27BD8"/>
    <w:rsid w:val="00F3115F"/>
    <w:rsid w:val="00F31EB4"/>
    <w:rsid w:val="00F333E6"/>
    <w:rsid w:val="00F340CA"/>
    <w:rsid w:val="00F36ADE"/>
    <w:rsid w:val="00F37106"/>
    <w:rsid w:val="00F3775B"/>
    <w:rsid w:val="00F43B5C"/>
    <w:rsid w:val="00F44AEC"/>
    <w:rsid w:val="00F44B33"/>
    <w:rsid w:val="00F468FB"/>
    <w:rsid w:val="00F50E2A"/>
    <w:rsid w:val="00F511E9"/>
    <w:rsid w:val="00F5265F"/>
    <w:rsid w:val="00F528AF"/>
    <w:rsid w:val="00F53425"/>
    <w:rsid w:val="00F54089"/>
    <w:rsid w:val="00F5683F"/>
    <w:rsid w:val="00F57E40"/>
    <w:rsid w:val="00F60896"/>
    <w:rsid w:val="00F60A72"/>
    <w:rsid w:val="00F61B56"/>
    <w:rsid w:val="00F64E95"/>
    <w:rsid w:val="00F65945"/>
    <w:rsid w:val="00F70788"/>
    <w:rsid w:val="00F72E78"/>
    <w:rsid w:val="00F72EF0"/>
    <w:rsid w:val="00F734FF"/>
    <w:rsid w:val="00F73B24"/>
    <w:rsid w:val="00F75DB7"/>
    <w:rsid w:val="00F765D5"/>
    <w:rsid w:val="00F7745A"/>
    <w:rsid w:val="00F77A32"/>
    <w:rsid w:val="00F77BB6"/>
    <w:rsid w:val="00F8016C"/>
    <w:rsid w:val="00F8132B"/>
    <w:rsid w:val="00F82261"/>
    <w:rsid w:val="00F82783"/>
    <w:rsid w:val="00F82D44"/>
    <w:rsid w:val="00F83D45"/>
    <w:rsid w:val="00F85A45"/>
    <w:rsid w:val="00F85BA4"/>
    <w:rsid w:val="00F86071"/>
    <w:rsid w:val="00F87AF9"/>
    <w:rsid w:val="00F903F1"/>
    <w:rsid w:val="00F92840"/>
    <w:rsid w:val="00F938D5"/>
    <w:rsid w:val="00F95945"/>
    <w:rsid w:val="00F96591"/>
    <w:rsid w:val="00F96A4D"/>
    <w:rsid w:val="00F973F5"/>
    <w:rsid w:val="00F977F6"/>
    <w:rsid w:val="00FA015A"/>
    <w:rsid w:val="00FA03BA"/>
    <w:rsid w:val="00FA5AE6"/>
    <w:rsid w:val="00FA7208"/>
    <w:rsid w:val="00FB08DE"/>
    <w:rsid w:val="00FB24DB"/>
    <w:rsid w:val="00FB2B5D"/>
    <w:rsid w:val="00FB34F2"/>
    <w:rsid w:val="00FB4087"/>
    <w:rsid w:val="00FB413F"/>
    <w:rsid w:val="00FB4CBB"/>
    <w:rsid w:val="00FB5B8F"/>
    <w:rsid w:val="00FB5BB2"/>
    <w:rsid w:val="00FB6952"/>
    <w:rsid w:val="00FB6EBD"/>
    <w:rsid w:val="00FB7AE1"/>
    <w:rsid w:val="00FC0997"/>
    <w:rsid w:val="00FC0FA0"/>
    <w:rsid w:val="00FC1658"/>
    <w:rsid w:val="00FC1FD0"/>
    <w:rsid w:val="00FC40E3"/>
    <w:rsid w:val="00FC4B16"/>
    <w:rsid w:val="00FC4C8E"/>
    <w:rsid w:val="00FC58F2"/>
    <w:rsid w:val="00FC5DE3"/>
    <w:rsid w:val="00FC7D22"/>
    <w:rsid w:val="00FD0F18"/>
    <w:rsid w:val="00FD1ACD"/>
    <w:rsid w:val="00FD1B55"/>
    <w:rsid w:val="00FD23A0"/>
    <w:rsid w:val="00FD32F3"/>
    <w:rsid w:val="00FD6153"/>
    <w:rsid w:val="00FE204E"/>
    <w:rsid w:val="00FE32B0"/>
    <w:rsid w:val="00FE4C16"/>
    <w:rsid w:val="00FE4F39"/>
    <w:rsid w:val="00FE52CE"/>
    <w:rsid w:val="00FF07B2"/>
    <w:rsid w:val="00FF0AF6"/>
    <w:rsid w:val="00FF0B7D"/>
    <w:rsid w:val="00FF0DDC"/>
    <w:rsid w:val="00FF11F9"/>
    <w:rsid w:val="00FF21A4"/>
    <w:rsid w:val="00FF2344"/>
    <w:rsid w:val="00FF43B6"/>
    <w:rsid w:val="00FF67D7"/>
    <w:rsid w:val="00FF6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8321AA1"/>
  <w15:docId w15:val="{294066F2-2768-4F53-8813-C9026581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uiPriority w:val="99"/>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uiPriority w:val="99"/>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uiPriority w:val="99"/>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iPriority w:val="99"/>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iPriority w:val="99"/>
    <w:qFormat/>
    <w:rsid w:val="008A03D8"/>
    <w:pPr>
      <w:spacing w:before="240" w:after="60"/>
      <w:outlineLvl w:val="6"/>
    </w:pPr>
    <w:rPr>
      <w:rFonts w:ascii="Calibri" w:hAnsi="Calibri"/>
      <w:sz w:val="24"/>
    </w:rPr>
  </w:style>
  <w:style w:type="paragraph" w:styleId="Nadpis8">
    <w:name w:val="heading 8"/>
    <w:basedOn w:val="Normln"/>
    <w:next w:val="Normln"/>
    <w:link w:val="Nadpis8Char"/>
    <w:uiPriority w:val="99"/>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3D8"/>
    <w:rPr>
      <w:rFonts w:ascii="Koop Office" w:hAnsi="Koop Office"/>
      <w:bCs/>
      <w:kern w:val="32"/>
      <w:sz w:val="32"/>
      <w:szCs w:val="32"/>
    </w:rPr>
  </w:style>
  <w:style w:type="character" w:customStyle="1" w:styleId="Nadpis2Char">
    <w:name w:val="Nadpis 2 Char"/>
    <w:link w:val="Nadpis2"/>
    <w:uiPriority w:val="99"/>
    <w:locked/>
    <w:rsid w:val="008A03D8"/>
    <w:rPr>
      <w:rFonts w:ascii="Koop Office" w:hAnsi="Koop Office"/>
      <w:bCs/>
      <w:iCs/>
      <w:sz w:val="28"/>
      <w:szCs w:val="28"/>
    </w:rPr>
  </w:style>
  <w:style w:type="character" w:customStyle="1" w:styleId="Nadpis3Char">
    <w:name w:val="Nadpis 3 Char"/>
    <w:link w:val="Nadpis3"/>
    <w:uiPriority w:val="99"/>
    <w:locked/>
    <w:rsid w:val="008A03D8"/>
    <w:rPr>
      <w:rFonts w:ascii="Koop Office" w:hAnsi="Koop Office"/>
      <w:b/>
      <w:bCs/>
      <w:sz w:val="22"/>
      <w:szCs w:val="26"/>
    </w:rPr>
  </w:style>
  <w:style w:type="character" w:customStyle="1" w:styleId="Nadpis4Char">
    <w:name w:val="Nadpis 4 Char"/>
    <w:link w:val="Nadpis4"/>
    <w:uiPriority w:val="99"/>
    <w:locked/>
    <w:rsid w:val="008A03D8"/>
    <w:rPr>
      <w:rFonts w:ascii="Koop Office" w:hAnsi="Koop Office"/>
      <w:bCs/>
      <w:sz w:val="22"/>
      <w:szCs w:val="28"/>
    </w:rPr>
  </w:style>
  <w:style w:type="character" w:customStyle="1" w:styleId="Nadpis5Char">
    <w:name w:val="Nadpis 5 Char"/>
    <w:link w:val="Nadpis5"/>
    <w:uiPriority w:val="99"/>
    <w:locked/>
    <w:rsid w:val="008A03D8"/>
    <w:rPr>
      <w:rFonts w:ascii="Calibri" w:hAnsi="Calibri" w:cs="Times New Roman"/>
      <w:b/>
      <w:i/>
      <w:sz w:val="26"/>
    </w:rPr>
  </w:style>
  <w:style w:type="character" w:customStyle="1" w:styleId="Nadpis6Char">
    <w:name w:val="Nadpis 6 Char"/>
    <w:link w:val="Nadpis6"/>
    <w:uiPriority w:val="99"/>
    <w:locked/>
    <w:rsid w:val="008A03D8"/>
    <w:rPr>
      <w:rFonts w:ascii="Calibri" w:hAnsi="Calibri" w:cs="Times New Roman"/>
      <w:b/>
      <w:sz w:val="22"/>
    </w:rPr>
  </w:style>
  <w:style w:type="character" w:customStyle="1" w:styleId="Nadpis7Char">
    <w:name w:val="Nadpis 7 Char"/>
    <w:link w:val="Nadpis7"/>
    <w:uiPriority w:val="99"/>
    <w:locked/>
    <w:rsid w:val="008A03D8"/>
    <w:rPr>
      <w:rFonts w:ascii="Calibri" w:hAnsi="Calibri" w:cs="Times New Roman"/>
      <w:sz w:val="24"/>
    </w:rPr>
  </w:style>
  <w:style w:type="character" w:customStyle="1" w:styleId="Nadpis8Char">
    <w:name w:val="Nadpis 8 Char"/>
    <w:link w:val="Nadpis8"/>
    <w:uiPriority w:val="99"/>
    <w:locked/>
    <w:rsid w:val="008A03D8"/>
    <w:rPr>
      <w:rFonts w:cs="Times New Roman"/>
      <w:i/>
      <w:sz w:val="24"/>
    </w:rPr>
  </w:style>
  <w:style w:type="character" w:customStyle="1" w:styleId="Nadpis9Char">
    <w:name w:val="Nadpis 9 Char"/>
    <w:link w:val="Nadpis9"/>
    <w:uiPriority w:val="99"/>
    <w:locked/>
    <w:rsid w:val="008A03D8"/>
    <w:rPr>
      <w:rFonts w:ascii="Arial" w:hAnsi="Arial" w:cs="Times New Roman"/>
      <w:sz w:val="22"/>
    </w:rPr>
  </w:style>
  <w:style w:type="paragraph" w:styleId="Zhlav">
    <w:name w:val="header"/>
    <w:basedOn w:val="Normln"/>
    <w:link w:val="ZhlavChar"/>
    <w:uiPriority w:val="99"/>
    <w:rsid w:val="00AF59C8"/>
    <w:pPr>
      <w:tabs>
        <w:tab w:val="center" w:pos="4536"/>
        <w:tab w:val="right" w:pos="9072"/>
      </w:tabs>
    </w:pPr>
  </w:style>
  <w:style w:type="character" w:customStyle="1" w:styleId="ZhlavChar">
    <w:name w:val="Záhlaví Char"/>
    <w:link w:val="Zhlav"/>
    <w:uiPriority w:val="99"/>
    <w:locked/>
    <w:rsid w:val="008A03D8"/>
    <w:rPr>
      <w:rFonts w:ascii="Koop Office" w:hAnsi="Koop Office" w:cs="Times New Roman"/>
      <w:sz w:val="24"/>
    </w:rPr>
  </w:style>
  <w:style w:type="paragraph" w:styleId="Zpat">
    <w:name w:val="footer"/>
    <w:basedOn w:val="Normln"/>
    <w:link w:val="ZpatChar"/>
    <w:uiPriority w:val="99"/>
    <w:rsid w:val="00AF59C8"/>
    <w:pPr>
      <w:tabs>
        <w:tab w:val="center" w:pos="4536"/>
        <w:tab w:val="right" w:pos="9072"/>
      </w:tabs>
    </w:pPr>
  </w:style>
  <w:style w:type="character" w:customStyle="1" w:styleId="ZpatChar">
    <w:name w:val="Zápatí Char"/>
    <w:link w:val="Zpat"/>
    <w:uiPriority w:val="99"/>
    <w:locked/>
    <w:rsid w:val="008A03D8"/>
    <w:rPr>
      <w:rFonts w:ascii="Koop Office" w:hAnsi="Koop Office" w:cs="Times New Roman"/>
      <w:sz w:val="24"/>
    </w:rPr>
  </w:style>
  <w:style w:type="table" w:styleId="Mkatabulky">
    <w:name w:val="Table Grid"/>
    <w:basedOn w:val="Normlntabulka"/>
    <w:uiPriority w:val="3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AF59C8"/>
    <w:rPr>
      <w:rFonts w:ascii="Koop Office" w:hAnsi="Koop Office" w:cs="Times New Roman"/>
      <w:color w:val="0000FF"/>
      <w:u w:val="single"/>
    </w:rPr>
  </w:style>
  <w:style w:type="paragraph" w:styleId="Obsah1">
    <w:name w:val="toc 1"/>
    <w:basedOn w:val="Normln"/>
    <w:next w:val="Normln"/>
    <w:autoRedefine/>
    <w:uiPriority w:val="99"/>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AF59C8"/>
    <w:rPr>
      <w:bCs/>
      <w:sz w:val="20"/>
      <w:szCs w:val="22"/>
    </w:rPr>
  </w:style>
  <w:style w:type="paragraph" w:styleId="Obsah3">
    <w:name w:val="toc 3"/>
    <w:basedOn w:val="Normln"/>
    <w:next w:val="Normln"/>
    <w:autoRedefine/>
    <w:uiPriority w:val="99"/>
    <w:semiHidden/>
    <w:rsid w:val="00AF59C8"/>
    <w:rPr>
      <w:sz w:val="20"/>
      <w:szCs w:val="22"/>
    </w:rPr>
  </w:style>
  <w:style w:type="paragraph" w:styleId="Obsah4">
    <w:name w:val="toc 4"/>
    <w:basedOn w:val="Normln"/>
    <w:next w:val="Normln"/>
    <w:autoRedefine/>
    <w:uiPriority w:val="99"/>
    <w:semiHidden/>
    <w:rsid w:val="00AF59C8"/>
    <w:rPr>
      <w:szCs w:val="22"/>
    </w:rPr>
  </w:style>
  <w:style w:type="paragraph" w:customStyle="1" w:styleId="Podnadpis1">
    <w:name w:val="Podnadpis1"/>
    <w:basedOn w:val="Normln"/>
    <w:uiPriority w:val="99"/>
    <w:rsid w:val="00AF59C8"/>
    <w:rPr>
      <w:b/>
    </w:rPr>
  </w:style>
  <w:style w:type="character" w:styleId="slostrnky">
    <w:name w:val="page number"/>
    <w:uiPriority w:val="99"/>
    <w:rsid w:val="00250903"/>
    <w:rPr>
      <w:rFonts w:cs="Times New Roman"/>
    </w:rPr>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paragraph" w:styleId="Zkladntext">
    <w:name w:val="Body Text"/>
    <w:basedOn w:val="Normln"/>
    <w:link w:val="ZkladntextChar"/>
    <w:uiPriority w:val="99"/>
    <w:rsid w:val="008A03D8"/>
    <w:pPr>
      <w:tabs>
        <w:tab w:val="left" w:pos="-720"/>
      </w:tabs>
      <w:spacing w:before="120"/>
      <w:jc w:val="both"/>
    </w:pPr>
    <w:rPr>
      <w:rFonts w:ascii="Arial" w:hAnsi="Arial"/>
      <w:sz w:val="20"/>
    </w:rPr>
  </w:style>
  <w:style w:type="character" w:customStyle="1" w:styleId="ZkladntextChar">
    <w:name w:val="Základní text Char"/>
    <w:link w:val="Zkladntext"/>
    <w:uiPriority w:val="99"/>
    <w:locked/>
    <w:rsid w:val="008A03D8"/>
    <w:rPr>
      <w:rFonts w:ascii="Arial" w:hAnsi="Arial" w:cs="Times New Roman"/>
      <w:sz w:val="24"/>
    </w:rPr>
  </w:style>
  <w:style w:type="paragraph" w:customStyle="1" w:styleId="Tabulkadolokyhlavika">
    <w:name w:val="Tabulka doložky hlavička"/>
    <w:basedOn w:val="Normln"/>
    <w:uiPriority w:val="99"/>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uiPriority w:val="99"/>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uiPriority w:val="99"/>
    <w:rsid w:val="008A03D8"/>
    <w:rPr>
      <w:rFonts w:ascii="Times New Roman" w:hAnsi="Times New Roman" w:cs="Arial"/>
      <w:color w:val="000000"/>
      <w:sz w:val="16"/>
      <w:szCs w:val="16"/>
    </w:rPr>
  </w:style>
  <w:style w:type="paragraph" w:styleId="Zkladntext2">
    <w:name w:val="Body Text 2"/>
    <w:basedOn w:val="Normln"/>
    <w:link w:val="Zkladntext2Char"/>
    <w:uiPriority w:val="99"/>
    <w:rsid w:val="008A03D8"/>
    <w:pPr>
      <w:spacing w:after="120" w:line="480" w:lineRule="auto"/>
    </w:pPr>
    <w:rPr>
      <w:rFonts w:ascii="Times New Roman" w:hAnsi="Times New Roman"/>
      <w:sz w:val="24"/>
    </w:rPr>
  </w:style>
  <w:style w:type="character" w:customStyle="1" w:styleId="Zkladntext2Char">
    <w:name w:val="Základní text 2 Char"/>
    <w:link w:val="Zkladntext2"/>
    <w:uiPriority w:val="99"/>
    <w:locked/>
    <w:rsid w:val="008A03D8"/>
    <w:rPr>
      <w:rFonts w:cs="Times New Roman"/>
      <w:sz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locked/>
    <w:rsid w:val="008A03D8"/>
    <w:rPr>
      <w:rFonts w:ascii="Tahoma" w:hAnsi="Tahoma" w:cs="Times New Roman"/>
      <w:sz w:val="16"/>
    </w:rPr>
  </w:style>
  <w:style w:type="paragraph" w:customStyle="1" w:styleId="Styl1">
    <w:name w:val="Styl1"/>
    <w:basedOn w:val="Normln"/>
    <w:uiPriority w:val="99"/>
    <w:rsid w:val="008A03D8"/>
    <w:pPr>
      <w:keepNext/>
      <w:jc w:val="both"/>
    </w:pPr>
    <w:rPr>
      <w:rFonts w:ascii="Times New Roman" w:hAnsi="Times New Roman"/>
      <w:b/>
      <w:bCs/>
      <w:sz w:val="18"/>
      <w:szCs w:val="18"/>
    </w:rPr>
  </w:style>
  <w:style w:type="paragraph" w:customStyle="1" w:styleId="Texttabulkykraj">
    <w:name w:val="Text tabulky kraj"/>
    <w:uiPriority w:val="99"/>
    <w:rsid w:val="008A03D8"/>
    <w:pPr>
      <w:jc w:val="center"/>
    </w:pPr>
    <w:rPr>
      <w:rFonts w:ascii="Arial" w:hAnsi="Arial" w:cs="Arial"/>
      <w:color w:val="000000"/>
      <w:sz w:val="16"/>
      <w:szCs w:val="16"/>
    </w:rPr>
  </w:style>
  <w:style w:type="character" w:customStyle="1" w:styleId="StylTitulekArialCharChar">
    <w:name w:val="Styl Titulek + Arial Char Char"/>
    <w:uiPriority w:val="99"/>
    <w:rsid w:val="008A03D8"/>
    <w:rPr>
      <w:rFonts w:ascii="Arial" w:hAnsi="Arial"/>
      <w:b/>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locked/>
    <w:rsid w:val="008A03D8"/>
    <w:rPr>
      <w:rFonts w:cs="Times New Roman"/>
      <w:sz w:val="16"/>
    </w:rPr>
  </w:style>
  <w:style w:type="paragraph" w:styleId="Zkladntextodsazen">
    <w:name w:val="Body Text Indent"/>
    <w:basedOn w:val="Normln"/>
    <w:link w:val="ZkladntextodsazenChar"/>
    <w:uiPriority w:val="99"/>
    <w:rsid w:val="008A03D8"/>
    <w:pPr>
      <w:spacing w:after="120"/>
      <w:ind w:left="283"/>
    </w:pPr>
    <w:rPr>
      <w:rFonts w:ascii="Times New Roman" w:hAnsi="Times New Roman"/>
      <w:sz w:val="24"/>
    </w:rPr>
  </w:style>
  <w:style w:type="character" w:customStyle="1" w:styleId="ZkladntextodsazenChar">
    <w:name w:val="Základní text odsazený Char"/>
    <w:link w:val="Zkladntextodsazen"/>
    <w:uiPriority w:val="99"/>
    <w:locked/>
    <w:rsid w:val="008A03D8"/>
    <w:rPr>
      <w:rFonts w:cs="Times New Roman"/>
      <w:sz w:val="24"/>
    </w:rPr>
  </w:style>
  <w:style w:type="paragraph" w:customStyle="1" w:styleId="bododstVPP">
    <w:name w:val="bod odst. VPP"/>
    <w:basedOn w:val="Normln"/>
    <w:uiPriority w:val="99"/>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hAnsi="Arial Unicode MS"/>
      <w:sz w:val="24"/>
    </w:rPr>
  </w:style>
  <w:style w:type="character" w:customStyle="1" w:styleId="zvraznntextVPP">
    <w:name w:val="zvýrazněný text VPP"/>
    <w:uiPriority w:val="99"/>
    <w:rsid w:val="008A03D8"/>
    <w:rPr>
      <w:rFonts w:ascii="Arial" w:hAnsi="Arial"/>
      <w:b/>
      <w:color w:val="auto"/>
      <w:sz w:val="14"/>
      <w:vertAlign w:val="baseline"/>
    </w:rPr>
  </w:style>
  <w:style w:type="paragraph" w:customStyle="1" w:styleId="vkladpojmVPP">
    <w:name w:val="výklad pojmů VPP"/>
    <w:basedOn w:val="Normln"/>
    <w:uiPriority w:val="99"/>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uiPriority w:val="99"/>
    <w:rsid w:val="008A03D8"/>
    <w:pPr>
      <w:shd w:val="clear" w:color="auto" w:fill="000080"/>
    </w:pPr>
    <w:rPr>
      <w:rFonts w:ascii="Tahoma" w:hAnsi="Tahoma"/>
      <w:sz w:val="20"/>
      <w:szCs w:val="20"/>
    </w:rPr>
  </w:style>
  <w:style w:type="character" w:customStyle="1" w:styleId="RozvrendokumentuChar">
    <w:name w:val="Rozvržení dokumentu Char"/>
    <w:link w:val="Rozvrendokumentu1"/>
    <w:uiPriority w:val="99"/>
    <w:locked/>
    <w:rsid w:val="008A03D8"/>
    <w:rPr>
      <w:rFonts w:ascii="Tahoma" w:hAnsi="Tahoma"/>
      <w:shd w:val="clear" w:color="auto" w:fill="000080"/>
    </w:rPr>
  </w:style>
  <w:style w:type="paragraph" w:customStyle="1" w:styleId="NormlnZarovnatdobloku">
    <w:name w:val="Normální + Zarovnat do bloku"/>
    <w:aliases w:val="Před:  3 b."/>
    <w:basedOn w:val="Zkladntextodsazen"/>
    <w:uiPriority w:val="99"/>
    <w:rsid w:val="008A03D8"/>
    <w:pPr>
      <w:numPr>
        <w:numId w:val="4"/>
      </w:numPr>
      <w:tabs>
        <w:tab w:val="left" w:pos="426"/>
      </w:tabs>
      <w:spacing w:after="0"/>
      <w:jc w:val="both"/>
    </w:pPr>
    <w:rPr>
      <w:rFonts w:ascii="Arial" w:hAnsi="Arial"/>
      <w:sz w:val="28"/>
      <w:szCs w:val="20"/>
    </w:rPr>
  </w:style>
  <w:style w:type="paragraph" w:styleId="Textkomente">
    <w:name w:val="annotation text"/>
    <w:aliases w:val="RL Text komentáře"/>
    <w:basedOn w:val="Normln"/>
    <w:link w:val="TextkomenteChar"/>
    <w:uiPriority w:val="99"/>
    <w:rsid w:val="008A03D8"/>
    <w:rPr>
      <w:rFonts w:ascii="Arial" w:hAnsi="Arial"/>
      <w:sz w:val="20"/>
      <w:szCs w:val="20"/>
    </w:rPr>
  </w:style>
  <w:style w:type="character" w:customStyle="1" w:styleId="TextkomenteChar">
    <w:name w:val="Text komentáře Char"/>
    <w:aliases w:val="RL Text komentáře Char"/>
    <w:link w:val="Textkomente"/>
    <w:uiPriority w:val="99"/>
    <w:locked/>
    <w:rsid w:val="008A03D8"/>
    <w:rPr>
      <w:rFonts w:ascii="Arial" w:hAnsi="Arial" w:cs="Times New Roman"/>
    </w:rPr>
  </w:style>
  <w:style w:type="paragraph" w:customStyle="1" w:styleId="Texttabulky">
    <w:name w:val="Text tabulky"/>
    <w:uiPriority w:val="99"/>
    <w:rsid w:val="008A03D8"/>
    <w:pPr>
      <w:jc w:val="both"/>
    </w:pPr>
    <w:rPr>
      <w:rFonts w:ascii="Arial" w:hAnsi="Arial"/>
      <w:color w:val="000000"/>
      <w:sz w:val="16"/>
    </w:rPr>
  </w:style>
  <w:style w:type="paragraph" w:customStyle="1" w:styleId="slodstlVPP">
    <w:name w:val="čísl. odst. čl. VPP"/>
    <w:next w:val="Normln"/>
    <w:uiPriority w:val="99"/>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uiPriority w:val="99"/>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uiPriority w:val="99"/>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uiPriority w:val="99"/>
    <w:rsid w:val="008A03D8"/>
    <w:pPr>
      <w:numPr>
        <w:ilvl w:val="7"/>
      </w:numPr>
      <w:spacing w:before="0"/>
      <w:ind w:left="360" w:hanging="360"/>
      <w:outlineLvl w:val="7"/>
    </w:pPr>
  </w:style>
  <w:style w:type="paragraph" w:customStyle="1" w:styleId="lnek1VPP">
    <w:name w:val="Článek 1. VPP"/>
    <w:next w:val="Normln"/>
    <w:uiPriority w:val="99"/>
    <w:rsid w:val="008A03D8"/>
    <w:pPr>
      <w:keepNext/>
      <w:numPr>
        <w:numId w:val="5"/>
      </w:numPr>
      <w:jc w:val="center"/>
      <w:outlineLvl w:val="0"/>
    </w:pPr>
  </w:style>
  <w:style w:type="paragraph" w:customStyle="1" w:styleId="STVPP">
    <w:name w:val="ČÁST VPP"/>
    <w:basedOn w:val="ST1VPP"/>
    <w:next w:val="lnekVPP"/>
    <w:uiPriority w:val="99"/>
    <w:rsid w:val="008A03D8"/>
    <w:pPr>
      <w:numPr>
        <w:ilvl w:val="6"/>
      </w:numPr>
      <w:spacing w:before="200"/>
      <w:ind w:left="360"/>
      <w:outlineLvl w:val="6"/>
    </w:pPr>
  </w:style>
  <w:style w:type="paragraph" w:customStyle="1" w:styleId="ST1VPP">
    <w:name w:val="ČÁST 1 VPP"/>
    <w:next w:val="Normln"/>
    <w:uiPriority w:val="99"/>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uiPriority w:val="99"/>
    <w:rsid w:val="008A03D8"/>
    <w:pPr>
      <w:tabs>
        <w:tab w:val="left" w:pos="-720"/>
      </w:tabs>
      <w:spacing w:line="360" w:lineRule="auto"/>
    </w:pPr>
    <w:rPr>
      <w:rFonts w:ascii="Times New Roman" w:hAnsi="Times New Roman"/>
      <w:sz w:val="20"/>
      <w:szCs w:val="20"/>
    </w:rPr>
  </w:style>
  <w:style w:type="character" w:styleId="Sledovanodkaz">
    <w:name w:val="FollowedHyperlink"/>
    <w:uiPriority w:val="99"/>
    <w:rsid w:val="008A03D8"/>
    <w:rPr>
      <w:rFonts w:cs="Times New Roman"/>
      <w:color w:val="800080"/>
      <w:u w:val="single"/>
    </w:rPr>
  </w:style>
  <w:style w:type="paragraph" w:customStyle="1" w:styleId="slovnChar">
    <w:name w:val="číslování Char"/>
    <w:basedOn w:val="Normln"/>
    <w:uiPriority w:val="99"/>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uiPriority w:val="99"/>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uiPriority w:val="99"/>
    <w:locked/>
    <w:rsid w:val="008A03D8"/>
    <w:rPr>
      <w:rFonts w:cs="Times New Roman"/>
      <w:sz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locked/>
    <w:rsid w:val="008A03D8"/>
    <w:rPr>
      <w:rFonts w:cs="Times New Roman"/>
      <w:sz w:val="16"/>
    </w:rPr>
  </w:style>
  <w:style w:type="paragraph" w:customStyle="1" w:styleId="StylJ">
    <w:name w:val="StylJ"/>
    <w:basedOn w:val="Normln"/>
    <w:uiPriority w:val="99"/>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99"/>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ednseznam1zvraznn11">
    <w:name w:val="Střední seznam 1 – zvýraznění 11"/>
    <w:uiPriority w:val="99"/>
    <w:rsid w:val="008A03D8"/>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Zstupntext">
    <w:name w:val="Placeholder Text"/>
    <w:uiPriority w:val="99"/>
    <w:semiHidden/>
    <w:rsid w:val="008A03D8"/>
    <w:rPr>
      <w:rFonts w:cs="Times New Roman"/>
      <w:color w:val="808080"/>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paragraph" w:styleId="Textvbloku">
    <w:name w:val="Block Text"/>
    <w:basedOn w:val="Normln"/>
    <w:uiPriority w:val="99"/>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uiPriority w:val="99"/>
    <w:qFormat/>
    <w:rsid w:val="00A068D2"/>
    <w:pPr>
      <w:suppressAutoHyphens/>
      <w:jc w:val="center"/>
    </w:pPr>
    <w:rPr>
      <w:rFonts w:ascii="Times New Roman" w:hAnsi="Times New Roman"/>
      <w:b/>
      <w:sz w:val="24"/>
      <w:szCs w:val="20"/>
      <w:lang w:eastAsia="ar-SA"/>
    </w:rPr>
  </w:style>
  <w:style w:type="character" w:customStyle="1" w:styleId="NzevChar">
    <w:name w:val="Název Char"/>
    <w:link w:val="Nzev"/>
    <w:uiPriority w:val="99"/>
    <w:locked/>
    <w:rsid w:val="00A068D2"/>
    <w:rPr>
      <w:rFonts w:cs="Times New Roman"/>
      <w:b/>
      <w:sz w:val="24"/>
      <w:lang w:eastAsia="ar-SA" w:bidi="ar-SA"/>
    </w:rPr>
  </w:style>
  <w:style w:type="character" w:styleId="Odkaznakoment">
    <w:name w:val="annotation reference"/>
    <w:uiPriority w:val="99"/>
    <w:rsid w:val="00A068D2"/>
    <w:rPr>
      <w:rFonts w:cs="Times New Roman"/>
      <w:sz w:val="16"/>
    </w:rPr>
  </w:style>
  <w:style w:type="paragraph" w:styleId="Podnadpis">
    <w:name w:val="Subtitle"/>
    <w:basedOn w:val="Normln"/>
    <w:next w:val="Normln"/>
    <w:link w:val="PodnadpisChar"/>
    <w:uiPriority w:val="99"/>
    <w:qFormat/>
    <w:rsid w:val="00A068D2"/>
    <w:pPr>
      <w:numPr>
        <w:ilvl w:val="1"/>
      </w:numPr>
    </w:pPr>
    <w:rPr>
      <w:rFonts w:ascii="Cambria" w:hAnsi="Cambria"/>
      <w:i/>
      <w:iCs/>
      <w:color w:val="4F81BD"/>
      <w:spacing w:val="15"/>
      <w:sz w:val="24"/>
    </w:rPr>
  </w:style>
  <w:style w:type="character" w:customStyle="1" w:styleId="PodnadpisChar">
    <w:name w:val="Podnadpis Char"/>
    <w:link w:val="Podnadpis"/>
    <w:uiPriority w:val="99"/>
    <w:locked/>
    <w:rsid w:val="00A068D2"/>
    <w:rPr>
      <w:rFonts w:ascii="Cambria" w:hAnsi="Cambria" w:cs="Times New Roman"/>
      <w:i/>
      <w:iCs/>
      <w:color w:val="4F81BD"/>
      <w:spacing w:val="15"/>
      <w:sz w:val="24"/>
      <w:szCs w:val="24"/>
    </w:rPr>
  </w:style>
  <w:style w:type="paragraph" w:styleId="Pedmtkomente">
    <w:name w:val="annotation subject"/>
    <w:basedOn w:val="Textkomente"/>
    <w:next w:val="Textkomente"/>
    <w:link w:val="PedmtkomenteChar"/>
    <w:uiPriority w:val="99"/>
    <w:rsid w:val="00E673B4"/>
    <w:rPr>
      <w:rFonts w:ascii="Koop Office" w:hAnsi="Koop Office"/>
      <w:b/>
      <w:bCs/>
    </w:rPr>
  </w:style>
  <w:style w:type="character" w:customStyle="1" w:styleId="PedmtkomenteChar">
    <w:name w:val="Předmět komentáře Char"/>
    <w:link w:val="Pedmtkomente"/>
    <w:uiPriority w:val="99"/>
    <w:locked/>
    <w:rsid w:val="00E673B4"/>
    <w:rPr>
      <w:rFonts w:ascii="Koop Office" w:hAnsi="Koop Office" w:cs="Times New Roman"/>
      <w:b/>
      <w:bCs/>
    </w:rPr>
  </w:style>
  <w:style w:type="paragraph" w:styleId="Prosttext">
    <w:name w:val="Plain Text"/>
    <w:basedOn w:val="Normln"/>
    <w:link w:val="ProsttextChar"/>
    <w:uiPriority w:val="99"/>
    <w:rsid w:val="001B75B2"/>
    <w:rPr>
      <w:rFonts w:ascii="Consolas" w:hAnsi="Consolas"/>
      <w:sz w:val="21"/>
      <w:szCs w:val="21"/>
      <w:lang w:eastAsia="en-US"/>
    </w:rPr>
  </w:style>
  <w:style w:type="character" w:customStyle="1" w:styleId="ProsttextChar">
    <w:name w:val="Prostý text Char"/>
    <w:link w:val="Prosttext"/>
    <w:uiPriority w:val="99"/>
    <w:locked/>
    <w:rsid w:val="001B75B2"/>
    <w:rPr>
      <w:rFonts w:ascii="Consolas" w:hAnsi="Consolas" w:cs="Times New Roman"/>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uiPriority w:val="99"/>
    <w:rsid w:val="00727444"/>
    <w:pPr>
      <w:spacing w:before="120"/>
      <w:jc w:val="both"/>
    </w:pPr>
    <w:rPr>
      <w:b/>
      <w:bCs/>
      <w:color w:val="FF0000"/>
      <w:sz w:val="20"/>
      <w:szCs w:val="20"/>
    </w:rPr>
  </w:style>
  <w:style w:type="paragraph" w:customStyle="1" w:styleId="Styl10bZarovnatdobloku">
    <w:name w:val="Styl 10 b. Zarovnat do bloku"/>
    <w:basedOn w:val="Normln"/>
    <w:autoRedefine/>
    <w:uiPriority w:val="99"/>
    <w:rsid w:val="002327ED"/>
    <w:pPr>
      <w:tabs>
        <w:tab w:val="left" w:pos="426"/>
      </w:tabs>
      <w:ind w:left="34"/>
      <w:jc w:val="both"/>
    </w:pPr>
    <w:rPr>
      <w:sz w:val="20"/>
      <w:szCs w:val="20"/>
    </w:rPr>
  </w:style>
  <w:style w:type="paragraph" w:styleId="Nadpisobsahu">
    <w:name w:val="TOC Heading"/>
    <w:basedOn w:val="Nadpis1"/>
    <w:next w:val="Normln"/>
    <w:uiPriority w:val="99"/>
    <w:qFormat/>
    <w:rsid w:val="00D34EB7"/>
    <w:pPr>
      <w:keepLines/>
      <w:numPr>
        <w:numId w:val="0"/>
      </w:numPr>
      <w:spacing w:before="480" w:after="0" w:line="240" w:lineRule="auto"/>
      <w:outlineLvl w:val="9"/>
    </w:pPr>
    <w:rPr>
      <w:rFonts w:ascii="Cambria" w:hAnsi="Cambria"/>
      <w:b/>
      <w:color w:val="365F91"/>
      <w:kern w:val="0"/>
      <w:sz w:val="28"/>
      <w:szCs w:val="28"/>
      <w:lang w:eastAsia="en-US"/>
    </w:rPr>
  </w:style>
  <w:style w:type="paragraph" w:customStyle="1" w:styleId="odrkaa">
    <w:name w:val="odrážka a)"/>
    <w:basedOn w:val="Normln"/>
    <w:autoRedefine/>
    <w:uiPriority w:val="99"/>
    <w:rsid w:val="00D34EB7"/>
    <w:pPr>
      <w:numPr>
        <w:numId w:val="14"/>
      </w:numPr>
      <w:tabs>
        <w:tab w:val="left" w:pos="284"/>
        <w:tab w:val="left" w:pos="9072"/>
      </w:tabs>
    </w:pPr>
    <w:rPr>
      <w:sz w:val="20"/>
      <w:szCs w:val="20"/>
      <w:lang w:eastAsia="en-US"/>
    </w:rPr>
  </w:style>
  <w:style w:type="character" w:customStyle="1" w:styleId="CharChar16">
    <w:name w:val="Char Char16"/>
    <w:uiPriority w:val="99"/>
    <w:locked/>
    <w:rsid w:val="002A2CD3"/>
    <w:rPr>
      <w:rFonts w:ascii="Arial" w:hAnsi="Arial"/>
      <w:b/>
      <w:sz w:val="26"/>
      <w:lang w:val="cs-CZ" w:eastAsia="cs-CZ"/>
    </w:rPr>
  </w:style>
  <w:style w:type="character" w:customStyle="1" w:styleId="CharChar15">
    <w:name w:val="Char Char15"/>
    <w:uiPriority w:val="99"/>
    <w:locked/>
    <w:rsid w:val="002A2CD3"/>
    <w:rPr>
      <w:b/>
      <w:sz w:val="28"/>
      <w:lang w:val="cs-CZ" w:eastAsia="cs-CZ"/>
    </w:rPr>
  </w:style>
  <w:style w:type="character" w:customStyle="1" w:styleId="CharChar14">
    <w:name w:val="Char Char14"/>
    <w:uiPriority w:val="99"/>
    <w:locked/>
    <w:rsid w:val="002A2CD3"/>
    <w:rPr>
      <w:rFonts w:ascii="Arial" w:hAnsi="Arial"/>
      <w:b/>
      <w:sz w:val="24"/>
      <w:u w:val="single"/>
      <w:lang w:val="cs-CZ" w:eastAsia="cs-CZ"/>
    </w:rPr>
  </w:style>
  <w:style w:type="character" w:customStyle="1" w:styleId="CharChar13">
    <w:name w:val="Char Char13"/>
    <w:uiPriority w:val="99"/>
    <w:locked/>
    <w:rsid w:val="002A2CD3"/>
    <w:rPr>
      <w:sz w:val="24"/>
      <w:lang w:val="cs-CZ" w:eastAsia="cs-CZ"/>
    </w:rPr>
  </w:style>
  <w:style w:type="character" w:customStyle="1" w:styleId="CharChar12">
    <w:name w:val="Char Char12"/>
    <w:uiPriority w:val="99"/>
    <w:locked/>
    <w:rsid w:val="002A2CD3"/>
    <w:rPr>
      <w:i/>
      <w:sz w:val="24"/>
      <w:lang w:val="cs-CZ" w:eastAsia="cs-CZ"/>
    </w:rPr>
  </w:style>
  <w:style w:type="character" w:customStyle="1" w:styleId="CharChar11">
    <w:name w:val="Char Char11"/>
    <w:uiPriority w:val="99"/>
    <w:locked/>
    <w:rsid w:val="002A2CD3"/>
    <w:rPr>
      <w:rFonts w:ascii="Arial" w:hAnsi="Arial"/>
      <w:sz w:val="22"/>
      <w:lang w:val="cs-CZ" w:eastAsia="cs-CZ"/>
    </w:rPr>
  </w:style>
  <w:style w:type="character" w:customStyle="1" w:styleId="CharChar2">
    <w:name w:val="Char Char2"/>
    <w:uiPriority w:val="99"/>
    <w:semiHidden/>
    <w:locked/>
    <w:rsid w:val="002A2CD3"/>
    <w:rPr>
      <w:rFonts w:ascii="Arial" w:hAnsi="Arial"/>
      <w:lang w:val="cs-CZ" w:eastAsia="cs-CZ"/>
    </w:rPr>
  </w:style>
  <w:style w:type="character" w:customStyle="1" w:styleId="CharChar8">
    <w:name w:val="Char Char8"/>
    <w:uiPriority w:val="99"/>
    <w:locked/>
    <w:rsid w:val="002A2CD3"/>
    <w:rPr>
      <w:sz w:val="24"/>
      <w:lang w:val="cs-CZ" w:eastAsia="cs-CZ"/>
    </w:rPr>
  </w:style>
  <w:style w:type="character" w:customStyle="1" w:styleId="CharChar4">
    <w:name w:val="Char Char4"/>
    <w:uiPriority w:val="99"/>
    <w:locked/>
    <w:rsid w:val="002A2CD3"/>
    <w:rPr>
      <w:lang w:val="cs-CZ" w:eastAsia="cs-CZ"/>
    </w:rPr>
  </w:style>
  <w:style w:type="character" w:customStyle="1" w:styleId="CharChar10">
    <w:name w:val="Char Char10"/>
    <w:uiPriority w:val="99"/>
    <w:locked/>
    <w:rsid w:val="002A2CD3"/>
    <w:rPr>
      <w:rFonts w:ascii="Arial" w:hAnsi="Arial"/>
      <w:sz w:val="24"/>
      <w:lang w:val="cs-CZ" w:eastAsia="cs-CZ"/>
    </w:rPr>
  </w:style>
  <w:style w:type="character" w:customStyle="1" w:styleId="CharChar5">
    <w:name w:val="Char Char5"/>
    <w:uiPriority w:val="99"/>
    <w:locked/>
    <w:rsid w:val="002A2CD3"/>
    <w:rPr>
      <w:sz w:val="24"/>
      <w:lang w:val="cs-CZ" w:eastAsia="cs-CZ"/>
    </w:rPr>
  </w:style>
  <w:style w:type="character" w:customStyle="1" w:styleId="CharChar9">
    <w:name w:val="Char Char9"/>
    <w:uiPriority w:val="99"/>
    <w:locked/>
    <w:rsid w:val="002A2CD3"/>
    <w:rPr>
      <w:sz w:val="24"/>
      <w:lang w:val="cs-CZ" w:eastAsia="cs-CZ"/>
    </w:rPr>
  </w:style>
  <w:style w:type="character" w:customStyle="1" w:styleId="CharChar6">
    <w:name w:val="Char Char6"/>
    <w:uiPriority w:val="99"/>
    <w:locked/>
    <w:rsid w:val="002A2CD3"/>
    <w:rPr>
      <w:sz w:val="16"/>
      <w:lang w:val="cs-CZ" w:eastAsia="cs-CZ"/>
    </w:rPr>
  </w:style>
  <w:style w:type="character" w:customStyle="1" w:styleId="CharChar1">
    <w:name w:val="Char Char1"/>
    <w:uiPriority w:val="99"/>
    <w:locked/>
    <w:rsid w:val="002A2CD3"/>
    <w:rPr>
      <w:sz w:val="24"/>
      <w:lang w:val="cs-CZ" w:eastAsia="cs-CZ"/>
    </w:rPr>
  </w:style>
  <w:style w:type="character" w:customStyle="1" w:styleId="CharChar">
    <w:name w:val="Char Char"/>
    <w:uiPriority w:val="99"/>
    <w:locked/>
    <w:rsid w:val="002A2CD3"/>
    <w:rPr>
      <w:sz w:val="16"/>
      <w:lang w:val="cs-CZ" w:eastAsia="cs-CZ"/>
    </w:rPr>
  </w:style>
  <w:style w:type="character" w:customStyle="1" w:styleId="DocumentMapChar1">
    <w:name w:val="Document Map Char1"/>
    <w:uiPriority w:val="99"/>
    <w:semiHidden/>
    <w:locked/>
    <w:rsid w:val="002A2CD3"/>
    <w:rPr>
      <w:rFonts w:ascii="Tahoma" w:hAnsi="Tahoma"/>
      <w:lang w:val="cs-CZ" w:eastAsia="cs-CZ"/>
    </w:rPr>
  </w:style>
  <w:style w:type="paragraph" w:styleId="Rozloendokumentu">
    <w:name w:val="Document Map"/>
    <w:basedOn w:val="Normln"/>
    <w:link w:val="RozloendokumentuChar"/>
    <w:uiPriority w:val="99"/>
    <w:semiHidden/>
    <w:locked/>
    <w:rsid w:val="002A2CD3"/>
    <w:pPr>
      <w:shd w:val="clear" w:color="auto" w:fill="000080"/>
    </w:pPr>
    <w:rPr>
      <w:rFonts w:ascii="Tahoma" w:hAnsi="Tahoma"/>
      <w:sz w:val="20"/>
      <w:szCs w:val="20"/>
    </w:rPr>
  </w:style>
  <w:style w:type="character" w:customStyle="1" w:styleId="RozloendokumentuChar">
    <w:name w:val="Rozložení dokumentu Char"/>
    <w:link w:val="Rozloendokumentu"/>
    <w:uiPriority w:val="99"/>
    <w:semiHidden/>
    <w:locked/>
    <w:rsid w:val="001B71D7"/>
    <w:rPr>
      <w:rFonts w:cs="Times New Roman"/>
      <w:sz w:val="2"/>
    </w:rPr>
  </w:style>
  <w:style w:type="character" w:customStyle="1" w:styleId="CharChar7">
    <w:name w:val="Char Char7"/>
    <w:uiPriority w:val="99"/>
    <w:semiHidden/>
    <w:locked/>
    <w:rsid w:val="002A2CD3"/>
    <w:rPr>
      <w:rFonts w:ascii="Tahoma" w:hAnsi="Tahoma"/>
      <w:sz w:val="16"/>
      <w:lang w:val="cs-CZ" w:eastAsia="cs-CZ"/>
    </w:rPr>
  </w:style>
  <w:style w:type="paragraph" w:customStyle="1" w:styleId="Odstavecseseznamem1">
    <w:name w:val="Odstavec se seznamem1"/>
    <w:basedOn w:val="Normln"/>
    <w:uiPriority w:val="99"/>
    <w:rsid w:val="002A2CD3"/>
    <w:pPr>
      <w:spacing w:after="200" w:line="276" w:lineRule="auto"/>
      <w:ind w:left="720"/>
      <w:contextualSpacing/>
    </w:pPr>
    <w:rPr>
      <w:rFonts w:ascii="Calibri" w:hAnsi="Calibri"/>
      <w:szCs w:val="22"/>
    </w:rPr>
  </w:style>
  <w:style w:type="character" w:customStyle="1" w:styleId="Zstupntext1">
    <w:name w:val="Zástupný text1"/>
    <w:uiPriority w:val="99"/>
    <w:semiHidden/>
    <w:rsid w:val="002A2CD3"/>
    <w:rPr>
      <w:color w:val="808080"/>
    </w:rPr>
  </w:style>
  <w:style w:type="table" w:customStyle="1" w:styleId="Stednseznam2zvraznn11">
    <w:name w:val="Střední seznam 2 – zvýraznění 11"/>
    <w:uiPriority w:val="99"/>
    <w:rsid w:val="002A2CD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tednseznam1zvraznn12">
    <w:name w:val="Střední seznam 1 – zvýraznění 12"/>
    <w:uiPriority w:val="99"/>
    <w:rsid w:val="002A2CD3"/>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Char3">
    <w:name w:val="Char Char3"/>
    <w:uiPriority w:val="99"/>
    <w:semiHidden/>
    <w:locked/>
    <w:rsid w:val="003B7D8A"/>
    <w:rPr>
      <w:rFonts w:ascii="Tahoma" w:hAnsi="Tahoma"/>
      <w:lang w:val="cs-CZ" w:eastAsia="cs-CZ"/>
    </w:rPr>
  </w:style>
  <w:style w:type="numbering" w:customStyle="1" w:styleId="Odrky-rove1">
    <w:name w:val="Odrážky - úroveň 1"/>
    <w:rsid w:val="007B363C"/>
    <w:pPr>
      <w:numPr>
        <w:numId w:val="3"/>
      </w:numPr>
    </w:pPr>
  </w:style>
  <w:style w:type="numbering" w:customStyle="1" w:styleId="StylVcerovovKoopOffice9b">
    <w:name w:val="Styl Víceúrovňové Koop Office 9 b."/>
    <w:rsid w:val="007B363C"/>
    <w:pPr>
      <w:numPr>
        <w:numId w:val="7"/>
      </w:numPr>
    </w:pPr>
  </w:style>
  <w:style w:type="numbering" w:customStyle="1" w:styleId="Odrka-rove2">
    <w:name w:val="Odrážka - úroveň 2"/>
    <w:rsid w:val="007B363C"/>
    <w:pPr>
      <w:numPr>
        <w:numId w:val="2"/>
      </w:numPr>
    </w:pPr>
  </w:style>
  <w:style w:type="paragraph" w:customStyle="1" w:styleId="Nadpislnk">
    <w:name w:val="Nadpis článků"/>
    <w:basedOn w:val="Normln"/>
    <w:qFormat/>
    <w:rsid w:val="000F692E"/>
    <w:pPr>
      <w:keepNext/>
      <w:keepLines/>
      <w:spacing w:before="240" w:after="120"/>
      <w:jc w:val="center"/>
    </w:pPr>
    <w:rPr>
      <w:b/>
      <w:sz w:val="24"/>
    </w:rPr>
  </w:style>
  <w:style w:type="paragraph" w:customStyle="1" w:styleId="slovn-tabulka">
    <w:name w:val="číslování - tabulka"/>
    <w:basedOn w:val="Odstavecseseznamem"/>
    <w:qFormat/>
    <w:rsid w:val="000F692E"/>
    <w:pPr>
      <w:numPr>
        <w:numId w:val="15"/>
      </w:numPr>
      <w:spacing w:after="0"/>
      <w:jc w:val="center"/>
    </w:pPr>
    <w:rPr>
      <w:rFonts w:ascii="Koop Office" w:hAnsi="Koop Office"/>
      <w:sz w:val="16"/>
      <w:szCs w:val="16"/>
    </w:rPr>
  </w:style>
  <w:style w:type="paragraph" w:customStyle="1" w:styleId="slovn-psmena">
    <w:name w:val="číslování - písmena"/>
    <w:basedOn w:val="Normln"/>
    <w:qFormat/>
    <w:rsid w:val="000F692E"/>
    <w:pPr>
      <w:numPr>
        <w:numId w:val="18"/>
      </w:numPr>
      <w:jc w:val="both"/>
    </w:pPr>
    <w:rPr>
      <w:sz w:val="20"/>
    </w:rPr>
  </w:style>
  <w:style w:type="paragraph" w:customStyle="1" w:styleId="slovn-rove1">
    <w:name w:val="Číslování - úroveň 1"/>
    <w:basedOn w:val="Normln"/>
    <w:link w:val="slovn-rove1Char"/>
    <w:qFormat/>
    <w:rsid w:val="000F692E"/>
    <w:pPr>
      <w:keepNext/>
      <w:numPr>
        <w:numId w:val="22"/>
      </w:numPr>
      <w:spacing w:after="120"/>
      <w:ind w:left="567" w:hanging="567"/>
      <w:jc w:val="both"/>
    </w:pPr>
    <w:rPr>
      <w:b/>
      <w:sz w:val="20"/>
    </w:rPr>
  </w:style>
  <w:style w:type="paragraph" w:customStyle="1" w:styleId="slovn-rove2">
    <w:name w:val="číslování - úroveň 2"/>
    <w:basedOn w:val="slovn-rove1"/>
    <w:link w:val="slovn-rove2Char"/>
    <w:qFormat/>
    <w:rsid w:val="000F692E"/>
    <w:pPr>
      <w:numPr>
        <w:ilvl w:val="1"/>
      </w:numPr>
      <w:tabs>
        <w:tab w:val="left" w:pos="454"/>
      </w:tabs>
    </w:pPr>
  </w:style>
  <w:style w:type="paragraph" w:customStyle="1" w:styleId="slovn-rove3">
    <w:name w:val="číslování - úroveň 3"/>
    <w:basedOn w:val="slovn-rove2"/>
    <w:qFormat/>
    <w:rsid w:val="000F692E"/>
    <w:pPr>
      <w:numPr>
        <w:ilvl w:val="2"/>
      </w:numPr>
      <w:tabs>
        <w:tab w:val="clear" w:pos="2160"/>
        <w:tab w:val="left" w:pos="510"/>
        <w:tab w:val="num" w:pos="720"/>
      </w:tabs>
      <w:spacing w:after="0"/>
      <w:ind w:left="720" w:hanging="720"/>
    </w:pPr>
  </w:style>
  <w:style w:type="paragraph" w:customStyle="1" w:styleId="slovn-rove1-netun">
    <w:name w:val="Číslování - úroveň 1 - netučné"/>
    <w:basedOn w:val="slovn-rove1"/>
    <w:link w:val="slovn-rove1-netunChar"/>
    <w:qFormat/>
    <w:rsid w:val="000F692E"/>
    <w:pPr>
      <w:keepNext w:val="0"/>
      <w:spacing w:after="0"/>
    </w:pPr>
    <w:rPr>
      <w:b w:val="0"/>
    </w:rPr>
  </w:style>
  <w:style w:type="paragraph" w:customStyle="1" w:styleId="slovn-rove2-netun">
    <w:name w:val="číslování - úroveň 2 - netučné"/>
    <w:basedOn w:val="slovn-rove2"/>
    <w:link w:val="slovn-rove2-netunChar"/>
    <w:qFormat/>
    <w:rsid w:val="000F692E"/>
    <w:pPr>
      <w:keepNext w:val="0"/>
      <w:tabs>
        <w:tab w:val="left" w:pos="425"/>
      </w:tabs>
    </w:pPr>
    <w:rPr>
      <w:b w:val="0"/>
    </w:rPr>
  </w:style>
  <w:style w:type="character" w:customStyle="1" w:styleId="slovn-rove1Char">
    <w:name w:val="Číslování - úroveň 1 Char"/>
    <w:link w:val="slovn-rove1"/>
    <w:rsid w:val="000F692E"/>
    <w:rPr>
      <w:rFonts w:ascii="Koop Office" w:hAnsi="Koop Office"/>
      <w:b/>
      <w:szCs w:val="24"/>
    </w:rPr>
  </w:style>
  <w:style w:type="character" w:customStyle="1" w:styleId="slovn-rove1-netunChar">
    <w:name w:val="Číslování - úroveň 1 - netučné Char"/>
    <w:link w:val="slovn-rove1-netun"/>
    <w:rsid w:val="000F692E"/>
    <w:rPr>
      <w:rFonts w:ascii="Koop Office" w:hAnsi="Koop Office"/>
      <w:szCs w:val="24"/>
    </w:rPr>
  </w:style>
  <w:style w:type="paragraph" w:customStyle="1" w:styleId="slovn-rove1-netunb">
    <w:name w:val="Číslování - úroveň 1 - netučné b"/>
    <w:basedOn w:val="Normln"/>
    <w:qFormat/>
    <w:rsid w:val="000F692E"/>
    <w:pPr>
      <w:numPr>
        <w:numId w:val="16"/>
      </w:numPr>
      <w:spacing w:before="120" w:after="120"/>
      <w:jc w:val="both"/>
    </w:pPr>
    <w:rPr>
      <w:sz w:val="20"/>
    </w:rPr>
  </w:style>
  <w:style w:type="character" w:customStyle="1" w:styleId="slovn-rove2Char">
    <w:name w:val="číslování - úroveň 2 Char"/>
    <w:link w:val="slovn-rove2"/>
    <w:rsid w:val="000F692E"/>
    <w:rPr>
      <w:rFonts w:ascii="Koop Office" w:hAnsi="Koop Office"/>
      <w:b/>
      <w:szCs w:val="24"/>
    </w:rPr>
  </w:style>
  <w:style w:type="character" w:customStyle="1" w:styleId="slovn-rove2-netunChar">
    <w:name w:val="číslování - úroveň 2 - netučné Char"/>
    <w:link w:val="slovn-rove2-netun"/>
    <w:rsid w:val="000F692E"/>
    <w:rPr>
      <w:rFonts w:ascii="Koop Office" w:hAnsi="Koop Office"/>
      <w:szCs w:val="24"/>
    </w:rPr>
  </w:style>
  <w:style w:type="paragraph" w:customStyle="1" w:styleId="hvzdika">
    <w:name w:val="hvězdička"/>
    <w:basedOn w:val="Normln"/>
    <w:next w:val="Normln"/>
    <w:qFormat/>
    <w:rsid w:val="000F692E"/>
    <w:pPr>
      <w:spacing w:before="120" w:after="120"/>
    </w:pPr>
    <w:rPr>
      <w:sz w:val="16"/>
      <w:szCs w:val="16"/>
    </w:rPr>
  </w:style>
  <w:style w:type="paragraph" w:customStyle="1" w:styleId="odrka">
    <w:name w:val="odrážka"/>
    <w:basedOn w:val="Normln"/>
    <w:qFormat/>
    <w:rsid w:val="000F692E"/>
    <w:pPr>
      <w:numPr>
        <w:numId w:val="20"/>
      </w:numPr>
      <w:spacing w:before="120"/>
      <w:ind w:left="357" w:hanging="357"/>
      <w:jc w:val="both"/>
    </w:pPr>
    <w:rPr>
      <w:rFonts w:ascii="Calibri" w:eastAsia="Calibri" w:hAnsi="Calibri"/>
      <w:szCs w:val="22"/>
      <w:lang w:eastAsia="en-US"/>
    </w:rPr>
  </w:style>
  <w:style w:type="paragraph" w:customStyle="1" w:styleId="slovn">
    <w:name w:val="číslování"/>
    <w:basedOn w:val="Normln"/>
    <w:qFormat/>
    <w:rsid w:val="000F692E"/>
    <w:pPr>
      <w:numPr>
        <w:numId w:val="21"/>
      </w:numPr>
      <w:tabs>
        <w:tab w:val="num" w:pos="425"/>
      </w:tabs>
      <w:autoSpaceDE w:val="0"/>
      <w:autoSpaceDN w:val="0"/>
      <w:adjustRightInd w:val="0"/>
      <w:spacing w:before="120"/>
      <w:ind w:left="425" w:hanging="425"/>
      <w:jc w:val="both"/>
    </w:pPr>
    <w:rPr>
      <w:rFonts w:ascii="Calibri" w:hAnsi="Calibri" w:cs="KoopCondPro"/>
      <w:szCs w:val="20"/>
      <w:lang w:eastAsia="en-US"/>
    </w:rPr>
  </w:style>
  <w:style w:type="paragraph" w:customStyle="1" w:styleId="odrkadruh">
    <w:name w:val="odrážka druhá"/>
    <w:basedOn w:val="odrka"/>
    <w:qFormat/>
    <w:rsid w:val="000F692E"/>
    <w:pPr>
      <w:numPr>
        <w:numId w:val="19"/>
      </w:numPr>
      <w:tabs>
        <w:tab w:val="num" w:pos="425"/>
      </w:tabs>
      <w:ind w:left="709" w:hanging="283"/>
    </w:pPr>
  </w:style>
  <w:style w:type="paragraph" w:customStyle="1" w:styleId="Pedmty">
    <w:name w:val="Předměty"/>
    <w:basedOn w:val="Normln"/>
    <w:link w:val="PedmtyChar"/>
    <w:qFormat/>
    <w:rsid w:val="000F692E"/>
    <w:pPr>
      <w:jc w:val="both"/>
    </w:pPr>
    <w:rPr>
      <w:sz w:val="20"/>
    </w:rPr>
  </w:style>
  <w:style w:type="character" w:customStyle="1" w:styleId="PedmtyChar">
    <w:name w:val="Předměty Char"/>
    <w:link w:val="Pedmty"/>
    <w:rsid w:val="000F692E"/>
    <w:rPr>
      <w:rFonts w:ascii="Koop Office" w:hAnsi="Koop Office"/>
      <w:sz w:val="20"/>
      <w:szCs w:val="24"/>
    </w:rPr>
  </w:style>
  <w:style w:type="table" w:customStyle="1" w:styleId="Mkatabulky1">
    <w:name w:val="Mřížka tabulky1"/>
    <w:basedOn w:val="Normlntabulka"/>
    <w:next w:val="Mkatabulky"/>
    <w:uiPriority w:val="59"/>
    <w:rsid w:val="000F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uiPriority w:val="99"/>
    <w:semiHidden/>
    <w:unhideWhenUsed/>
    <w:rsid w:val="00A7657A"/>
    <w:rPr>
      <w:color w:val="605E5C"/>
      <w:shd w:val="clear" w:color="auto" w:fill="E1DFDD"/>
    </w:rPr>
  </w:style>
  <w:style w:type="character" w:styleId="Nevyeenzmnka">
    <w:name w:val="Unresolved Mention"/>
    <w:uiPriority w:val="99"/>
    <w:semiHidden/>
    <w:unhideWhenUsed/>
    <w:rsid w:val="000D0D2E"/>
    <w:rPr>
      <w:color w:val="605E5C"/>
      <w:shd w:val="clear" w:color="auto" w:fill="E1DFDD"/>
    </w:rPr>
  </w:style>
  <w:style w:type="numbering" w:customStyle="1" w:styleId="slovn-velkpsmena">
    <w:name w:val="číslování - velká písmena"/>
    <w:uiPriority w:val="99"/>
    <w:rsid w:val="00042C6B"/>
    <w:pPr>
      <w:numPr>
        <w:numId w:val="26"/>
      </w:numPr>
    </w:pPr>
  </w:style>
  <w:style w:type="paragraph" w:customStyle="1" w:styleId="slovn-Velkpsmena0">
    <w:name w:val="číslování - Velká písmena"/>
    <w:basedOn w:val="Normln"/>
    <w:qFormat/>
    <w:rsid w:val="00042C6B"/>
    <w:pPr>
      <w:numPr>
        <w:numId w:val="26"/>
      </w:numPr>
      <w:spacing w:before="480" w:after="240"/>
      <w:jc w:val="both"/>
    </w:pPr>
    <w:rPr>
      <w:sz w:val="20"/>
    </w:rPr>
  </w:style>
  <w:style w:type="paragraph" w:customStyle="1" w:styleId="bodytext3">
    <w:name w:val="bodytext3"/>
    <w:basedOn w:val="Normln"/>
    <w:rsid w:val="001028E7"/>
    <w:pPr>
      <w:spacing w:line="36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533419">
      <w:marLeft w:val="0"/>
      <w:marRight w:val="0"/>
      <w:marTop w:val="0"/>
      <w:marBottom w:val="0"/>
      <w:divBdr>
        <w:top w:val="none" w:sz="0" w:space="0" w:color="auto"/>
        <w:left w:val="none" w:sz="0" w:space="0" w:color="auto"/>
        <w:bottom w:val="none" w:sz="0" w:space="0" w:color="auto"/>
        <w:right w:val="none" w:sz="0" w:space="0" w:color="auto"/>
      </w:divBdr>
    </w:div>
    <w:div w:id="1821533420">
      <w:marLeft w:val="0"/>
      <w:marRight w:val="0"/>
      <w:marTop w:val="0"/>
      <w:marBottom w:val="0"/>
      <w:divBdr>
        <w:top w:val="none" w:sz="0" w:space="0" w:color="auto"/>
        <w:left w:val="none" w:sz="0" w:space="0" w:color="auto"/>
        <w:bottom w:val="none" w:sz="0" w:space="0" w:color="auto"/>
        <w:right w:val="none" w:sz="0" w:space="0" w:color="auto"/>
      </w:divBdr>
    </w:div>
    <w:div w:id="1821533421">
      <w:marLeft w:val="0"/>
      <w:marRight w:val="0"/>
      <w:marTop w:val="0"/>
      <w:marBottom w:val="0"/>
      <w:divBdr>
        <w:top w:val="none" w:sz="0" w:space="0" w:color="auto"/>
        <w:left w:val="none" w:sz="0" w:space="0" w:color="auto"/>
        <w:bottom w:val="none" w:sz="0" w:space="0" w:color="auto"/>
        <w:right w:val="none" w:sz="0" w:space="0" w:color="auto"/>
      </w:divBdr>
    </w:div>
    <w:div w:id="1821533422">
      <w:marLeft w:val="0"/>
      <w:marRight w:val="0"/>
      <w:marTop w:val="0"/>
      <w:marBottom w:val="0"/>
      <w:divBdr>
        <w:top w:val="none" w:sz="0" w:space="0" w:color="auto"/>
        <w:left w:val="none" w:sz="0" w:space="0" w:color="auto"/>
        <w:bottom w:val="none" w:sz="0" w:space="0" w:color="auto"/>
        <w:right w:val="none" w:sz="0" w:space="0" w:color="auto"/>
      </w:divBdr>
    </w:div>
    <w:div w:id="1821533423">
      <w:marLeft w:val="0"/>
      <w:marRight w:val="0"/>
      <w:marTop w:val="0"/>
      <w:marBottom w:val="0"/>
      <w:divBdr>
        <w:top w:val="none" w:sz="0" w:space="0" w:color="auto"/>
        <w:left w:val="none" w:sz="0" w:space="0" w:color="auto"/>
        <w:bottom w:val="none" w:sz="0" w:space="0" w:color="auto"/>
        <w:right w:val="none" w:sz="0" w:space="0" w:color="auto"/>
      </w:divBdr>
    </w:div>
    <w:div w:id="1821533424">
      <w:marLeft w:val="0"/>
      <w:marRight w:val="0"/>
      <w:marTop w:val="0"/>
      <w:marBottom w:val="0"/>
      <w:divBdr>
        <w:top w:val="none" w:sz="0" w:space="0" w:color="auto"/>
        <w:left w:val="none" w:sz="0" w:space="0" w:color="auto"/>
        <w:bottom w:val="none" w:sz="0" w:space="0" w:color="auto"/>
        <w:right w:val="none" w:sz="0" w:space="0" w:color="auto"/>
      </w:divBdr>
    </w:div>
    <w:div w:id="1821533425">
      <w:marLeft w:val="0"/>
      <w:marRight w:val="0"/>
      <w:marTop w:val="0"/>
      <w:marBottom w:val="0"/>
      <w:divBdr>
        <w:top w:val="none" w:sz="0" w:space="0" w:color="auto"/>
        <w:left w:val="none" w:sz="0" w:space="0" w:color="auto"/>
        <w:bottom w:val="none" w:sz="0" w:space="0" w:color="auto"/>
        <w:right w:val="none" w:sz="0" w:space="0" w:color="auto"/>
      </w:divBdr>
    </w:div>
    <w:div w:id="1821533426">
      <w:marLeft w:val="0"/>
      <w:marRight w:val="0"/>
      <w:marTop w:val="0"/>
      <w:marBottom w:val="0"/>
      <w:divBdr>
        <w:top w:val="none" w:sz="0" w:space="0" w:color="auto"/>
        <w:left w:val="none" w:sz="0" w:space="0" w:color="auto"/>
        <w:bottom w:val="none" w:sz="0" w:space="0" w:color="auto"/>
        <w:right w:val="none" w:sz="0" w:space="0" w:color="auto"/>
      </w:divBdr>
    </w:div>
    <w:div w:id="1821533427">
      <w:marLeft w:val="0"/>
      <w:marRight w:val="0"/>
      <w:marTop w:val="0"/>
      <w:marBottom w:val="0"/>
      <w:divBdr>
        <w:top w:val="none" w:sz="0" w:space="0" w:color="auto"/>
        <w:left w:val="none" w:sz="0" w:space="0" w:color="auto"/>
        <w:bottom w:val="none" w:sz="0" w:space="0" w:color="auto"/>
        <w:right w:val="none" w:sz="0" w:space="0" w:color="auto"/>
      </w:divBdr>
    </w:div>
    <w:div w:id="1821533428">
      <w:marLeft w:val="0"/>
      <w:marRight w:val="0"/>
      <w:marTop w:val="0"/>
      <w:marBottom w:val="0"/>
      <w:divBdr>
        <w:top w:val="none" w:sz="0" w:space="0" w:color="auto"/>
        <w:left w:val="none" w:sz="0" w:space="0" w:color="auto"/>
        <w:bottom w:val="none" w:sz="0" w:space="0" w:color="auto"/>
        <w:right w:val="none" w:sz="0" w:space="0" w:color="auto"/>
      </w:divBdr>
    </w:div>
    <w:div w:id="1821533429">
      <w:marLeft w:val="0"/>
      <w:marRight w:val="0"/>
      <w:marTop w:val="0"/>
      <w:marBottom w:val="0"/>
      <w:divBdr>
        <w:top w:val="none" w:sz="0" w:space="0" w:color="auto"/>
        <w:left w:val="none" w:sz="0" w:space="0" w:color="auto"/>
        <w:bottom w:val="none" w:sz="0" w:space="0" w:color="auto"/>
        <w:right w:val="none" w:sz="0" w:space="0" w:color="auto"/>
      </w:divBdr>
    </w:div>
    <w:div w:id="1821533430">
      <w:marLeft w:val="0"/>
      <w:marRight w:val="0"/>
      <w:marTop w:val="0"/>
      <w:marBottom w:val="0"/>
      <w:divBdr>
        <w:top w:val="none" w:sz="0" w:space="0" w:color="auto"/>
        <w:left w:val="none" w:sz="0" w:space="0" w:color="auto"/>
        <w:bottom w:val="none" w:sz="0" w:space="0" w:color="auto"/>
        <w:right w:val="none" w:sz="0" w:space="0" w:color="auto"/>
      </w:divBdr>
    </w:div>
    <w:div w:id="1821533431">
      <w:marLeft w:val="0"/>
      <w:marRight w:val="0"/>
      <w:marTop w:val="0"/>
      <w:marBottom w:val="0"/>
      <w:divBdr>
        <w:top w:val="none" w:sz="0" w:space="0" w:color="auto"/>
        <w:left w:val="none" w:sz="0" w:space="0" w:color="auto"/>
        <w:bottom w:val="none" w:sz="0" w:space="0" w:color="auto"/>
        <w:right w:val="none" w:sz="0" w:space="0" w:color="auto"/>
      </w:divBdr>
    </w:div>
    <w:div w:id="1821533432">
      <w:marLeft w:val="0"/>
      <w:marRight w:val="0"/>
      <w:marTop w:val="0"/>
      <w:marBottom w:val="0"/>
      <w:divBdr>
        <w:top w:val="none" w:sz="0" w:space="0" w:color="auto"/>
        <w:left w:val="none" w:sz="0" w:space="0" w:color="auto"/>
        <w:bottom w:val="none" w:sz="0" w:space="0" w:color="auto"/>
        <w:right w:val="none" w:sz="0" w:space="0" w:color="auto"/>
      </w:divBdr>
    </w:div>
    <w:div w:id="1821533433">
      <w:marLeft w:val="0"/>
      <w:marRight w:val="0"/>
      <w:marTop w:val="0"/>
      <w:marBottom w:val="0"/>
      <w:divBdr>
        <w:top w:val="none" w:sz="0" w:space="0" w:color="auto"/>
        <w:left w:val="none" w:sz="0" w:space="0" w:color="auto"/>
        <w:bottom w:val="none" w:sz="0" w:space="0" w:color="auto"/>
        <w:right w:val="none" w:sz="0" w:space="0" w:color="auto"/>
      </w:divBdr>
    </w:div>
    <w:div w:id="1821533434">
      <w:marLeft w:val="0"/>
      <w:marRight w:val="0"/>
      <w:marTop w:val="0"/>
      <w:marBottom w:val="0"/>
      <w:divBdr>
        <w:top w:val="none" w:sz="0" w:space="0" w:color="auto"/>
        <w:left w:val="none" w:sz="0" w:space="0" w:color="auto"/>
        <w:bottom w:val="none" w:sz="0" w:space="0" w:color="auto"/>
        <w:right w:val="none" w:sz="0" w:space="0" w:color="auto"/>
      </w:divBdr>
    </w:div>
    <w:div w:id="1821533435">
      <w:marLeft w:val="0"/>
      <w:marRight w:val="0"/>
      <w:marTop w:val="0"/>
      <w:marBottom w:val="0"/>
      <w:divBdr>
        <w:top w:val="none" w:sz="0" w:space="0" w:color="auto"/>
        <w:left w:val="none" w:sz="0" w:space="0" w:color="auto"/>
        <w:bottom w:val="none" w:sz="0" w:space="0" w:color="auto"/>
        <w:right w:val="none" w:sz="0" w:space="0" w:color="auto"/>
      </w:divBdr>
    </w:div>
    <w:div w:id="1821533436">
      <w:marLeft w:val="0"/>
      <w:marRight w:val="0"/>
      <w:marTop w:val="0"/>
      <w:marBottom w:val="0"/>
      <w:divBdr>
        <w:top w:val="none" w:sz="0" w:space="0" w:color="auto"/>
        <w:left w:val="none" w:sz="0" w:space="0" w:color="auto"/>
        <w:bottom w:val="none" w:sz="0" w:space="0" w:color="auto"/>
        <w:right w:val="none" w:sz="0" w:space="0" w:color="auto"/>
      </w:divBdr>
    </w:div>
    <w:div w:id="1821533437">
      <w:marLeft w:val="0"/>
      <w:marRight w:val="0"/>
      <w:marTop w:val="0"/>
      <w:marBottom w:val="0"/>
      <w:divBdr>
        <w:top w:val="none" w:sz="0" w:space="0" w:color="auto"/>
        <w:left w:val="none" w:sz="0" w:space="0" w:color="auto"/>
        <w:bottom w:val="none" w:sz="0" w:space="0" w:color="auto"/>
        <w:right w:val="none" w:sz="0" w:space="0" w:color="auto"/>
      </w:divBdr>
    </w:div>
    <w:div w:id="1821533438">
      <w:marLeft w:val="0"/>
      <w:marRight w:val="0"/>
      <w:marTop w:val="0"/>
      <w:marBottom w:val="0"/>
      <w:divBdr>
        <w:top w:val="none" w:sz="0" w:space="0" w:color="auto"/>
        <w:left w:val="none" w:sz="0" w:space="0" w:color="auto"/>
        <w:bottom w:val="none" w:sz="0" w:space="0" w:color="auto"/>
        <w:right w:val="none" w:sz="0" w:space="0" w:color="auto"/>
      </w:divBdr>
    </w:div>
    <w:div w:id="1821533439">
      <w:marLeft w:val="0"/>
      <w:marRight w:val="0"/>
      <w:marTop w:val="0"/>
      <w:marBottom w:val="0"/>
      <w:divBdr>
        <w:top w:val="none" w:sz="0" w:space="0" w:color="auto"/>
        <w:left w:val="none" w:sz="0" w:space="0" w:color="auto"/>
        <w:bottom w:val="none" w:sz="0" w:space="0" w:color="auto"/>
        <w:right w:val="none" w:sz="0" w:space="0" w:color="auto"/>
      </w:divBdr>
    </w:div>
    <w:div w:id="1821533440">
      <w:marLeft w:val="0"/>
      <w:marRight w:val="0"/>
      <w:marTop w:val="0"/>
      <w:marBottom w:val="0"/>
      <w:divBdr>
        <w:top w:val="none" w:sz="0" w:space="0" w:color="auto"/>
        <w:left w:val="none" w:sz="0" w:space="0" w:color="auto"/>
        <w:bottom w:val="none" w:sz="0" w:space="0" w:color="auto"/>
        <w:right w:val="none" w:sz="0" w:space="0" w:color="auto"/>
      </w:divBdr>
    </w:div>
    <w:div w:id="1821533441">
      <w:marLeft w:val="0"/>
      <w:marRight w:val="0"/>
      <w:marTop w:val="0"/>
      <w:marBottom w:val="0"/>
      <w:divBdr>
        <w:top w:val="none" w:sz="0" w:space="0" w:color="auto"/>
        <w:left w:val="none" w:sz="0" w:space="0" w:color="auto"/>
        <w:bottom w:val="none" w:sz="0" w:space="0" w:color="auto"/>
        <w:right w:val="none" w:sz="0" w:space="0" w:color="auto"/>
      </w:divBdr>
    </w:div>
    <w:div w:id="1821533442">
      <w:marLeft w:val="0"/>
      <w:marRight w:val="0"/>
      <w:marTop w:val="0"/>
      <w:marBottom w:val="0"/>
      <w:divBdr>
        <w:top w:val="none" w:sz="0" w:space="0" w:color="auto"/>
        <w:left w:val="none" w:sz="0" w:space="0" w:color="auto"/>
        <w:bottom w:val="none" w:sz="0" w:space="0" w:color="auto"/>
        <w:right w:val="none" w:sz="0" w:space="0" w:color="auto"/>
      </w:divBdr>
    </w:div>
    <w:div w:id="1821533443">
      <w:marLeft w:val="0"/>
      <w:marRight w:val="0"/>
      <w:marTop w:val="0"/>
      <w:marBottom w:val="0"/>
      <w:divBdr>
        <w:top w:val="none" w:sz="0" w:space="0" w:color="auto"/>
        <w:left w:val="none" w:sz="0" w:space="0" w:color="auto"/>
        <w:bottom w:val="none" w:sz="0" w:space="0" w:color="auto"/>
        <w:right w:val="none" w:sz="0" w:space="0" w:color="auto"/>
      </w:divBdr>
    </w:div>
    <w:div w:id="1821533444">
      <w:marLeft w:val="0"/>
      <w:marRight w:val="0"/>
      <w:marTop w:val="0"/>
      <w:marBottom w:val="0"/>
      <w:divBdr>
        <w:top w:val="none" w:sz="0" w:space="0" w:color="auto"/>
        <w:left w:val="none" w:sz="0" w:space="0" w:color="auto"/>
        <w:bottom w:val="none" w:sz="0" w:space="0" w:color="auto"/>
        <w:right w:val="none" w:sz="0" w:space="0" w:color="auto"/>
      </w:divBdr>
    </w:div>
    <w:div w:id="182153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B9019FBE653444BD8ACCED9C09F5C4" ma:contentTypeVersion="17" ma:contentTypeDescription="Create a new document." ma:contentTypeScope="" ma:versionID="5365b04d9addd2f86142deb458ebd4a5">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fd06f08dd1ee7187eb3bad8cfca9b23b"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C2638-E1E6-454F-93DC-6C866E566DE5}">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2c5fcce-4de1-4db4-bd0b-c7fc9d1faeb7"/>
    <ds:schemaRef ds:uri="d476a814-3464-46fb-a0d2-e95fbf2bc6ab"/>
    <ds:schemaRef ds:uri="http://www.w3.org/XML/1998/namespace"/>
  </ds:schemaRefs>
</ds:datastoreItem>
</file>

<file path=customXml/itemProps2.xml><?xml version="1.0" encoding="utf-8"?>
<ds:datastoreItem xmlns:ds="http://schemas.openxmlformats.org/officeDocument/2006/customXml" ds:itemID="{03C0A45E-C1A6-4B81-A80A-FD275903108A}">
  <ds:schemaRefs>
    <ds:schemaRef ds:uri="http://schemas.microsoft.com/sharepoint/v3/contenttype/forms"/>
  </ds:schemaRefs>
</ds:datastoreItem>
</file>

<file path=customXml/itemProps3.xml><?xml version="1.0" encoding="utf-8"?>
<ds:datastoreItem xmlns:ds="http://schemas.openxmlformats.org/officeDocument/2006/customXml" ds:itemID="{1B523B54-A107-4928-8407-057127B04E59}">
  <ds:schemaRefs>
    <ds:schemaRef ds:uri="http://schemas.openxmlformats.org/officeDocument/2006/bibliography"/>
  </ds:schemaRefs>
</ds:datastoreItem>
</file>

<file path=customXml/itemProps4.xml><?xml version="1.0" encoding="utf-8"?>
<ds:datastoreItem xmlns:ds="http://schemas.openxmlformats.org/officeDocument/2006/customXml" ds:itemID="{5B614C74-D70F-4BBA-93D7-FB4C3E75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M7312-15 </Template>
  <TotalTime>4794</TotalTime>
  <Pages>21</Pages>
  <Words>11205</Words>
  <Characters>66112</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77163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subject/>
  <dc:creator>dfojtik</dc:creator>
  <cp:keywords/>
  <dc:description/>
  <cp:lastModifiedBy>Opatrná Jana</cp:lastModifiedBy>
  <cp:revision>1180</cp:revision>
  <cp:lastPrinted>2024-05-24T06:53:00Z</cp:lastPrinted>
  <dcterms:created xsi:type="dcterms:W3CDTF">2014-01-31T13:57:00Z</dcterms:created>
  <dcterms:modified xsi:type="dcterms:W3CDTF">2024-05-28T09:29:00Z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06e48620-e1d6-4326-a693-35eea4b7be04_Enabled">
    <vt:lpwstr>true</vt:lpwstr>
  </property>
  <property fmtid="{D5CDD505-2E9C-101B-9397-08002B2CF9AE}" pid="5" name="MSIP_Label_06e48620-e1d6-4326-a693-35eea4b7be04_SetDate">
    <vt:lpwstr>2024-05-24T06:53:37Z</vt:lpwstr>
  </property>
  <property fmtid="{D5CDD505-2E9C-101B-9397-08002B2CF9AE}" pid="6" name="MSIP_Label_06e48620-e1d6-4326-a693-35eea4b7be04_Method">
    <vt:lpwstr>Privileged</vt:lpwstr>
  </property>
  <property fmtid="{D5CDD505-2E9C-101B-9397-08002B2CF9AE}" pid="7" name="MSIP_Label_06e48620-e1d6-4326-a693-35eea4b7be04_Name">
    <vt:lpwstr>VIGCZ103S02</vt:lpwstr>
  </property>
  <property fmtid="{D5CDD505-2E9C-101B-9397-08002B2CF9AE}" pid="8" name="MSIP_Label_06e48620-e1d6-4326-a693-35eea4b7be04_SiteId">
    <vt:lpwstr>1cf16eb8-8983-4f6f-9c5f-66decda360c4</vt:lpwstr>
  </property>
  <property fmtid="{D5CDD505-2E9C-101B-9397-08002B2CF9AE}" pid="9" name="MSIP_Label_06e48620-e1d6-4326-a693-35eea4b7be04_ActionId">
    <vt:lpwstr>dd86d5c6-f8ea-4087-9bb1-8430b1b32d8c</vt:lpwstr>
  </property>
  <property fmtid="{D5CDD505-2E9C-101B-9397-08002B2CF9AE}" pid="10" name="MSIP_Label_06e48620-e1d6-4326-a693-35eea4b7be04_ContentBits">
    <vt:lpwstr>3</vt:lpwstr>
  </property>
</Properties>
</file>