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4A" w:rsidRDefault="0074584A" w:rsidP="0074584A">
      <w:pPr>
        <w:pStyle w:val="Zkladntext"/>
        <w:pBdr>
          <w:top w:val="single" w:sz="6" w:space="1" w:color="auto" w:shadow="1"/>
          <w:left w:val="single" w:sz="6" w:space="1" w:color="auto" w:shadow="1"/>
          <w:bottom w:val="single" w:sz="6" w:space="1" w:color="auto" w:shadow="1"/>
          <w:right w:val="single" w:sz="6" w:space="1" w:color="auto" w:shadow="1"/>
        </w:pBdr>
        <w:shd w:val="pct12" w:color="auto" w:fill="auto"/>
        <w:ind w:right="33"/>
        <w:jc w:val="center"/>
        <w:rPr>
          <w:b/>
          <w:sz w:val="32"/>
        </w:rPr>
      </w:pPr>
      <w:r>
        <w:rPr>
          <w:b/>
          <w:sz w:val="32"/>
        </w:rPr>
        <w:t>Smlouva o dílo</w:t>
      </w:r>
    </w:p>
    <w:p w:rsidR="0074584A" w:rsidRDefault="0074584A" w:rsidP="0074584A">
      <w:pPr>
        <w:pStyle w:val="Zkladntext"/>
        <w:pBdr>
          <w:top w:val="single" w:sz="6" w:space="1" w:color="auto" w:shadow="1"/>
          <w:left w:val="single" w:sz="6" w:space="1" w:color="auto" w:shadow="1"/>
          <w:bottom w:val="single" w:sz="6" w:space="1" w:color="auto" w:shadow="1"/>
          <w:right w:val="single" w:sz="6" w:space="1" w:color="auto" w:shadow="1"/>
        </w:pBdr>
        <w:shd w:val="pct12" w:color="auto" w:fill="auto"/>
        <w:ind w:right="33"/>
        <w:jc w:val="center"/>
        <w:rPr>
          <w:b/>
          <w:sz w:val="32"/>
        </w:rPr>
      </w:pPr>
      <w:proofErr w:type="spellStart"/>
      <w:r>
        <w:rPr>
          <w:b/>
          <w:sz w:val="32"/>
        </w:rPr>
        <w:t>Lean</w:t>
      </w:r>
      <w:proofErr w:type="spellEnd"/>
      <w:r>
        <w:rPr>
          <w:b/>
          <w:sz w:val="32"/>
        </w:rPr>
        <w:t xml:space="preserve"> management v procesu řízení dokumentace</w:t>
      </w:r>
    </w:p>
    <w:p w:rsidR="0074584A" w:rsidRDefault="0074584A" w:rsidP="0074584A">
      <w:pPr>
        <w:pStyle w:val="Zkladntext"/>
        <w:pBdr>
          <w:top w:val="single" w:sz="6" w:space="1" w:color="auto" w:shadow="1"/>
          <w:left w:val="single" w:sz="6" w:space="1" w:color="auto" w:shadow="1"/>
          <w:bottom w:val="single" w:sz="6" w:space="1" w:color="auto" w:shadow="1"/>
          <w:right w:val="single" w:sz="6" w:space="1" w:color="auto" w:shadow="1"/>
        </w:pBdr>
        <w:shd w:val="pct12" w:color="auto" w:fill="auto"/>
        <w:ind w:right="33"/>
        <w:jc w:val="center"/>
        <w:rPr>
          <w:rFonts w:cs="Times New Roman"/>
          <w:b/>
          <w:sz w:val="32"/>
        </w:rPr>
      </w:pPr>
      <w:r>
        <w:t xml:space="preserve">V rámci projektu </w:t>
      </w:r>
      <w:proofErr w:type="spellStart"/>
      <w:proofErr w:type="gramStart"/>
      <w:r>
        <w:t>reg</w:t>
      </w:r>
      <w:proofErr w:type="spellEnd"/>
      <w:r>
        <w:t>. č CZ</w:t>
      </w:r>
      <w:proofErr w:type="gramEnd"/>
      <w:r>
        <w:t>.03.4.74/0.0/0.0/16_033/0002942; Efektivní úřad obce Holice</w:t>
      </w:r>
    </w:p>
    <w:p w:rsidR="0074584A" w:rsidRDefault="0074584A" w:rsidP="0074584A">
      <w:pPr>
        <w:pStyle w:val="Zkladntext"/>
        <w:pBdr>
          <w:top w:val="single" w:sz="6" w:space="1" w:color="auto" w:shadow="1"/>
          <w:left w:val="single" w:sz="6" w:space="1" w:color="auto" w:shadow="1"/>
          <w:bottom w:val="single" w:sz="6" w:space="1" w:color="auto" w:shadow="1"/>
          <w:right w:val="single" w:sz="6" w:space="1" w:color="auto" w:shadow="1"/>
        </w:pBdr>
        <w:shd w:val="pct12" w:color="auto" w:fill="auto"/>
        <w:ind w:right="33"/>
        <w:jc w:val="center"/>
        <w:rPr>
          <w:b/>
          <w:sz w:val="20"/>
        </w:rPr>
      </w:pPr>
    </w:p>
    <w:p w:rsidR="0074584A" w:rsidRDefault="0074584A" w:rsidP="0074584A">
      <w:pPr>
        <w:pStyle w:val="Zkladntext"/>
        <w:pBdr>
          <w:top w:val="single" w:sz="6" w:space="1" w:color="auto" w:shadow="1"/>
          <w:left w:val="single" w:sz="6" w:space="1" w:color="auto" w:shadow="1"/>
          <w:bottom w:val="single" w:sz="6" w:space="1" w:color="auto" w:shadow="1"/>
          <w:right w:val="single" w:sz="6" w:space="1" w:color="auto" w:shadow="1"/>
        </w:pBdr>
        <w:shd w:val="pct12" w:color="auto" w:fill="auto"/>
        <w:ind w:right="33"/>
        <w:jc w:val="center"/>
        <w:rPr>
          <w:b/>
          <w:sz w:val="20"/>
        </w:rPr>
      </w:pPr>
      <w:r>
        <w:rPr>
          <w:b/>
          <w:sz w:val="20"/>
        </w:rPr>
        <w:t xml:space="preserve">Označení objednatele:  </w:t>
      </w:r>
    </w:p>
    <w:p w:rsidR="0074584A" w:rsidRDefault="0074584A" w:rsidP="0074584A">
      <w:pPr>
        <w:pStyle w:val="Zkladntext"/>
        <w:pBdr>
          <w:top w:val="single" w:sz="6" w:space="1" w:color="auto" w:shadow="1"/>
          <w:left w:val="single" w:sz="6" w:space="1" w:color="auto" w:shadow="1"/>
          <w:bottom w:val="single" w:sz="6" w:space="1" w:color="auto" w:shadow="1"/>
          <w:right w:val="single" w:sz="6" w:space="1" w:color="auto" w:shadow="1"/>
        </w:pBdr>
        <w:shd w:val="pct12" w:color="auto" w:fill="auto"/>
        <w:ind w:right="33"/>
        <w:jc w:val="center"/>
        <w:rPr>
          <w:b/>
          <w:sz w:val="20"/>
        </w:rPr>
      </w:pPr>
      <w:r>
        <w:rPr>
          <w:b/>
          <w:sz w:val="20"/>
        </w:rPr>
        <w:t>Označení zhotovitele: SOD/ŘD/Holice</w:t>
      </w:r>
    </w:p>
    <w:p w:rsidR="0074584A" w:rsidRDefault="0074584A" w:rsidP="0074584A">
      <w:pPr>
        <w:tabs>
          <w:tab w:val="left" w:pos="0"/>
          <w:tab w:val="right" w:pos="8804"/>
        </w:tabs>
        <w:jc w:val="center"/>
        <w:rPr>
          <w:rFonts w:cs="Arial"/>
          <w:sz w:val="22"/>
          <w:szCs w:val="22"/>
        </w:rPr>
      </w:pPr>
    </w:p>
    <w:p w:rsidR="0074584A" w:rsidRDefault="0074584A" w:rsidP="0074584A">
      <w:pPr>
        <w:jc w:val="center"/>
        <w:rPr>
          <w:rFonts w:cs="Arial"/>
        </w:rPr>
      </w:pPr>
      <w:r>
        <w:rPr>
          <w:rFonts w:cs="Arial"/>
        </w:rPr>
        <w:t xml:space="preserve">uzavřená dle § 2586 a </w:t>
      </w:r>
      <w:proofErr w:type="spellStart"/>
      <w:r>
        <w:rPr>
          <w:rFonts w:cs="Arial"/>
        </w:rPr>
        <w:t>násl</w:t>
      </w:r>
      <w:proofErr w:type="spellEnd"/>
      <w:r>
        <w:rPr>
          <w:rFonts w:cs="Arial"/>
        </w:rPr>
        <w:t>. zákona č. 89/2012 Sb., občanského zákoníku</w:t>
      </w:r>
    </w:p>
    <w:p w:rsidR="0074584A" w:rsidRDefault="0074584A" w:rsidP="0074584A">
      <w:pPr>
        <w:pStyle w:val="Zkladntext"/>
        <w:ind w:right="33"/>
        <w:jc w:val="both"/>
      </w:pPr>
    </w:p>
    <w:p w:rsidR="0074584A" w:rsidRDefault="0074584A" w:rsidP="0074584A">
      <w:pPr>
        <w:pStyle w:val="Zkladntext"/>
        <w:numPr>
          <w:ilvl w:val="0"/>
          <w:numId w:val="2"/>
        </w:numPr>
        <w:ind w:right="-1"/>
        <w:jc w:val="center"/>
        <w:rPr>
          <w:b/>
          <w:sz w:val="28"/>
        </w:rPr>
      </w:pPr>
      <w:proofErr w:type="gramStart"/>
      <w:r>
        <w:rPr>
          <w:b/>
          <w:sz w:val="28"/>
        </w:rPr>
        <w:t>Smluvní  strany</w:t>
      </w:r>
      <w:proofErr w:type="gramEnd"/>
    </w:p>
    <w:p w:rsidR="0074584A" w:rsidRDefault="0074584A" w:rsidP="0074584A">
      <w:pPr>
        <w:pStyle w:val="Zkladntext"/>
        <w:ind w:right="-568"/>
        <w:jc w:val="both"/>
      </w:pPr>
    </w:p>
    <w:tbl>
      <w:tblPr>
        <w:tblW w:w="0" w:type="auto"/>
        <w:jc w:val="center"/>
        <w:tblLook w:val="01E0"/>
      </w:tblPr>
      <w:tblGrid>
        <w:gridCol w:w="3155"/>
        <w:gridCol w:w="6024"/>
      </w:tblGrid>
      <w:tr w:rsidR="0074584A" w:rsidTr="0074584A">
        <w:trPr>
          <w:jc w:val="center"/>
        </w:trPr>
        <w:tc>
          <w:tcPr>
            <w:tcW w:w="3155" w:type="dxa"/>
            <w:hideMark/>
          </w:tcPr>
          <w:p w:rsidR="0074584A" w:rsidRDefault="0074584A" w:rsidP="00B56AEA">
            <w:pPr>
              <w:pStyle w:val="zkladntexttabulka"/>
              <w:numPr>
                <w:ilvl w:val="0"/>
                <w:numId w:val="3"/>
              </w:numPr>
              <w:tabs>
                <w:tab w:val="num" w:pos="372"/>
              </w:tabs>
              <w:rPr>
                <w:b/>
                <w:bCs/>
              </w:rPr>
            </w:pPr>
            <w:r>
              <w:rPr>
                <w:b/>
                <w:bCs/>
              </w:rPr>
              <w:t>Objednatel</w:t>
            </w:r>
          </w:p>
        </w:tc>
        <w:tc>
          <w:tcPr>
            <w:tcW w:w="6024" w:type="dxa"/>
          </w:tcPr>
          <w:p w:rsidR="0074584A" w:rsidRDefault="0074584A">
            <w:pPr>
              <w:pStyle w:val="zkladntexttabulka"/>
            </w:pPr>
          </w:p>
        </w:tc>
      </w:tr>
      <w:tr w:rsidR="0074584A" w:rsidTr="0074584A">
        <w:trPr>
          <w:jc w:val="center"/>
        </w:trPr>
        <w:tc>
          <w:tcPr>
            <w:tcW w:w="3155" w:type="dxa"/>
            <w:hideMark/>
          </w:tcPr>
          <w:p w:rsidR="0074584A" w:rsidRDefault="0074584A">
            <w:pPr>
              <w:pStyle w:val="zkladntexttabulka"/>
              <w:spacing w:before="0" w:after="0"/>
            </w:pPr>
            <w:r>
              <w:t>Název:</w:t>
            </w:r>
          </w:p>
        </w:tc>
        <w:tc>
          <w:tcPr>
            <w:tcW w:w="6024" w:type="dxa"/>
            <w:hideMark/>
          </w:tcPr>
          <w:p w:rsidR="0074584A" w:rsidRDefault="0074584A">
            <w:pPr>
              <w:pStyle w:val="zkladntexttabulka"/>
              <w:spacing w:before="0" w:after="0"/>
              <w:rPr>
                <w:b/>
              </w:rPr>
            </w:pPr>
            <w:r>
              <w:rPr>
                <w:b/>
              </w:rPr>
              <w:t>Město Holice</w:t>
            </w:r>
          </w:p>
        </w:tc>
      </w:tr>
      <w:tr w:rsidR="0074584A" w:rsidTr="0074584A">
        <w:trPr>
          <w:jc w:val="center"/>
        </w:trPr>
        <w:tc>
          <w:tcPr>
            <w:tcW w:w="3155" w:type="dxa"/>
          </w:tcPr>
          <w:p w:rsidR="0074584A" w:rsidRDefault="0074584A">
            <w:pPr>
              <w:pStyle w:val="zkladntexttabulka"/>
              <w:spacing w:before="0" w:after="0"/>
            </w:pPr>
          </w:p>
        </w:tc>
        <w:tc>
          <w:tcPr>
            <w:tcW w:w="6024" w:type="dxa"/>
            <w:hideMark/>
          </w:tcPr>
          <w:p w:rsidR="0074584A" w:rsidRDefault="0074584A">
            <w:pPr>
              <w:pStyle w:val="Zkladntext"/>
              <w:ind w:right="-568"/>
            </w:pPr>
            <w:r>
              <w:t>Holubova 1</w:t>
            </w:r>
          </w:p>
          <w:p w:rsidR="0074584A" w:rsidRDefault="0074584A">
            <w:pPr>
              <w:pStyle w:val="Zkladntext"/>
              <w:ind w:right="-568"/>
            </w:pPr>
            <w:r>
              <w:t>534 14 Holice</w:t>
            </w:r>
          </w:p>
        </w:tc>
      </w:tr>
      <w:tr w:rsidR="0074584A" w:rsidTr="0074584A">
        <w:trPr>
          <w:jc w:val="center"/>
        </w:trPr>
        <w:tc>
          <w:tcPr>
            <w:tcW w:w="3155" w:type="dxa"/>
          </w:tcPr>
          <w:p w:rsidR="0074584A" w:rsidRDefault="0074584A">
            <w:pPr>
              <w:pStyle w:val="zkladntexttabulka"/>
            </w:pPr>
          </w:p>
        </w:tc>
        <w:tc>
          <w:tcPr>
            <w:tcW w:w="6024" w:type="dxa"/>
          </w:tcPr>
          <w:p w:rsidR="0074584A" w:rsidRDefault="0074584A">
            <w:pPr>
              <w:pStyle w:val="zkladntexttabulka"/>
              <w:rPr>
                <w:b/>
              </w:rPr>
            </w:pPr>
          </w:p>
        </w:tc>
      </w:tr>
      <w:tr w:rsidR="0074584A" w:rsidTr="0074584A">
        <w:trPr>
          <w:jc w:val="center"/>
        </w:trPr>
        <w:tc>
          <w:tcPr>
            <w:tcW w:w="3155" w:type="dxa"/>
            <w:hideMark/>
          </w:tcPr>
          <w:p w:rsidR="0074584A" w:rsidRDefault="0074584A">
            <w:pPr>
              <w:pStyle w:val="zkladntexttabulka"/>
              <w:spacing w:before="0" w:after="0"/>
            </w:pPr>
            <w:r>
              <w:t>Zastoupeno:</w:t>
            </w:r>
          </w:p>
        </w:tc>
        <w:tc>
          <w:tcPr>
            <w:tcW w:w="6024" w:type="dxa"/>
            <w:hideMark/>
          </w:tcPr>
          <w:p w:rsidR="0074584A" w:rsidRDefault="0074584A">
            <w:pPr>
              <w:pStyle w:val="zkladntexttabulka"/>
              <w:spacing w:before="0" w:after="0"/>
              <w:rPr>
                <w:b/>
              </w:rPr>
            </w:pPr>
            <w:hyperlink r:id="rId5" w:history="1">
              <w:r>
                <w:rPr>
                  <w:rStyle w:val="Hypertextovodkaz"/>
                  <w:b/>
                  <w:bCs/>
                </w:rPr>
                <w:t xml:space="preserve">Mgr. Ladislav </w:t>
              </w:r>
              <w:proofErr w:type="spellStart"/>
              <w:r>
                <w:rPr>
                  <w:rStyle w:val="Hypertextovodkaz"/>
                  <w:b/>
                  <w:bCs/>
                </w:rPr>
                <w:t>Effenberk</w:t>
              </w:r>
              <w:proofErr w:type="spellEnd"/>
              <w:r>
                <w:rPr>
                  <w:rStyle w:val="Hypertextovodkaz"/>
                  <w:b/>
                  <w:bCs/>
                </w:rPr>
                <w:t xml:space="preserve"> </w:t>
              </w:r>
            </w:hyperlink>
          </w:p>
        </w:tc>
      </w:tr>
      <w:tr w:rsidR="0074584A" w:rsidTr="0074584A">
        <w:trPr>
          <w:jc w:val="center"/>
        </w:trPr>
        <w:tc>
          <w:tcPr>
            <w:tcW w:w="3155" w:type="dxa"/>
          </w:tcPr>
          <w:p w:rsidR="0074584A" w:rsidRDefault="0074584A">
            <w:pPr>
              <w:pStyle w:val="zkladntexttabulka"/>
              <w:spacing w:before="0" w:after="0"/>
            </w:pPr>
          </w:p>
        </w:tc>
        <w:tc>
          <w:tcPr>
            <w:tcW w:w="6024" w:type="dxa"/>
          </w:tcPr>
          <w:p w:rsidR="0074584A" w:rsidRDefault="0074584A">
            <w:pPr>
              <w:pStyle w:val="zkladntexttabulka"/>
              <w:spacing w:before="0" w:after="0"/>
            </w:pPr>
            <w:r>
              <w:t>starosta města</w:t>
            </w:r>
          </w:p>
          <w:p w:rsidR="0074584A" w:rsidRDefault="0074584A">
            <w:pPr>
              <w:pStyle w:val="zkladntexttabulka"/>
              <w:spacing w:after="0"/>
            </w:pPr>
          </w:p>
        </w:tc>
      </w:tr>
      <w:tr w:rsidR="0074584A" w:rsidTr="0074584A">
        <w:trPr>
          <w:jc w:val="center"/>
        </w:trPr>
        <w:tc>
          <w:tcPr>
            <w:tcW w:w="3155" w:type="dxa"/>
            <w:hideMark/>
          </w:tcPr>
          <w:p w:rsidR="0074584A" w:rsidRDefault="0074584A">
            <w:pPr>
              <w:pStyle w:val="zkladntexttabulka"/>
              <w:spacing w:before="0" w:after="0"/>
            </w:pPr>
            <w:r>
              <w:t>IČ:</w:t>
            </w:r>
          </w:p>
        </w:tc>
        <w:tc>
          <w:tcPr>
            <w:tcW w:w="6024" w:type="dxa"/>
            <w:hideMark/>
          </w:tcPr>
          <w:p w:rsidR="0074584A" w:rsidRDefault="0074584A">
            <w:pPr>
              <w:pStyle w:val="Zkladntext"/>
              <w:ind w:right="-568"/>
            </w:pPr>
            <w:r>
              <w:rPr>
                <w:color w:val="000000"/>
              </w:rPr>
              <w:t>00273571</w:t>
            </w:r>
          </w:p>
        </w:tc>
      </w:tr>
      <w:tr w:rsidR="0074584A" w:rsidTr="0074584A">
        <w:trPr>
          <w:jc w:val="center"/>
        </w:trPr>
        <w:tc>
          <w:tcPr>
            <w:tcW w:w="3155" w:type="dxa"/>
            <w:hideMark/>
          </w:tcPr>
          <w:p w:rsidR="0074584A" w:rsidRDefault="0074584A">
            <w:pPr>
              <w:pStyle w:val="zkladntexttabulka"/>
              <w:spacing w:before="0" w:after="0"/>
            </w:pPr>
            <w:r>
              <w:t>DIČ:</w:t>
            </w:r>
          </w:p>
        </w:tc>
        <w:tc>
          <w:tcPr>
            <w:tcW w:w="6024" w:type="dxa"/>
            <w:hideMark/>
          </w:tcPr>
          <w:p w:rsidR="0074584A" w:rsidRDefault="0074584A">
            <w:pPr>
              <w:pStyle w:val="zkladntexttabulka"/>
              <w:spacing w:before="0" w:after="0"/>
            </w:pPr>
            <w:r>
              <w:t>-</w:t>
            </w:r>
          </w:p>
        </w:tc>
      </w:tr>
      <w:tr w:rsidR="0074584A" w:rsidTr="0074584A">
        <w:trPr>
          <w:jc w:val="center"/>
        </w:trPr>
        <w:tc>
          <w:tcPr>
            <w:tcW w:w="3155" w:type="dxa"/>
          </w:tcPr>
          <w:p w:rsidR="0074584A" w:rsidRDefault="0074584A">
            <w:pPr>
              <w:pStyle w:val="zkladntexttabulka"/>
              <w:rPr>
                <w:highlight w:val="yellow"/>
              </w:rPr>
            </w:pPr>
          </w:p>
        </w:tc>
        <w:tc>
          <w:tcPr>
            <w:tcW w:w="6024" w:type="dxa"/>
          </w:tcPr>
          <w:p w:rsidR="0074584A" w:rsidRDefault="0074584A">
            <w:pPr>
              <w:pStyle w:val="zkladntexttabulka"/>
              <w:spacing w:before="0" w:after="0"/>
              <w:rPr>
                <w:highlight w:val="yellow"/>
              </w:rPr>
            </w:pPr>
          </w:p>
        </w:tc>
      </w:tr>
      <w:tr w:rsidR="0074584A" w:rsidTr="0074584A">
        <w:trPr>
          <w:jc w:val="center"/>
        </w:trPr>
        <w:tc>
          <w:tcPr>
            <w:tcW w:w="3155" w:type="dxa"/>
            <w:hideMark/>
          </w:tcPr>
          <w:p w:rsidR="0074584A" w:rsidRDefault="0074584A">
            <w:pPr>
              <w:pStyle w:val="zkladntexttabulka"/>
              <w:spacing w:before="0" w:after="0"/>
            </w:pPr>
            <w:r>
              <w:t>Bankovní spojení:</w:t>
            </w:r>
          </w:p>
        </w:tc>
        <w:tc>
          <w:tcPr>
            <w:tcW w:w="6024" w:type="dxa"/>
            <w:hideMark/>
          </w:tcPr>
          <w:p w:rsidR="0074584A" w:rsidRDefault="0074584A">
            <w:pPr>
              <w:pStyle w:val="Zkladntext"/>
              <w:ind w:right="-568"/>
            </w:pPr>
            <w:r>
              <w:rPr>
                <w:color w:val="000000"/>
              </w:rPr>
              <w:t>KB Holice</w:t>
            </w:r>
          </w:p>
        </w:tc>
      </w:tr>
      <w:tr w:rsidR="0074584A" w:rsidTr="0074584A">
        <w:trPr>
          <w:jc w:val="center"/>
        </w:trPr>
        <w:tc>
          <w:tcPr>
            <w:tcW w:w="3155" w:type="dxa"/>
            <w:hideMark/>
          </w:tcPr>
          <w:p w:rsidR="0074584A" w:rsidRDefault="0074584A">
            <w:pPr>
              <w:pStyle w:val="zkladntexttabulka"/>
              <w:spacing w:before="0" w:after="0"/>
            </w:pPr>
            <w:r>
              <w:t>Číslo účtu:</w:t>
            </w:r>
          </w:p>
        </w:tc>
        <w:tc>
          <w:tcPr>
            <w:tcW w:w="6024" w:type="dxa"/>
            <w:hideMark/>
          </w:tcPr>
          <w:p w:rsidR="0074584A" w:rsidRDefault="0074584A">
            <w:pPr>
              <w:pStyle w:val="zkladntexttabulka"/>
              <w:spacing w:before="0" w:after="0"/>
            </w:pPr>
            <w:r>
              <w:rPr>
                <w:color w:val="000000"/>
              </w:rPr>
              <w:t>19-1628561/0100</w:t>
            </w:r>
          </w:p>
        </w:tc>
      </w:tr>
      <w:tr w:rsidR="0074584A" w:rsidTr="0074584A">
        <w:trPr>
          <w:jc w:val="center"/>
        </w:trPr>
        <w:tc>
          <w:tcPr>
            <w:tcW w:w="3155" w:type="dxa"/>
          </w:tcPr>
          <w:p w:rsidR="0074584A" w:rsidRDefault="0074584A">
            <w:pPr>
              <w:pStyle w:val="zkladntexttabulka"/>
              <w:spacing w:before="0" w:after="0"/>
            </w:pPr>
          </w:p>
        </w:tc>
        <w:tc>
          <w:tcPr>
            <w:tcW w:w="6024" w:type="dxa"/>
          </w:tcPr>
          <w:p w:rsidR="0074584A" w:rsidRDefault="0074584A">
            <w:pPr>
              <w:pStyle w:val="zkladntexttabulka"/>
              <w:spacing w:before="0" w:after="0"/>
              <w:rPr>
                <w:b/>
              </w:rPr>
            </w:pPr>
          </w:p>
        </w:tc>
      </w:tr>
      <w:tr w:rsidR="0074584A" w:rsidTr="0074584A">
        <w:trPr>
          <w:jc w:val="center"/>
        </w:trPr>
        <w:tc>
          <w:tcPr>
            <w:tcW w:w="3155" w:type="dxa"/>
          </w:tcPr>
          <w:p w:rsidR="0074584A" w:rsidRDefault="0074584A">
            <w:pPr>
              <w:pStyle w:val="zkladntexttabulka"/>
              <w:spacing w:before="0" w:after="0"/>
            </w:pPr>
          </w:p>
          <w:p w:rsidR="0074584A" w:rsidRDefault="0074584A">
            <w:pPr>
              <w:pStyle w:val="zkladntexttabulka"/>
              <w:spacing w:before="0" w:after="0"/>
            </w:pPr>
            <w:r>
              <w:t>(dále jen „objednatel“)</w:t>
            </w:r>
          </w:p>
        </w:tc>
        <w:tc>
          <w:tcPr>
            <w:tcW w:w="6024" w:type="dxa"/>
          </w:tcPr>
          <w:p w:rsidR="0074584A" w:rsidRDefault="0074584A">
            <w:pPr>
              <w:pStyle w:val="zkladntexttabulka"/>
              <w:spacing w:before="0" w:after="0"/>
            </w:pPr>
          </w:p>
        </w:tc>
      </w:tr>
      <w:tr w:rsidR="0074584A" w:rsidTr="0074584A">
        <w:trPr>
          <w:jc w:val="center"/>
        </w:trPr>
        <w:tc>
          <w:tcPr>
            <w:tcW w:w="3155" w:type="dxa"/>
          </w:tcPr>
          <w:p w:rsidR="0074584A" w:rsidRDefault="0074584A">
            <w:pPr>
              <w:pStyle w:val="zkladntexttabulka"/>
              <w:rPr>
                <w:b/>
              </w:rPr>
            </w:pPr>
          </w:p>
        </w:tc>
        <w:tc>
          <w:tcPr>
            <w:tcW w:w="6024" w:type="dxa"/>
          </w:tcPr>
          <w:p w:rsidR="0074584A" w:rsidRDefault="0074584A">
            <w:pPr>
              <w:pStyle w:val="zkladntexttabulka"/>
            </w:pPr>
          </w:p>
        </w:tc>
      </w:tr>
      <w:tr w:rsidR="0074584A" w:rsidTr="0074584A">
        <w:trPr>
          <w:jc w:val="center"/>
        </w:trPr>
        <w:tc>
          <w:tcPr>
            <w:tcW w:w="3155" w:type="dxa"/>
            <w:hideMark/>
          </w:tcPr>
          <w:p w:rsidR="0074584A" w:rsidRDefault="0074584A" w:rsidP="00B56AEA">
            <w:pPr>
              <w:pStyle w:val="zkladntexttabulka"/>
              <w:numPr>
                <w:ilvl w:val="0"/>
                <w:numId w:val="3"/>
              </w:numPr>
              <w:tabs>
                <w:tab w:val="num" w:pos="372"/>
              </w:tabs>
              <w:rPr>
                <w:b/>
              </w:rPr>
            </w:pPr>
            <w:r>
              <w:rPr>
                <w:b/>
              </w:rPr>
              <w:t>Zhotovitel</w:t>
            </w:r>
          </w:p>
        </w:tc>
        <w:tc>
          <w:tcPr>
            <w:tcW w:w="6024" w:type="dxa"/>
          </w:tcPr>
          <w:p w:rsidR="0074584A" w:rsidRDefault="0074584A">
            <w:pPr>
              <w:pStyle w:val="zkladntexttabulka"/>
            </w:pPr>
          </w:p>
        </w:tc>
      </w:tr>
      <w:tr w:rsidR="0074584A" w:rsidTr="0074584A">
        <w:trPr>
          <w:jc w:val="center"/>
        </w:trPr>
        <w:tc>
          <w:tcPr>
            <w:tcW w:w="3155" w:type="dxa"/>
            <w:hideMark/>
          </w:tcPr>
          <w:p w:rsidR="0074584A" w:rsidRDefault="0074584A">
            <w:pPr>
              <w:pStyle w:val="zkladntexttabulka"/>
              <w:spacing w:before="0" w:after="0"/>
            </w:pPr>
            <w:r>
              <w:t xml:space="preserve">Název organizace: </w:t>
            </w:r>
          </w:p>
        </w:tc>
        <w:tc>
          <w:tcPr>
            <w:tcW w:w="6024" w:type="dxa"/>
            <w:hideMark/>
          </w:tcPr>
          <w:p w:rsidR="0074584A" w:rsidRDefault="0074584A">
            <w:pPr>
              <w:pStyle w:val="zkladntexttabulka"/>
              <w:spacing w:before="0" w:after="0"/>
              <w:rPr>
                <w:b/>
              </w:rPr>
            </w:pPr>
            <w:r>
              <w:rPr>
                <w:b/>
              </w:rPr>
              <w:t>GEOVAP, spol. s r. o.</w:t>
            </w:r>
          </w:p>
        </w:tc>
      </w:tr>
      <w:tr w:rsidR="0074584A" w:rsidTr="0074584A">
        <w:trPr>
          <w:jc w:val="center"/>
        </w:trPr>
        <w:tc>
          <w:tcPr>
            <w:tcW w:w="3155" w:type="dxa"/>
          </w:tcPr>
          <w:p w:rsidR="0074584A" w:rsidRDefault="0074584A">
            <w:pPr>
              <w:pStyle w:val="zkladntexttabulka"/>
              <w:spacing w:before="0" w:after="0"/>
            </w:pPr>
          </w:p>
        </w:tc>
        <w:tc>
          <w:tcPr>
            <w:tcW w:w="6024" w:type="dxa"/>
            <w:hideMark/>
          </w:tcPr>
          <w:p w:rsidR="0074584A" w:rsidRDefault="0074584A">
            <w:pPr>
              <w:pStyle w:val="zkladntexttabulka"/>
              <w:spacing w:before="0" w:after="0"/>
            </w:pPr>
            <w:r>
              <w:t>Čechovo nábřeží 1790</w:t>
            </w:r>
          </w:p>
        </w:tc>
      </w:tr>
      <w:tr w:rsidR="0074584A" w:rsidTr="0074584A">
        <w:trPr>
          <w:jc w:val="center"/>
        </w:trPr>
        <w:tc>
          <w:tcPr>
            <w:tcW w:w="3155" w:type="dxa"/>
          </w:tcPr>
          <w:p w:rsidR="0074584A" w:rsidRDefault="0074584A">
            <w:pPr>
              <w:pStyle w:val="zkladntexttabulka"/>
              <w:spacing w:before="0" w:after="0"/>
            </w:pPr>
          </w:p>
        </w:tc>
        <w:tc>
          <w:tcPr>
            <w:tcW w:w="6024" w:type="dxa"/>
            <w:hideMark/>
          </w:tcPr>
          <w:p w:rsidR="0074584A" w:rsidRDefault="0074584A">
            <w:pPr>
              <w:pStyle w:val="zkladntexttabulka"/>
              <w:spacing w:before="0" w:after="0"/>
            </w:pPr>
            <w:r>
              <w:t>530 03 Pardubice</w:t>
            </w:r>
          </w:p>
        </w:tc>
      </w:tr>
      <w:tr w:rsidR="0074584A" w:rsidTr="0074584A">
        <w:trPr>
          <w:jc w:val="center"/>
        </w:trPr>
        <w:tc>
          <w:tcPr>
            <w:tcW w:w="3155" w:type="dxa"/>
          </w:tcPr>
          <w:p w:rsidR="0074584A" w:rsidRDefault="0074584A">
            <w:pPr>
              <w:pStyle w:val="zkladntexttabulka"/>
            </w:pPr>
          </w:p>
        </w:tc>
        <w:tc>
          <w:tcPr>
            <w:tcW w:w="6024" w:type="dxa"/>
          </w:tcPr>
          <w:p w:rsidR="0074584A" w:rsidRDefault="0074584A">
            <w:pPr>
              <w:pStyle w:val="zkladntexttabulka"/>
              <w:spacing w:before="0" w:after="0"/>
              <w:rPr>
                <w:b/>
              </w:rPr>
            </w:pPr>
          </w:p>
        </w:tc>
      </w:tr>
      <w:tr w:rsidR="0074584A" w:rsidTr="0074584A">
        <w:trPr>
          <w:jc w:val="center"/>
        </w:trPr>
        <w:tc>
          <w:tcPr>
            <w:tcW w:w="3155" w:type="dxa"/>
            <w:hideMark/>
          </w:tcPr>
          <w:p w:rsidR="0074584A" w:rsidRDefault="0074584A">
            <w:pPr>
              <w:pStyle w:val="zkladntexttabulka"/>
              <w:spacing w:before="0" w:after="0"/>
            </w:pPr>
            <w:r>
              <w:t>Zástupce organizace</w:t>
            </w:r>
          </w:p>
        </w:tc>
        <w:tc>
          <w:tcPr>
            <w:tcW w:w="6024" w:type="dxa"/>
            <w:hideMark/>
          </w:tcPr>
          <w:p w:rsidR="0074584A" w:rsidRDefault="0074584A">
            <w:pPr>
              <w:pStyle w:val="zkladntexttabulka"/>
              <w:spacing w:before="0" w:after="0"/>
              <w:rPr>
                <w:b/>
              </w:rPr>
            </w:pPr>
            <w:r>
              <w:rPr>
                <w:b/>
              </w:rPr>
              <w:t xml:space="preserve">Ing. Robert </w:t>
            </w:r>
            <w:proofErr w:type="spellStart"/>
            <w:r>
              <w:rPr>
                <w:b/>
              </w:rPr>
              <w:t>Matulík</w:t>
            </w:r>
            <w:proofErr w:type="spellEnd"/>
          </w:p>
        </w:tc>
      </w:tr>
      <w:tr w:rsidR="0074584A" w:rsidTr="0074584A">
        <w:trPr>
          <w:jc w:val="center"/>
        </w:trPr>
        <w:tc>
          <w:tcPr>
            <w:tcW w:w="3155" w:type="dxa"/>
          </w:tcPr>
          <w:p w:rsidR="0074584A" w:rsidRDefault="0074584A">
            <w:pPr>
              <w:pStyle w:val="zkladntexttabulka"/>
              <w:spacing w:before="0" w:after="0"/>
            </w:pPr>
          </w:p>
        </w:tc>
        <w:tc>
          <w:tcPr>
            <w:tcW w:w="6024" w:type="dxa"/>
            <w:hideMark/>
          </w:tcPr>
          <w:p w:rsidR="0074584A" w:rsidRDefault="0074584A">
            <w:pPr>
              <w:pStyle w:val="zkladntexttabulka"/>
              <w:spacing w:before="0" w:after="0"/>
            </w:pPr>
            <w:r>
              <w:t>jednatel společnosti</w:t>
            </w:r>
          </w:p>
        </w:tc>
      </w:tr>
      <w:tr w:rsidR="0074584A" w:rsidTr="0074584A">
        <w:trPr>
          <w:jc w:val="center"/>
        </w:trPr>
        <w:tc>
          <w:tcPr>
            <w:tcW w:w="3155" w:type="dxa"/>
          </w:tcPr>
          <w:p w:rsidR="0074584A" w:rsidRDefault="0074584A">
            <w:pPr>
              <w:pStyle w:val="zkladntexttabulka"/>
            </w:pPr>
          </w:p>
        </w:tc>
        <w:tc>
          <w:tcPr>
            <w:tcW w:w="6024" w:type="dxa"/>
          </w:tcPr>
          <w:p w:rsidR="0074584A" w:rsidRDefault="0074584A">
            <w:pPr>
              <w:pStyle w:val="zkladntexttabulka"/>
              <w:spacing w:before="0" w:after="0"/>
            </w:pPr>
          </w:p>
        </w:tc>
      </w:tr>
      <w:tr w:rsidR="0074584A" w:rsidTr="0074584A">
        <w:trPr>
          <w:jc w:val="center"/>
        </w:trPr>
        <w:tc>
          <w:tcPr>
            <w:tcW w:w="3155" w:type="dxa"/>
            <w:hideMark/>
          </w:tcPr>
          <w:p w:rsidR="0074584A" w:rsidRDefault="0074584A">
            <w:pPr>
              <w:pStyle w:val="zkladntexttabulka"/>
              <w:spacing w:before="0" w:after="0"/>
            </w:pPr>
            <w:r>
              <w:t>IČ:</w:t>
            </w:r>
          </w:p>
        </w:tc>
        <w:tc>
          <w:tcPr>
            <w:tcW w:w="6024" w:type="dxa"/>
            <w:hideMark/>
          </w:tcPr>
          <w:p w:rsidR="0074584A" w:rsidRDefault="0074584A">
            <w:pPr>
              <w:pStyle w:val="zkladntexttabulka"/>
              <w:spacing w:before="0" w:after="0"/>
            </w:pPr>
            <w:r>
              <w:t>15049248</w:t>
            </w:r>
          </w:p>
        </w:tc>
      </w:tr>
      <w:tr w:rsidR="0074584A" w:rsidTr="0074584A">
        <w:trPr>
          <w:jc w:val="center"/>
        </w:trPr>
        <w:tc>
          <w:tcPr>
            <w:tcW w:w="3155" w:type="dxa"/>
            <w:hideMark/>
          </w:tcPr>
          <w:p w:rsidR="0074584A" w:rsidRDefault="0074584A">
            <w:pPr>
              <w:pStyle w:val="zkladntexttabulka"/>
              <w:spacing w:before="0" w:after="0"/>
            </w:pPr>
            <w:r>
              <w:t>DIČ:</w:t>
            </w:r>
          </w:p>
        </w:tc>
        <w:tc>
          <w:tcPr>
            <w:tcW w:w="6024" w:type="dxa"/>
            <w:hideMark/>
          </w:tcPr>
          <w:p w:rsidR="0074584A" w:rsidRDefault="0074584A">
            <w:pPr>
              <w:pStyle w:val="zkladntexttabulka"/>
              <w:spacing w:before="0" w:after="0"/>
            </w:pPr>
            <w:r>
              <w:t>CZ15049248</w:t>
            </w:r>
          </w:p>
        </w:tc>
      </w:tr>
      <w:tr w:rsidR="0074584A" w:rsidTr="0074584A">
        <w:trPr>
          <w:jc w:val="center"/>
        </w:trPr>
        <w:tc>
          <w:tcPr>
            <w:tcW w:w="3155" w:type="dxa"/>
          </w:tcPr>
          <w:p w:rsidR="0074584A" w:rsidRDefault="0074584A">
            <w:pPr>
              <w:pStyle w:val="zkladntexttabulka"/>
            </w:pPr>
          </w:p>
        </w:tc>
        <w:tc>
          <w:tcPr>
            <w:tcW w:w="6024" w:type="dxa"/>
          </w:tcPr>
          <w:p w:rsidR="0074584A" w:rsidRDefault="0074584A">
            <w:pPr>
              <w:pStyle w:val="zkladntexttabulka"/>
              <w:spacing w:before="0" w:after="0"/>
            </w:pPr>
          </w:p>
        </w:tc>
      </w:tr>
      <w:tr w:rsidR="0074584A" w:rsidTr="0074584A">
        <w:trPr>
          <w:jc w:val="center"/>
        </w:trPr>
        <w:tc>
          <w:tcPr>
            <w:tcW w:w="3155" w:type="dxa"/>
            <w:hideMark/>
          </w:tcPr>
          <w:p w:rsidR="0074584A" w:rsidRDefault="0074584A">
            <w:pPr>
              <w:pStyle w:val="zkladntexttabulka"/>
              <w:spacing w:before="0" w:after="0"/>
            </w:pPr>
            <w:r>
              <w:t>Bankovní spojení:</w:t>
            </w:r>
          </w:p>
        </w:tc>
        <w:tc>
          <w:tcPr>
            <w:tcW w:w="6024" w:type="dxa"/>
            <w:hideMark/>
          </w:tcPr>
          <w:p w:rsidR="0074584A" w:rsidRDefault="0074584A">
            <w:pPr>
              <w:pStyle w:val="zkladntexttabulka"/>
              <w:spacing w:before="0" w:after="0"/>
            </w:pPr>
            <w:r>
              <w:t>CITIBANK, a.s.</w:t>
            </w:r>
          </w:p>
        </w:tc>
      </w:tr>
      <w:tr w:rsidR="0074584A" w:rsidTr="0074584A">
        <w:trPr>
          <w:jc w:val="center"/>
        </w:trPr>
        <w:tc>
          <w:tcPr>
            <w:tcW w:w="3155" w:type="dxa"/>
            <w:hideMark/>
          </w:tcPr>
          <w:p w:rsidR="0074584A" w:rsidRDefault="0074584A">
            <w:pPr>
              <w:pStyle w:val="zkladntexttabulka"/>
              <w:spacing w:before="0" w:after="0"/>
            </w:pPr>
            <w:r>
              <w:t>Číslo účtu:</w:t>
            </w:r>
          </w:p>
        </w:tc>
        <w:tc>
          <w:tcPr>
            <w:tcW w:w="6024" w:type="dxa"/>
            <w:hideMark/>
          </w:tcPr>
          <w:p w:rsidR="0074584A" w:rsidRDefault="0074584A">
            <w:pPr>
              <w:pStyle w:val="zkladntexttabulka"/>
              <w:spacing w:before="0" w:after="0"/>
            </w:pPr>
            <w:r>
              <w:t>2020870109/2600</w:t>
            </w:r>
          </w:p>
        </w:tc>
      </w:tr>
      <w:tr w:rsidR="0074584A" w:rsidTr="0074584A">
        <w:trPr>
          <w:jc w:val="center"/>
        </w:trPr>
        <w:tc>
          <w:tcPr>
            <w:tcW w:w="9179" w:type="dxa"/>
            <w:gridSpan w:val="2"/>
          </w:tcPr>
          <w:p w:rsidR="0074584A" w:rsidRDefault="0074584A">
            <w:pPr>
              <w:pStyle w:val="zkladntexttabulka"/>
              <w:spacing w:before="0" w:after="0"/>
            </w:pPr>
          </w:p>
        </w:tc>
      </w:tr>
      <w:tr w:rsidR="0074584A" w:rsidTr="0074584A">
        <w:trPr>
          <w:jc w:val="center"/>
        </w:trPr>
        <w:tc>
          <w:tcPr>
            <w:tcW w:w="9179" w:type="dxa"/>
            <w:gridSpan w:val="2"/>
            <w:hideMark/>
          </w:tcPr>
          <w:p w:rsidR="0074584A" w:rsidRDefault="0074584A">
            <w:pPr>
              <w:pStyle w:val="zkladntexttabulka"/>
              <w:spacing w:before="0" w:after="0"/>
            </w:pPr>
            <w:r>
              <w:t xml:space="preserve">zapsán v obchodním rejstříku dne </w:t>
            </w:r>
            <w:proofErr w:type="gramStart"/>
            <w:r>
              <w:t>26.2.1991</w:t>
            </w:r>
            <w:proofErr w:type="gramEnd"/>
            <w:r>
              <w:t>, v oddíle C, vložka 234, vedeném Krajským  soudem v Hradci Králové</w:t>
            </w:r>
          </w:p>
        </w:tc>
      </w:tr>
      <w:tr w:rsidR="0074584A" w:rsidTr="0074584A">
        <w:trPr>
          <w:jc w:val="center"/>
        </w:trPr>
        <w:tc>
          <w:tcPr>
            <w:tcW w:w="9179" w:type="dxa"/>
            <w:gridSpan w:val="2"/>
          </w:tcPr>
          <w:p w:rsidR="0074584A" w:rsidRDefault="0074584A">
            <w:pPr>
              <w:pStyle w:val="Zkladntext"/>
            </w:pPr>
          </w:p>
          <w:p w:rsidR="0074584A" w:rsidRDefault="0074584A">
            <w:pPr>
              <w:pStyle w:val="Zkladntext"/>
            </w:pPr>
            <w:r>
              <w:t>(dále jen „zhotovitel“)</w:t>
            </w:r>
          </w:p>
          <w:p w:rsidR="0074584A" w:rsidRDefault="0074584A">
            <w:pPr>
              <w:pStyle w:val="Zkladntext"/>
            </w:pPr>
          </w:p>
        </w:tc>
      </w:tr>
      <w:tr w:rsidR="0074584A" w:rsidTr="0074584A">
        <w:trPr>
          <w:jc w:val="center"/>
        </w:trPr>
        <w:tc>
          <w:tcPr>
            <w:tcW w:w="9179" w:type="dxa"/>
            <w:gridSpan w:val="2"/>
            <w:hideMark/>
          </w:tcPr>
          <w:p w:rsidR="0074584A" w:rsidRDefault="0074584A">
            <w:pPr>
              <w:pStyle w:val="zkladntexttabulka"/>
              <w:spacing w:before="0" w:after="0"/>
              <w:jc w:val="center"/>
            </w:pPr>
            <w:r>
              <w:t>(oba společně též „smluvní strany“)</w:t>
            </w:r>
          </w:p>
        </w:tc>
      </w:tr>
    </w:tbl>
    <w:p w:rsidR="0074584A" w:rsidRDefault="0074584A" w:rsidP="0074584A">
      <w:pPr>
        <w:spacing w:after="0"/>
        <w:rPr>
          <w:rFonts w:cs="Arial"/>
          <w:b/>
          <w:bCs/>
          <w:sz w:val="28"/>
        </w:rPr>
        <w:sectPr w:rsidR="0074584A">
          <w:pgSz w:w="11907" w:h="16840"/>
          <w:pgMar w:top="1134" w:right="1418" w:bottom="1134" w:left="1418" w:header="708" w:footer="454" w:gutter="0"/>
          <w:cols w:space="708"/>
        </w:sectPr>
      </w:pPr>
    </w:p>
    <w:p w:rsidR="0074584A" w:rsidRDefault="0074584A" w:rsidP="0074584A">
      <w:pPr>
        <w:pStyle w:val="Zkladntext"/>
        <w:numPr>
          <w:ilvl w:val="0"/>
          <w:numId w:val="2"/>
        </w:numPr>
        <w:spacing w:after="120"/>
        <w:ind w:left="284" w:right="0" w:hanging="284"/>
        <w:jc w:val="center"/>
        <w:rPr>
          <w:b/>
          <w:sz w:val="28"/>
          <w:szCs w:val="20"/>
        </w:rPr>
      </w:pPr>
      <w:bookmarkStart w:id="0" w:name="_Ref125774523"/>
      <w:r>
        <w:rPr>
          <w:b/>
          <w:sz w:val="28"/>
        </w:rPr>
        <w:lastRenderedPageBreak/>
        <w:t>Úvodní ustanovení</w:t>
      </w:r>
      <w:bookmarkEnd w:id="0"/>
    </w:p>
    <w:p w:rsidR="0074584A" w:rsidRDefault="0074584A" w:rsidP="0074584A">
      <w:pPr>
        <w:pStyle w:val="Zkladntext"/>
        <w:ind w:right="33"/>
        <w:jc w:val="both"/>
      </w:pPr>
      <w:r>
        <w:t xml:space="preserve">Zhotovitel prohlašuje, že je oprávněn tuto smlouvu uzavřít a řádně plnit závazky v ní obsažené. </w:t>
      </w:r>
    </w:p>
    <w:p w:rsidR="0074584A" w:rsidRDefault="0074584A" w:rsidP="0074584A">
      <w:pPr>
        <w:pStyle w:val="Zkladntext"/>
        <w:numPr>
          <w:ilvl w:val="0"/>
          <w:numId w:val="2"/>
        </w:numPr>
        <w:spacing w:before="120" w:after="120"/>
        <w:ind w:left="284" w:right="0" w:hanging="284"/>
        <w:jc w:val="center"/>
        <w:rPr>
          <w:b/>
          <w:sz w:val="28"/>
          <w:szCs w:val="20"/>
        </w:rPr>
      </w:pPr>
      <w:bookmarkStart w:id="1" w:name="_Ref106776263"/>
      <w:r>
        <w:rPr>
          <w:b/>
          <w:sz w:val="28"/>
        </w:rPr>
        <w:t>Předmět plnění</w:t>
      </w:r>
      <w:bookmarkEnd w:id="1"/>
    </w:p>
    <w:p w:rsidR="0074584A" w:rsidRDefault="0074584A" w:rsidP="0074584A">
      <w:pPr>
        <w:pStyle w:val="Zkladntext"/>
        <w:numPr>
          <w:ilvl w:val="0"/>
          <w:numId w:val="4"/>
        </w:numPr>
        <w:ind w:right="33"/>
        <w:jc w:val="both"/>
      </w:pPr>
      <w:r>
        <w:t>Předmětem plnění dle této smlouvy je závazek zhotovitele provést pro objednatele dílo svým nákladem a na své nebezpečí a závazek objednatele za řádně a včas provedené dílo uhradit dohodnutou cenu díla v dohodnutých termínech a za podmínek stanovených v této smlouvě.</w:t>
      </w:r>
    </w:p>
    <w:p w:rsidR="0074584A" w:rsidRDefault="0074584A" w:rsidP="0074584A">
      <w:pPr>
        <w:pStyle w:val="Zkladntext"/>
        <w:ind w:right="33"/>
        <w:jc w:val="both"/>
      </w:pPr>
      <w:bookmarkStart w:id="2" w:name="OLE_LINK6"/>
    </w:p>
    <w:p w:rsidR="0074584A" w:rsidRDefault="0074584A" w:rsidP="0074584A">
      <w:pPr>
        <w:pStyle w:val="Zkladntext"/>
        <w:numPr>
          <w:ilvl w:val="0"/>
          <w:numId w:val="4"/>
        </w:numPr>
        <w:ind w:right="33"/>
        <w:jc w:val="both"/>
      </w:pPr>
      <w:r>
        <w:t xml:space="preserve">Struktura </w:t>
      </w:r>
      <w:bookmarkEnd w:id="2"/>
      <w:r>
        <w:t>předmětu plnění:</w:t>
      </w:r>
    </w:p>
    <w:p w:rsidR="0074584A" w:rsidRDefault="0074584A" w:rsidP="0074584A">
      <w:pPr>
        <w:pStyle w:val="zkladntext-odrky"/>
        <w:numPr>
          <w:ilvl w:val="0"/>
          <w:numId w:val="5"/>
        </w:numPr>
        <w:tabs>
          <w:tab w:val="num" w:pos="851"/>
        </w:tabs>
        <w:ind w:hanging="858"/>
      </w:pPr>
      <w:r>
        <w:t>analýza současného stavu organizace oběhu řízení dokumentů u objednatele</w:t>
      </w:r>
    </w:p>
    <w:p w:rsidR="0074584A" w:rsidRDefault="0074584A" w:rsidP="0074584A">
      <w:pPr>
        <w:pStyle w:val="zkladntext-odrky"/>
        <w:numPr>
          <w:ilvl w:val="0"/>
          <w:numId w:val="5"/>
        </w:numPr>
        <w:tabs>
          <w:tab w:val="num" w:pos="851"/>
        </w:tabs>
        <w:ind w:hanging="858"/>
      </w:pPr>
      <w:r>
        <w:t>vytvoření nového spisového a skartačního řádu</w:t>
      </w:r>
    </w:p>
    <w:p w:rsidR="0074584A" w:rsidRDefault="0074584A" w:rsidP="0074584A">
      <w:pPr>
        <w:pStyle w:val="zkladntext-odrky"/>
        <w:numPr>
          <w:ilvl w:val="0"/>
          <w:numId w:val="5"/>
        </w:numPr>
        <w:tabs>
          <w:tab w:val="num" w:pos="851"/>
        </w:tabs>
        <w:ind w:hanging="858"/>
      </w:pPr>
      <w:r>
        <w:t>vytvoření strategického dokumentu řízení dokumentace</w:t>
      </w:r>
    </w:p>
    <w:p w:rsidR="0074584A" w:rsidRDefault="0074584A" w:rsidP="0074584A">
      <w:pPr>
        <w:pStyle w:val="Zkladntext"/>
        <w:numPr>
          <w:ilvl w:val="0"/>
          <w:numId w:val="2"/>
        </w:numPr>
        <w:spacing w:before="240" w:after="120"/>
        <w:ind w:left="284" w:right="0" w:hanging="284"/>
        <w:jc w:val="center"/>
        <w:rPr>
          <w:b/>
          <w:sz w:val="28"/>
        </w:rPr>
      </w:pPr>
      <w:r>
        <w:rPr>
          <w:b/>
          <w:sz w:val="28"/>
        </w:rPr>
        <w:t>Doba a místo plnění</w:t>
      </w:r>
    </w:p>
    <w:p w:rsidR="0074584A" w:rsidRDefault="0074584A" w:rsidP="0074584A">
      <w:pPr>
        <w:pStyle w:val="Zkladntext"/>
        <w:numPr>
          <w:ilvl w:val="0"/>
          <w:numId w:val="6"/>
        </w:numPr>
        <w:ind w:right="33"/>
        <w:jc w:val="both"/>
        <w:rPr>
          <w:rFonts w:cs="Times New Roman"/>
        </w:rPr>
      </w:pPr>
      <w:r>
        <w:t xml:space="preserve">Zahájení plnění je </w:t>
      </w:r>
      <w:proofErr w:type="gramStart"/>
      <w:r>
        <w:t>24.4.2017</w:t>
      </w:r>
      <w:proofErr w:type="gramEnd"/>
      <w:r>
        <w:t>, termín ukončení plnění je 3,</w:t>
      </w:r>
      <w:bookmarkStart w:id="3" w:name="_GoBack"/>
      <w:bookmarkEnd w:id="3"/>
      <w:r>
        <w:t>5 měsíce od termínu zahájení. Místem plnění je sídlo zadavatele.</w:t>
      </w:r>
    </w:p>
    <w:p w:rsidR="0074584A" w:rsidRDefault="0074584A" w:rsidP="0074584A">
      <w:pPr>
        <w:pStyle w:val="Zkladntext"/>
        <w:numPr>
          <w:ilvl w:val="0"/>
          <w:numId w:val="2"/>
        </w:numPr>
        <w:spacing w:before="240" w:after="240"/>
        <w:ind w:left="284" w:right="0" w:hanging="284"/>
        <w:jc w:val="center"/>
        <w:rPr>
          <w:b/>
          <w:sz w:val="28"/>
        </w:rPr>
      </w:pPr>
      <w:bookmarkStart w:id="4" w:name="_Ref126035216"/>
      <w:r>
        <w:rPr>
          <w:b/>
          <w:sz w:val="28"/>
        </w:rPr>
        <w:t>Cena a platební podmínky</w:t>
      </w:r>
      <w:bookmarkEnd w:id="4"/>
    </w:p>
    <w:p w:rsidR="0074584A" w:rsidRDefault="0074584A" w:rsidP="0074584A">
      <w:pPr>
        <w:pStyle w:val="Zkladntext"/>
        <w:numPr>
          <w:ilvl w:val="0"/>
          <w:numId w:val="7"/>
        </w:numPr>
        <w:ind w:right="33"/>
        <w:jc w:val="both"/>
        <w:rPr>
          <w:b/>
        </w:rPr>
      </w:pPr>
      <w:r>
        <w:t xml:space="preserve">Ca za poskytované plnění je stanovena dohodou mezi objednatelem a zhotovitelem a její struktura je následující: </w:t>
      </w:r>
    </w:p>
    <w:p w:rsidR="0074584A" w:rsidRDefault="0074584A" w:rsidP="0074584A">
      <w:pPr>
        <w:pStyle w:val="Zkladntext"/>
        <w:ind w:right="33"/>
        <w:jc w:val="both"/>
        <w:rPr>
          <w:b/>
        </w:rPr>
      </w:pPr>
    </w:p>
    <w:tbl>
      <w:tblPr>
        <w:tblW w:w="8640"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107"/>
        <w:gridCol w:w="1559"/>
        <w:gridCol w:w="1416"/>
        <w:gridCol w:w="1558"/>
      </w:tblGrid>
      <w:tr w:rsidR="0074584A" w:rsidTr="0074584A">
        <w:tc>
          <w:tcPr>
            <w:tcW w:w="4111" w:type="dxa"/>
            <w:tcBorders>
              <w:top w:val="single" w:sz="12" w:space="0" w:color="auto"/>
              <w:left w:val="single" w:sz="12" w:space="0" w:color="auto"/>
              <w:bottom w:val="single" w:sz="6" w:space="0" w:color="auto"/>
              <w:right w:val="single" w:sz="6" w:space="0" w:color="auto"/>
            </w:tcBorders>
            <w:hideMark/>
          </w:tcPr>
          <w:p w:rsidR="0074584A" w:rsidRDefault="0074584A">
            <w:pPr>
              <w:spacing w:after="160" w:line="256" w:lineRule="auto"/>
              <w:ind w:right="-1"/>
              <w:rPr>
                <w:rFonts w:eastAsia="Calibri" w:cs="Arial"/>
                <w:b/>
                <w:sz w:val="22"/>
                <w:szCs w:val="22"/>
                <w:lang w:eastAsia="en-US"/>
              </w:rPr>
            </w:pPr>
            <w:r>
              <w:rPr>
                <w:rFonts w:eastAsia="Calibri" w:cs="Arial"/>
                <w:b/>
                <w:sz w:val="22"/>
                <w:szCs w:val="22"/>
                <w:lang w:eastAsia="en-US"/>
              </w:rPr>
              <w:t>Položka</w:t>
            </w:r>
          </w:p>
        </w:tc>
        <w:tc>
          <w:tcPr>
            <w:tcW w:w="1560" w:type="dxa"/>
            <w:tcBorders>
              <w:top w:val="single" w:sz="12" w:space="0" w:color="auto"/>
              <w:left w:val="single" w:sz="6" w:space="0" w:color="auto"/>
              <w:bottom w:val="single" w:sz="6" w:space="0" w:color="auto"/>
              <w:right w:val="single" w:sz="6" w:space="0" w:color="auto"/>
            </w:tcBorders>
            <w:hideMark/>
          </w:tcPr>
          <w:p w:rsidR="0074584A" w:rsidRDefault="0074584A">
            <w:pPr>
              <w:spacing w:after="160" w:line="256" w:lineRule="auto"/>
              <w:ind w:right="-1"/>
              <w:jc w:val="center"/>
              <w:rPr>
                <w:rFonts w:eastAsia="Calibri" w:cs="Arial"/>
                <w:b/>
                <w:sz w:val="22"/>
                <w:szCs w:val="22"/>
                <w:lang w:eastAsia="en-US"/>
              </w:rPr>
            </w:pPr>
            <w:r>
              <w:rPr>
                <w:rFonts w:eastAsia="Calibri" w:cs="Arial"/>
                <w:b/>
                <w:sz w:val="22"/>
                <w:szCs w:val="22"/>
                <w:lang w:eastAsia="en-US"/>
              </w:rPr>
              <w:t>Cena bez DPH (Kč)</w:t>
            </w:r>
          </w:p>
        </w:tc>
        <w:tc>
          <w:tcPr>
            <w:tcW w:w="1417" w:type="dxa"/>
            <w:tcBorders>
              <w:top w:val="single" w:sz="12" w:space="0" w:color="auto"/>
              <w:left w:val="single" w:sz="6" w:space="0" w:color="auto"/>
              <w:bottom w:val="single" w:sz="6" w:space="0" w:color="auto"/>
              <w:right w:val="single" w:sz="6" w:space="0" w:color="auto"/>
            </w:tcBorders>
            <w:hideMark/>
          </w:tcPr>
          <w:p w:rsidR="0074584A" w:rsidRDefault="0074584A">
            <w:pPr>
              <w:spacing w:after="160" w:line="256" w:lineRule="auto"/>
              <w:ind w:right="-1"/>
              <w:jc w:val="center"/>
              <w:rPr>
                <w:rFonts w:eastAsia="Calibri" w:cs="Arial"/>
                <w:b/>
                <w:sz w:val="22"/>
                <w:szCs w:val="22"/>
                <w:lang w:eastAsia="en-US"/>
              </w:rPr>
            </w:pPr>
            <w:r>
              <w:rPr>
                <w:rFonts w:eastAsia="Calibri" w:cs="Arial"/>
                <w:b/>
                <w:sz w:val="22"/>
                <w:szCs w:val="22"/>
                <w:lang w:eastAsia="en-US"/>
              </w:rPr>
              <w:t>DPH 21% (Kč)</w:t>
            </w:r>
          </w:p>
        </w:tc>
        <w:tc>
          <w:tcPr>
            <w:tcW w:w="1559" w:type="dxa"/>
            <w:tcBorders>
              <w:top w:val="single" w:sz="12" w:space="0" w:color="auto"/>
              <w:left w:val="single" w:sz="6" w:space="0" w:color="auto"/>
              <w:bottom w:val="single" w:sz="6" w:space="0" w:color="auto"/>
              <w:right w:val="single" w:sz="12" w:space="0" w:color="auto"/>
            </w:tcBorders>
            <w:hideMark/>
          </w:tcPr>
          <w:p w:rsidR="0074584A" w:rsidRDefault="0074584A">
            <w:pPr>
              <w:spacing w:after="160" w:line="256" w:lineRule="auto"/>
              <w:ind w:right="-1"/>
              <w:jc w:val="center"/>
              <w:rPr>
                <w:rFonts w:eastAsia="Calibri" w:cs="Arial"/>
                <w:b/>
                <w:sz w:val="22"/>
                <w:szCs w:val="22"/>
                <w:lang w:eastAsia="en-US"/>
              </w:rPr>
            </w:pPr>
            <w:r>
              <w:rPr>
                <w:rFonts w:eastAsia="Calibri" w:cs="Arial"/>
                <w:b/>
                <w:sz w:val="22"/>
                <w:szCs w:val="22"/>
                <w:lang w:eastAsia="en-US"/>
              </w:rPr>
              <w:t>Cena s DPH (Kč)</w:t>
            </w:r>
          </w:p>
        </w:tc>
      </w:tr>
      <w:tr w:rsidR="0074584A" w:rsidTr="0074584A">
        <w:tc>
          <w:tcPr>
            <w:tcW w:w="4111" w:type="dxa"/>
            <w:tcBorders>
              <w:top w:val="single" w:sz="6" w:space="0" w:color="auto"/>
              <w:left w:val="single" w:sz="12" w:space="0" w:color="auto"/>
              <w:bottom w:val="single" w:sz="6" w:space="0" w:color="auto"/>
              <w:right w:val="single" w:sz="6" w:space="0" w:color="auto"/>
            </w:tcBorders>
            <w:hideMark/>
          </w:tcPr>
          <w:p w:rsidR="0074584A" w:rsidRDefault="0074584A">
            <w:pPr>
              <w:spacing w:after="0" w:line="256" w:lineRule="auto"/>
              <w:rPr>
                <w:rFonts w:eastAsia="Calibri" w:cs="Arial"/>
                <w:bCs/>
                <w:sz w:val="22"/>
                <w:szCs w:val="22"/>
                <w:lang w:eastAsia="en-US"/>
              </w:rPr>
            </w:pPr>
            <w:r>
              <w:rPr>
                <w:rFonts w:eastAsia="Calibri" w:cs="Arial"/>
                <w:bCs/>
                <w:sz w:val="22"/>
                <w:szCs w:val="22"/>
                <w:lang w:eastAsia="en-US"/>
              </w:rPr>
              <w:t>Analýza současného stavu a vytvoření nového spisového a skartačního řádu – a) + b)</w:t>
            </w:r>
          </w:p>
        </w:tc>
        <w:tc>
          <w:tcPr>
            <w:tcW w:w="1560" w:type="dxa"/>
            <w:tcBorders>
              <w:top w:val="single" w:sz="6" w:space="0" w:color="auto"/>
              <w:left w:val="single" w:sz="6" w:space="0" w:color="auto"/>
              <w:bottom w:val="single" w:sz="6" w:space="0" w:color="auto"/>
              <w:right w:val="single" w:sz="6" w:space="0" w:color="auto"/>
            </w:tcBorders>
            <w:vAlign w:val="center"/>
            <w:hideMark/>
          </w:tcPr>
          <w:p w:rsidR="0074584A" w:rsidRDefault="0074584A">
            <w:pPr>
              <w:spacing w:after="0" w:line="256" w:lineRule="auto"/>
              <w:jc w:val="right"/>
              <w:rPr>
                <w:rFonts w:eastAsia="Calibri" w:cs="Arial"/>
                <w:sz w:val="22"/>
                <w:szCs w:val="22"/>
                <w:lang w:eastAsia="en-US"/>
              </w:rPr>
            </w:pPr>
            <w:r>
              <w:rPr>
                <w:rFonts w:eastAsia="Calibri" w:cs="Arial"/>
                <w:sz w:val="22"/>
                <w:szCs w:val="22"/>
                <w:lang w:eastAsia="en-US"/>
              </w:rPr>
              <w:t>155 000,00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74584A" w:rsidRDefault="0074584A">
            <w:pPr>
              <w:spacing w:after="0" w:line="256" w:lineRule="auto"/>
              <w:jc w:val="right"/>
              <w:rPr>
                <w:rFonts w:eastAsia="Calibri" w:cs="Arial"/>
                <w:sz w:val="22"/>
                <w:szCs w:val="22"/>
                <w:lang w:eastAsia="en-US"/>
              </w:rPr>
            </w:pPr>
            <w:r>
              <w:rPr>
                <w:rFonts w:eastAsia="Calibri" w:cs="Arial"/>
                <w:sz w:val="22"/>
                <w:szCs w:val="22"/>
                <w:lang w:eastAsia="en-US"/>
              </w:rPr>
              <w:t>32 550,00</w:t>
            </w:r>
          </w:p>
        </w:tc>
        <w:tc>
          <w:tcPr>
            <w:tcW w:w="1559" w:type="dxa"/>
            <w:tcBorders>
              <w:top w:val="single" w:sz="6" w:space="0" w:color="auto"/>
              <w:left w:val="single" w:sz="6" w:space="0" w:color="auto"/>
              <w:bottom w:val="single" w:sz="6" w:space="0" w:color="auto"/>
              <w:right w:val="single" w:sz="12" w:space="0" w:color="auto"/>
            </w:tcBorders>
            <w:vAlign w:val="center"/>
            <w:hideMark/>
          </w:tcPr>
          <w:p w:rsidR="0074584A" w:rsidRDefault="0074584A">
            <w:pPr>
              <w:spacing w:after="0" w:line="256" w:lineRule="auto"/>
              <w:jc w:val="right"/>
              <w:rPr>
                <w:rFonts w:eastAsia="Calibri" w:cs="Arial"/>
                <w:sz w:val="22"/>
                <w:szCs w:val="22"/>
                <w:lang w:eastAsia="en-US"/>
              </w:rPr>
            </w:pPr>
            <w:r>
              <w:rPr>
                <w:rFonts w:eastAsia="Calibri" w:cs="Arial"/>
                <w:sz w:val="22"/>
                <w:szCs w:val="22"/>
                <w:lang w:eastAsia="en-US"/>
              </w:rPr>
              <w:t>187 550,00</w:t>
            </w:r>
          </w:p>
        </w:tc>
      </w:tr>
      <w:tr w:rsidR="0074584A" w:rsidTr="0074584A">
        <w:tc>
          <w:tcPr>
            <w:tcW w:w="4111" w:type="dxa"/>
            <w:tcBorders>
              <w:top w:val="single" w:sz="6" w:space="0" w:color="auto"/>
              <w:left w:val="single" w:sz="12" w:space="0" w:color="auto"/>
              <w:bottom w:val="single" w:sz="6" w:space="0" w:color="auto"/>
              <w:right w:val="single" w:sz="6" w:space="0" w:color="auto"/>
            </w:tcBorders>
            <w:hideMark/>
          </w:tcPr>
          <w:p w:rsidR="0074584A" w:rsidRDefault="0074584A">
            <w:pPr>
              <w:autoSpaceDE w:val="0"/>
              <w:autoSpaceDN w:val="0"/>
              <w:spacing w:after="0"/>
              <w:rPr>
                <w:rFonts w:ascii="Courier New" w:hAnsi="Courier New" w:cs="Arial"/>
                <w:bCs/>
                <w:sz w:val="22"/>
                <w:szCs w:val="22"/>
              </w:rPr>
            </w:pPr>
            <w:r>
              <w:rPr>
                <w:rFonts w:eastAsia="Calibri" w:cs="Arial"/>
                <w:bCs/>
                <w:sz w:val="22"/>
                <w:szCs w:val="22"/>
                <w:lang w:eastAsia="en-US"/>
              </w:rPr>
              <w:t>Vytvoření strategického dokumentu – c)</w:t>
            </w:r>
          </w:p>
        </w:tc>
        <w:tc>
          <w:tcPr>
            <w:tcW w:w="1560" w:type="dxa"/>
            <w:tcBorders>
              <w:top w:val="single" w:sz="6" w:space="0" w:color="auto"/>
              <w:left w:val="single" w:sz="6" w:space="0" w:color="auto"/>
              <w:bottom w:val="single" w:sz="6" w:space="0" w:color="auto"/>
              <w:right w:val="single" w:sz="6" w:space="0" w:color="auto"/>
            </w:tcBorders>
            <w:vAlign w:val="center"/>
            <w:hideMark/>
          </w:tcPr>
          <w:p w:rsidR="0074584A" w:rsidRDefault="0074584A">
            <w:pPr>
              <w:spacing w:after="0" w:line="256" w:lineRule="auto"/>
              <w:jc w:val="right"/>
              <w:rPr>
                <w:rFonts w:eastAsia="Calibri" w:cs="Arial"/>
                <w:sz w:val="22"/>
                <w:szCs w:val="22"/>
                <w:lang w:eastAsia="en-US"/>
              </w:rPr>
            </w:pPr>
            <w:r>
              <w:rPr>
                <w:rFonts w:eastAsia="Calibri" w:cs="Arial"/>
                <w:sz w:val="22"/>
                <w:szCs w:val="22"/>
                <w:lang w:eastAsia="en-US"/>
              </w:rPr>
              <w:t>68 125,00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74584A" w:rsidRDefault="0074584A">
            <w:pPr>
              <w:spacing w:after="0" w:line="256" w:lineRule="auto"/>
              <w:jc w:val="right"/>
              <w:rPr>
                <w:rFonts w:eastAsia="Calibri" w:cs="Arial"/>
                <w:sz w:val="22"/>
                <w:szCs w:val="22"/>
                <w:lang w:eastAsia="en-US"/>
              </w:rPr>
            </w:pPr>
            <w:r>
              <w:rPr>
                <w:rFonts w:eastAsia="Calibri" w:cs="Arial"/>
                <w:sz w:val="22"/>
                <w:szCs w:val="22"/>
                <w:lang w:eastAsia="en-US"/>
              </w:rPr>
              <w:t>14 306,30</w:t>
            </w:r>
          </w:p>
        </w:tc>
        <w:tc>
          <w:tcPr>
            <w:tcW w:w="1559" w:type="dxa"/>
            <w:tcBorders>
              <w:top w:val="single" w:sz="6" w:space="0" w:color="auto"/>
              <w:left w:val="single" w:sz="6" w:space="0" w:color="auto"/>
              <w:bottom w:val="single" w:sz="6" w:space="0" w:color="auto"/>
              <w:right w:val="single" w:sz="12" w:space="0" w:color="auto"/>
            </w:tcBorders>
            <w:vAlign w:val="center"/>
            <w:hideMark/>
          </w:tcPr>
          <w:p w:rsidR="0074584A" w:rsidRDefault="0074584A">
            <w:pPr>
              <w:spacing w:after="0" w:line="256" w:lineRule="auto"/>
              <w:jc w:val="right"/>
              <w:rPr>
                <w:rFonts w:eastAsia="Calibri" w:cs="Arial"/>
                <w:sz w:val="22"/>
                <w:szCs w:val="22"/>
                <w:lang w:eastAsia="en-US"/>
              </w:rPr>
            </w:pPr>
            <w:r>
              <w:rPr>
                <w:rFonts w:eastAsia="Calibri" w:cs="Arial"/>
                <w:sz w:val="22"/>
                <w:szCs w:val="22"/>
                <w:lang w:eastAsia="en-US"/>
              </w:rPr>
              <w:t>82 431,30</w:t>
            </w:r>
          </w:p>
        </w:tc>
      </w:tr>
      <w:tr w:rsidR="0074584A" w:rsidTr="0074584A">
        <w:tc>
          <w:tcPr>
            <w:tcW w:w="4111" w:type="dxa"/>
            <w:tcBorders>
              <w:top w:val="single" w:sz="6" w:space="0" w:color="auto"/>
              <w:left w:val="single" w:sz="12" w:space="0" w:color="auto"/>
              <w:bottom w:val="single" w:sz="12" w:space="0" w:color="auto"/>
              <w:right w:val="single" w:sz="6" w:space="0" w:color="auto"/>
            </w:tcBorders>
            <w:shd w:val="pct10" w:color="auto" w:fill="auto"/>
            <w:hideMark/>
          </w:tcPr>
          <w:p w:rsidR="0074584A" w:rsidRDefault="0074584A">
            <w:pPr>
              <w:spacing w:after="0" w:line="256" w:lineRule="auto"/>
              <w:rPr>
                <w:rFonts w:eastAsia="Calibri" w:cs="Arial"/>
                <w:b/>
                <w:bCs/>
                <w:sz w:val="22"/>
                <w:szCs w:val="22"/>
                <w:lang w:eastAsia="en-US"/>
              </w:rPr>
            </w:pPr>
            <w:r>
              <w:rPr>
                <w:rFonts w:eastAsia="Calibri" w:cs="Arial"/>
                <w:b/>
                <w:bCs/>
                <w:sz w:val="22"/>
                <w:szCs w:val="22"/>
                <w:lang w:eastAsia="en-US"/>
              </w:rPr>
              <w:t>Celkem</w:t>
            </w:r>
          </w:p>
        </w:tc>
        <w:tc>
          <w:tcPr>
            <w:tcW w:w="1560" w:type="dxa"/>
            <w:tcBorders>
              <w:top w:val="single" w:sz="6" w:space="0" w:color="auto"/>
              <w:left w:val="single" w:sz="6" w:space="0" w:color="auto"/>
              <w:bottom w:val="single" w:sz="12" w:space="0" w:color="auto"/>
              <w:right w:val="single" w:sz="6" w:space="0" w:color="auto"/>
            </w:tcBorders>
            <w:shd w:val="pct10" w:color="auto" w:fill="auto"/>
            <w:vAlign w:val="center"/>
            <w:hideMark/>
          </w:tcPr>
          <w:p w:rsidR="0074584A" w:rsidRDefault="0074584A">
            <w:pPr>
              <w:spacing w:after="0" w:line="256" w:lineRule="auto"/>
              <w:jc w:val="right"/>
              <w:rPr>
                <w:rFonts w:eastAsia="Calibri" w:cs="Arial"/>
                <w:b/>
                <w:sz w:val="22"/>
                <w:szCs w:val="22"/>
                <w:lang w:eastAsia="en-US"/>
              </w:rPr>
            </w:pPr>
            <w:r>
              <w:rPr>
                <w:rFonts w:eastAsia="Calibri" w:cs="Arial"/>
                <w:b/>
                <w:sz w:val="22"/>
                <w:szCs w:val="22"/>
                <w:lang w:eastAsia="en-US"/>
              </w:rPr>
              <w:t>223 125,00</w:t>
            </w:r>
          </w:p>
        </w:tc>
        <w:tc>
          <w:tcPr>
            <w:tcW w:w="1417" w:type="dxa"/>
            <w:tcBorders>
              <w:top w:val="single" w:sz="6" w:space="0" w:color="auto"/>
              <w:left w:val="single" w:sz="6" w:space="0" w:color="auto"/>
              <w:bottom w:val="single" w:sz="12" w:space="0" w:color="auto"/>
              <w:right w:val="single" w:sz="6" w:space="0" w:color="auto"/>
            </w:tcBorders>
            <w:shd w:val="pct10" w:color="auto" w:fill="auto"/>
            <w:vAlign w:val="center"/>
            <w:hideMark/>
          </w:tcPr>
          <w:p w:rsidR="0074584A" w:rsidRDefault="0074584A">
            <w:pPr>
              <w:spacing w:after="0" w:line="256" w:lineRule="auto"/>
              <w:jc w:val="right"/>
              <w:rPr>
                <w:rFonts w:eastAsia="Calibri" w:cs="Arial"/>
                <w:b/>
                <w:sz w:val="22"/>
                <w:szCs w:val="22"/>
                <w:lang w:eastAsia="en-US"/>
              </w:rPr>
            </w:pPr>
            <w:r>
              <w:rPr>
                <w:rFonts w:eastAsia="Calibri" w:cs="Arial"/>
                <w:b/>
                <w:sz w:val="22"/>
                <w:szCs w:val="22"/>
                <w:lang w:eastAsia="en-US"/>
              </w:rPr>
              <w:t>46 856,30</w:t>
            </w:r>
          </w:p>
        </w:tc>
        <w:tc>
          <w:tcPr>
            <w:tcW w:w="1559" w:type="dxa"/>
            <w:tcBorders>
              <w:top w:val="single" w:sz="6" w:space="0" w:color="auto"/>
              <w:left w:val="single" w:sz="6" w:space="0" w:color="auto"/>
              <w:bottom w:val="single" w:sz="12" w:space="0" w:color="auto"/>
              <w:right w:val="single" w:sz="12" w:space="0" w:color="auto"/>
            </w:tcBorders>
            <w:shd w:val="pct10" w:color="auto" w:fill="auto"/>
            <w:vAlign w:val="center"/>
            <w:hideMark/>
          </w:tcPr>
          <w:p w:rsidR="0074584A" w:rsidRDefault="0074584A">
            <w:pPr>
              <w:spacing w:after="0" w:line="256" w:lineRule="auto"/>
              <w:jc w:val="right"/>
              <w:rPr>
                <w:rFonts w:eastAsia="Calibri" w:cs="Arial"/>
                <w:b/>
                <w:sz w:val="22"/>
                <w:szCs w:val="22"/>
                <w:lang w:eastAsia="en-US"/>
              </w:rPr>
            </w:pPr>
            <w:r>
              <w:rPr>
                <w:rFonts w:eastAsia="Calibri" w:cs="Arial"/>
                <w:b/>
                <w:sz w:val="22"/>
                <w:szCs w:val="22"/>
                <w:lang w:eastAsia="en-US"/>
              </w:rPr>
              <w:t>269 981,30</w:t>
            </w:r>
          </w:p>
        </w:tc>
      </w:tr>
    </w:tbl>
    <w:p w:rsidR="0074584A" w:rsidRDefault="0074584A" w:rsidP="0074584A">
      <w:pPr>
        <w:pStyle w:val="Zkladntext"/>
        <w:ind w:right="33"/>
        <w:jc w:val="both"/>
        <w:rPr>
          <w:b/>
        </w:rPr>
      </w:pPr>
    </w:p>
    <w:p w:rsidR="0074584A" w:rsidRDefault="0074584A" w:rsidP="0074584A">
      <w:pPr>
        <w:pStyle w:val="Zkladntext"/>
        <w:numPr>
          <w:ilvl w:val="0"/>
          <w:numId w:val="7"/>
        </w:numPr>
        <w:ind w:right="33"/>
        <w:jc w:val="both"/>
      </w:pPr>
      <w:r>
        <w:t>Ceny za jednotlivá dílčí plnění dle odst. 1. tohoto článku budou zhotovitelem vyúčtovány objednateli na základě dílčích předávacích protokolů podepsaných oběma smluvními stranami.</w:t>
      </w:r>
    </w:p>
    <w:p w:rsidR="0074584A" w:rsidRDefault="0074584A" w:rsidP="0074584A">
      <w:pPr>
        <w:pStyle w:val="Zkladntext"/>
        <w:numPr>
          <w:ilvl w:val="0"/>
          <w:numId w:val="7"/>
        </w:numPr>
        <w:ind w:right="33"/>
        <w:jc w:val="both"/>
      </w:pPr>
      <w:r>
        <w:t>Uvedené ceny jsou dohodnuty jako ceny nejvýše přípustné.</w:t>
      </w:r>
    </w:p>
    <w:p w:rsidR="0074584A" w:rsidRDefault="0074584A" w:rsidP="0074584A">
      <w:pPr>
        <w:pStyle w:val="Zkladntext"/>
        <w:numPr>
          <w:ilvl w:val="0"/>
          <w:numId w:val="7"/>
        </w:numPr>
        <w:ind w:right="33"/>
        <w:jc w:val="both"/>
      </w:pPr>
      <w:r>
        <w:t>Smluvní strany nesjednaly žádné zálohové platby.</w:t>
      </w:r>
    </w:p>
    <w:p w:rsidR="0074584A" w:rsidRDefault="0074584A" w:rsidP="0074584A">
      <w:pPr>
        <w:pStyle w:val="Zkladntext"/>
        <w:numPr>
          <w:ilvl w:val="0"/>
          <w:numId w:val="7"/>
        </w:numPr>
        <w:ind w:right="33"/>
        <w:jc w:val="both"/>
      </w:pPr>
      <w:r>
        <w:t>Objednatel je povinen zaplatit zhotoviteli cenu díla (dílčí cenu díla) po doručení daňových dokladů – faktur.</w:t>
      </w:r>
    </w:p>
    <w:p w:rsidR="0074584A" w:rsidRDefault="0074584A" w:rsidP="0074584A">
      <w:pPr>
        <w:pStyle w:val="Zkladntext"/>
        <w:numPr>
          <w:ilvl w:val="0"/>
          <w:numId w:val="7"/>
        </w:numPr>
        <w:ind w:right="33"/>
        <w:jc w:val="both"/>
      </w:pPr>
      <w:bookmarkStart w:id="5" w:name="_Ref126035220"/>
      <w:r>
        <w:t>Smluvní strany se dohodly, že pokud dojde v průběhu plnění předmětu této smlouvy ke změně zákonné sazby DPH stanovené pro příslušné plnění vyplývající z této smlouvy, bude tato sazba promítnuta do všech cen uvedených v této smlouvě s DPH a zhotovitel je od okamžiku nabytí účinnosti změny zákonné sazby DPH povinen účtovat platnou sazbu DPH. O této skutečnosti není nutné uzavírat dodatek k této smlouvě. V rámci platných finančních předpisů je ke dni podpisu a účinnosti této smlouvy uváděna současně platná sazba DPH ve výši 21%.</w:t>
      </w:r>
      <w:bookmarkEnd w:id="5"/>
    </w:p>
    <w:p w:rsidR="0074584A" w:rsidRDefault="0074584A" w:rsidP="0074584A">
      <w:pPr>
        <w:pStyle w:val="Zkladntext"/>
        <w:numPr>
          <w:ilvl w:val="0"/>
          <w:numId w:val="7"/>
        </w:numPr>
        <w:ind w:right="33"/>
        <w:jc w:val="both"/>
      </w:pPr>
      <w:r>
        <w:t xml:space="preserve">Úhrada za plnění bude prováděna v české měně, případně v jiné měně platné v budoucnu na území ČR. Cena je splatná na základě daňových dokladů (faktur) vystavených zhotovitelem v souladu s cenovým ujednáním. Splatnost faktur je 14 kalendářních dní od řádného doručení faktury objednateli. </w:t>
      </w:r>
    </w:p>
    <w:p w:rsidR="0074584A" w:rsidRDefault="0074584A" w:rsidP="0074584A">
      <w:pPr>
        <w:pStyle w:val="Zkladntext"/>
        <w:numPr>
          <w:ilvl w:val="0"/>
          <w:numId w:val="7"/>
        </w:numPr>
        <w:ind w:right="33"/>
        <w:jc w:val="both"/>
      </w:pPr>
      <w:r>
        <w:t xml:space="preserve">Veškeré daňové doklady musejí obsahovat náležitosti daňového dokladu dle zákona </w:t>
      </w:r>
      <w:r>
        <w:lastRenderedPageBreak/>
        <w:t>č. 235/2004 Sb., o dani z přidané hodnoty, v platném znění. Dále musí obsahovat: označení faktury a její číslo, obchodní jméno a sídlo objednatele a zhotovitele, jejich IČ, údaj o zápisu v OR, předmět plnění, číslo smlouvy a den akceptace plnění zhotovitele, cenu bez DPH, DPH a cenu s DPH, termíny vystavení a splatnosti. V případě, že daňové doklady nebudou mít odpovídající náležitosti, je objednatel oprávněn zaslat je do 10 dnů od jejich doručení zpět zhotoviteli, aniž se tak dostane do prodlení se splatností; lhůta splatnosti počíná běžet znovu od opětovného doručení náležitě doplněných či opravených dokladů objednateli.</w:t>
      </w:r>
    </w:p>
    <w:p w:rsidR="0074584A" w:rsidRDefault="0074584A" w:rsidP="0074584A">
      <w:pPr>
        <w:pStyle w:val="Zkladntext"/>
        <w:ind w:right="33"/>
        <w:jc w:val="both"/>
      </w:pPr>
    </w:p>
    <w:p w:rsidR="0074584A" w:rsidRDefault="0074584A" w:rsidP="0074584A">
      <w:pPr>
        <w:pStyle w:val="Zkladntext"/>
        <w:numPr>
          <w:ilvl w:val="0"/>
          <w:numId w:val="2"/>
        </w:numPr>
        <w:spacing w:after="120"/>
        <w:ind w:left="284" w:right="0" w:hanging="284"/>
        <w:jc w:val="center"/>
        <w:rPr>
          <w:b/>
          <w:sz w:val="28"/>
          <w:szCs w:val="20"/>
        </w:rPr>
      </w:pPr>
      <w:r>
        <w:rPr>
          <w:b/>
          <w:sz w:val="28"/>
        </w:rPr>
        <w:t>Součinnost a vzájemná spolupráce</w:t>
      </w:r>
    </w:p>
    <w:p w:rsidR="0074584A" w:rsidRDefault="0074584A" w:rsidP="0074584A">
      <w:pPr>
        <w:pStyle w:val="Zkladntext"/>
        <w:numPr>
          <w:ilvl w:val="0"/>
          <w:numId w:val="8"/>
        </w:numPr>
        <w:ind w:right="33"/>
        <w:jc w:val="both"/>
      </w:pPr>
      <w:bookmarkStart w:id="6" w:name="_Ref106784225"/>
      <w:r>
        <w:t>Objednatel i zhotovitel se zavazují poskytovat druhé smluvní straně při provádění díla nutnou součinnost.</w:t>
      </w:r>
    </w:p>
    <w:p w:rsidR="0074584A" w:rsidRDefault="0074584A" w:rsidP="0074584A">
      <w:pPr>
        <w:pStyle w:val="Zkladntext"/>
        <w:numPr>
          <w:ilvl w:val="0"/>
          <w:numId w:val="8"/>
        </w:numPr>
        <w:ind w:right="33"/>
        <w:jc w:val="both"/>
      </w:pPr>
      <w:r>
        <w:t>Objednatel se zavazuje zajistit po dohodě se zhotovitelem k zajištění plnění této smlouvy na pracovišti objednatele vhodné podmínky, zejména:</w:t>
      </w:r>
    </w:p>
    <w:p w:rsidR="0074584A" w:rsidRDefault="0074584A" w:rsidP="0074584A">
      <w:pPr>
        <w:pStyle w:val="Zkladntext"/>
        <w:numPr>
          <w:ilvl w:val="0"/>
          <w:numId w:val="9"/>
        </w:numPr>
        <w:tabs>
          <w:tab w:val="clear" w:pos="426"/>
          <w:tab w:val="left" w:pos="708"/>
        </w:tabs>
        <w:spacing w:before="120"/>
        <w:ind w:right="0"/>
        <w:jc w:val="both"/>
        <w:rPr>
          <w:szCs w:val="20"/>
        </w:rPr>
      </w:pPr>
      <w:r>
        <w:t>Zajistit zhotoviteli přístup do prostor potřebných pro plnění předmětu smlouvy, a to v pracovních dnech: 8 – 16 hod.</w:t>
      </w:r>
    </w:p>
    <w:p w:rsidR="0074584A" w:rsidRDefault="0074584A" w:rsidP="0074584A">
      <w:pPr>
        <w:pStyle w:val="Zkladntext"/>
        <w:numPr>
          <w:ilvl w:val="0"/>
          <w:numId w:val="9"/>
        </w:numPr>
        <w:tabs>
          <w:tab w:val="clear" w:pos="426"/>
          <w:tab w:val="left" w:pos="708"/>
        </w:tabs>
        <w:ind w:right="0"/>
        <w:jc w:val="both"/>
      </w:pPr>
      <w:r>
        <w:t>Poskytnout veškeré informace nezbytně nutné pro zhotovení díla, zajistit přístup k podkladům potřebným pro řešení úkolu včetně přístupu k dokumentaci návazných projektů, které prokazatelně budou nezbytné pro zhotovení díla a které má objednatel k dispozici, a to v požadovaných termínech.</w:t>
      </w:r>
    </w:p>
    <w:p w:rsidR="0074584A" w:rsidRDefault="0074584A" w:rsidP="0074584A">
      <w:pPr>
        <w:pStyle w:val="Zkladntext"/>
        <w:numPr>
          <w:ilvl w:val="0"/>
          <w:numId w:val="9"/>
        </w:numPr>
        <w:tabs>
          <w:tab w:val="clear" w:pos="426"/>
          <w:tab w:val="left" w:pos="708"/>
        </w:tabs>
        <w:ind w:right="0"/>
        <w:jc w:val="both"/>
      </w:pPr>
      <w:r>
        <w:t>Předložit k nahlédnutí normy, vnitřní předpisy a směrnice objednatele, které je třeba při provádění díla dodržovat.</w:t>
      </w:r>
    </w:p>
    <w:p w:rsidR="0074584A" w:rsidRDefault="0074584A" w:rsidP="0074584A">
      <w:pPr>
        <w:pStyle w:val="Zkladntext"/>
        <w:numPr>
          <w:ilvl w:val="0"/>
          <w:numId w:val="8"/>
        </w:numPr>
        <w:ind w:right="33"/>
        <w:jc w:val="both"/>
      </w:pPr>
      <w:r>
        <w:t>Zhotovitel je povinen postupovat při plnění předmětu této smlouvy s odbornou pečlivostí a starostlivostí. Zavazuje se dodržovat všeobecně závazné zákonné předpisy, technické normy a podmínky této smlouvy.</w:t>
      </w:r>
    </w:p>
    <w:p w:rsidR="0074584A" w:rsidRDefault="0074584A" w:rsidP="0074584A">
      <w:pPr>
        <w:pStyle w:val="Zkladntext"/>
        <w:numPr>
          <w:ilvl w:val="0"/>
          <w:numId w:val="2"/>
        </w:numPr>
        <w:spacing w:before="120" w:after="120"/>
        <w:ind w:left="284" w:right="0" w:hanging="284"/>
        <w:jc w:val="center"/>
        <w:rPr>
          <w:b/>
          <w:sz w:val="28"/>
          <w:szCs w:val="20"/>
        </w:rPr>
      </w:pPr>
      <w:bookmarkStart w:id="7" w:name="_Ref125773241"/>
      <w:bookmarkEnd w:id="6"/>
      <w:r>
        <w:rPr>
          <w:b/>
          <w:sz w:val="28"/>
        </w:rPr>
        <w:t>Záruka</w:t>
      </w:r>
      <w:bookmarkEnd w:id="7"/>
    </w:p>
    <w:p w:rsidR="0074584A" w:rsidRDefault="0074584A" w:rsidP="0074584A">
      <w:pPr>
        <w:pStyle w:val="Zkladntext"/>
        <w:numPr>
          <w:ilvl w:val="0"/>
          <w:numId w:val="10"/>
        </w:numPr>
        <w:ind w:right="33"/>
        <w:jc w:val="both"/>
      </w:pPr>
      <w:r>
        <w:t>Zhotovitel prohlašuje, že předané dílo bude celou dobu užívání způsobilé pro použití ke smluvenému, jinak obvyklému účelu nebo že si zachová smluvené, jinak obvyklé vlastnosti.</w:t>
      </w:r>
    </w:p>
    <w:p w:rsidR="0074584A" w:rsidRDefault="0074584A" w:rsidP="0074584A">
      <w:pPr>
        <w:pStyle w:val="Zkladntext"/>
        <w:widowControl/>
        <w:numPr>
          <w:ilvl w:val="0"/>
          <w:numId w:val="10"/>
        </w:numPr>
        <w:ind w:left="357" w:right="0" w:hanging="357"/>
        <w:jc w:val="both"/>
        <w:rPr>
          <w:szCs w:val="20"/>
        </w:rPr>
      </w:pPr>
      <w:r>
        <w:t>Zhotovitel poskytuje objednateli záruku na předmět plnění v délce 24 měsíců. Záruční lhůta začíná běžet dnem podpisu předávacích protokolů.</w:t>
      </w:r>
    </w:p>
    <w:p w:rsidR="0074584A" w:rsidRDefault="0074584A" w:rsidP="0074584A">
      <w:pPr>
        <w:pStyle w:val="Zkladntext"/>
        <w:widowControl/>
        <w:numPr>
          <w:ilvl w:val="0"/>
          <w:numId w:val="10"/>
        </w:numPr>
        <w:ind w:right="-1"/>
        <w:jc w:val="both"/>
      </w:pPr>
      <w:r>
        <w:t>Objednatel je oprávněn reklamovat vady plnění po dobu trvání záruční lhůty. Reklamace musí být řádně doloženy a musí mít vždy písemnou formu.</w:t>
      </w:r>
    </w:p>
    <w:p w:rsidR="0074584A" w:rsidRDefault="0074584A" w:rsidP="0074584A">
      <w:pPr>
        <w:numPr>
          <w:ilvl w:val="0"/>
          <w:numId w:val="10"/>
        </w:numPr>
        <w:spacing w:after="0"/>
        <w:ind w:right="-1"/>
        <w:jc w:val="both"/>
        <w:rPr>
          <w:rFonts w:cs="Arial"/>
          <w:sz w:val="22"/>
        </w:rPr>
      </w:pPr>
      <w:r>
        <w:rPr>
          <w:rFonts w:cs="Arial"/>
          <w:sz w:val="22"/>
        </w:rPr>
        <w:t>V době sjednané záruční lhůty budou oprávněně reklamované vady předmětu plnění odstraněny na náklady zhotovitele.</w:t>
      </w:r>
    </w:p>
    <w:p w:rsidR="0074584A" w:rsidRDefault="0074584A" w:rsidP="0074584A">
      <w:pPr>
        <w:pStyle w:val="Zkladntext"/>
        <w:numPr>
          <w:ilvl w:val="0"/>
          <w:numId w:val="2"/>
        </w:numPr>
        <w:spacing w:before="240" w:after="120"/>
        <w:ind w:left="284" w:right="0" w:hanging="284"/>
        <w:jc w:val="center"/>
        <w:rPr>
          <w:b/>
          <w:sz w:val="28"/>
        </w:rPr>
      </w:pPr>
      <w:r>
        <w:rPr>
          <w:b/>
          <w:sz w:val="28"/>
        </w:rPr>
        <w:t>Ochrana informací, mlčenlivost</w:t>
      </w:r>
    </w:p>
    <w:p w:rsidR="0074584A" w:rsidRDefault="0074584A" w:rsidP="0074584A">
      <w:pPr>
        <w:pStyle w:val="Zkladntext"/>
        <w:numPr>
          <w:ilvl w:val="0"/>
          <w:numId w:val="11"/>
        </w:numPr>
        <w:ind w:right="33"/>
        <w:jc w:val="both"/>
      </w:pPr>
      <w:bookmarkStart w:id="8" w:name="_Ref208725747"/>
      <w:r>
        <w:t xml:space="preserve">Za důvěrné se považují zejména všechny informace, které jsou a nebo by mohly být součástí obchodního tajemství, tj. například ale nejenom popisy nebo části popisů technologických procesů a vzorců, technických vzorců a technického </w:t>
      </w:r>
      <w:proofErr w:type="spellStart"/>
      <w:r>
        <w:t>know</w:t>
      </w:r>
      <w:proofErr w:type="spellEnd"/>
      <w:r>
        <w:t>-</w:t>
      </w:r>
      <w:proofErr w:type="spellStart"/>
      <w:r>
        <w:t>how</w:t>
      </w:r>
      <w:proofErr w:type="spellEnd"/>
      <w:r>
        <w:t>,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by mohlo způsobit škodu či být na újmu.</w:t>
      </w:r>
    </w:p>
    <w:p w:rsidR="0074584A" w:rsidRDefault="0074584A" w:rsidP="0074584A">
      <w:pPr>
        <w:pStyle w:val="Zkladntext"/>
        <w:numPr>
          <w:ilvl w:val="0"/>
          <w:numId w:val="11"/>
        </w:numPr>
        <w:ind w:right="33"/>
        <w:jc w:val="both"/>
      </w:pPr>
      <w:r>
        <w:t>Smluvní strany jsou povinny zajistit, aby jejich zaměstnanci či jiné osoby, které pro ně vykonávají činnost, zachovají mlčenlivost o všech informacích, s nimiž přijdou do styku v rámci plnění dle této smlouvy, nebo které byly některou smluvní stranou označeny za důvěrné (vše dále jen důvěrné informace)</w:t>
      </w:r>
      <w:bookmarkStart w:id="9" w:name="_Ref208725778"/>
      <w:bookmarkEnd w:id="8"/>
      <w:r>
        <w:t>.</w:t>
      </w:r>
    </w:p>
    <w:p w:rsidR="0074584A" w:rsidRDefault="0074584A" w:rsidP="0074584A">
      <w:pPr>
        <w:pStyle w:val="Zkladntext"/>
        <w:numPr>
          <w:ilvl w:val="0"/>
          <w:numId w:val="11"/>
        </w:numPr>
        <w:ind w:right="33"/>
        <w:jc w:val="both"/>
      </w:pPr>
      <w:r>
        <w:t>Důvěrné informace mohou být smluvními stranami použity výhradně k plnění této smlouvy.</w:t>
      </w:r>
    </w:p>
    <w:p w:rsidR="0074584A" w:rsidRDefault="0074584A" w:rsidP="0074584A">
      <w:pPr>
        <w:pStyle w:val="Zkladntext"/>
        <w:ind w:right="-1"/>
        <w:jc w:val="both"/>
        <w:rPr>
          <w:szCs w:val="20"/>
        </w:rPr>
      </w:pPr>
    </w:p>
    <w:p w:rsidR="0074584A" w:rsidRDefault="0074584A" w:rsidP="0074584A">
      <w:pPr>
        <w:pStyle w:val="Zkladntext"/>
        <w:numPr>
          <w:ilvl w:val="0"/>
          <w:numId w:val="11"/>
        </w:numPr>
        <w:ind w:right="-1"/>
        <w:jc w:val="both"/>
      </w:pPr>
      <w:r>
        <w:lastRenderedPageBreak/>
        <w:t>Obě smluvní strany se zavazují nezveřejňovat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w:t>
      </w:r>
    </w:p>
    <w:p w:rsidR="0074584A" w:rsidRDefault="0074584A" w:rsidP="0074584A">
      <w:pPr>
        <w:pStyle w:val="Zkladntext"/>
        <w:numPr>
          <w:ilvl w:val="0"/>
          <w:numId w:val="11"/>
        </w:numPr>
        <w:ind w:right="33"/>
        <w:jc w:val="both"/>
      </w:pPr>
      <w:r>
        <w:t>Smluvní strany se zavazují učinit opatření k ochraně důvěrných informací.</w:t>
      </w:r>
      <w:bookmarkEnd w:id="9"/>
      <w:r>
        <w:t xml:space="preserve"> Smluvní strany nesdělí či nezpřístupní žádnou z důvěrných informací třetím osobám, nevyužijí ji k vlastnímu prospěchu nebo jinak nezneužijí.</w:t>
      </w:r>
    </w:p>
    <w:p w:rsidR="0074584A" w:rsidRDefault="0074584A" w:rsidP="0074584A">
      <w:pPr>
        <w:pStyle w:val="Zkladntext"/>
        <w:numPr>
          <w:ilvl w:val="0"/>
          <w:numId w:val="11"/>
        </w:numPr>
        <w:ind w:right="33"/>
        <w:jc w:val="both"/>
      </w:pPr>
      <w:r>
        <w:t>Důvěrnými informacemi nejsou informace, které se staly obecně známými za předpokladu, že se tak nestalo porušením některé povinnosti vyplývající z této smlouvy, nebo o kterých tak stanoví zákon. Zpřístupnění informací je možné vždy jen v nezbytném rozsahu.</w:t>
      </w:r>
    </w:p>
    <w:p w:rsidR="0074584A" w:rsidRDefault="0074584A" w:rsidP="0074584A">
      <w:pPr>
        <w:pStyle w:val="Zkladntext"/>
        <w:numPr>
          <w:ilvl w:val="0"/>
          <w:numId w:val="11"/>
        </w:numPr>
        <w:ind w:right="33"/>
        <w:jc w:val="both"/>
      </w:pPr>
      <w:r>
        <w:t>Smluvní strany jsou povinny zajistit, že nebudou neoprávněně pořizovány kopie důvěrných informací, a nebudou zjišťovány informace, které nejsou nezbytně nutné ke splnění povinností vyplývajících z této smlouvy.</w:t>
      </w:r>
    </w:p>
    <w:p w:rsidR="0074584A" w:rsidRDefault="0074584A" w:rsidP="0074584A">
      <w:pPr>
        <w:pStyle w:val="Zkladntext"/>
        <w:numPr>
          <w:ilvl w:val="0"/>
          <w:numId w:val="11"/>
        </w:numPr>
        <w:ind w:right="33"/>
        <w:jc w:val="both"/>
      </w:pPr>
      <w:r>
        <w:t>Smluvní strany se zavazují chránit osobní údaje. Pokud se smluvní strany v rámci plnění dle této smlouvy dostanou do kontaktu s osobními údaji, jsou povinny je ochraňovat a nakládat s nimi plně v souladu s příslušnými právními předpisy, a to i po ukončení této smlouvy.</w:t>
      </w:r>
    </w:p>
    <w:p w:rsidR="0074584A" w:rsidRDefault="0074584A" w:rsidP="0074584A">
      <w:pPr>
        <w:pStyle w:val="Zkladntext"/>
        <w:numPr>
          <w:ilvl w:val="0"/>
          <w:numId w:val="11"/>
        </w:numPr>
        <w:ind w:right="33"/>
        <w:jc w:val="both"/>
      </w:pPr>
      <w: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rsidR="0074584A" w:rsidRDefault="0074584A" w:rsidP="0074584A">
      <w:pPr>
        <w:pStyle w:val="Zkladntext"/>
        <w:numPr>
          <w:ilvl w:val="0"/>
          <w:numId w:val="11"/>
        </w:numPr>
        <w:ind w:right="33"/>
        <w:jc w:val="both"/>
      </w:pPr>
      <w:r>
        <w:t>Smluvní partneři souhlasí s poskytováním základních informací podle zákona č. 106/1999 Sb., pokud tyto nepodléhají průmyslovému tajemství a skutečnostem vyplývající z ochrany osobních údajů vyplývající ze zákona č. 101/2000 Sb.</w:t>
      </w:r>
    </w:p>
    <w:p w:rsidR="0074584A" w:rsidRDefault="0074584A" w:rsidP="0074584A">
      <w:pPr>
        <w:pStyle w:val="Zkladntext"/>
        <w:numPr>
          <w:ilvl w:val="0"/>
          <w:numId w:val="11"/>
        </w:numPr>
        <w:ind w:right="33"/>
        <w:jc w:val="both"/>
      </w:pPr>
      <w:r>
        <w:t>Ustanovení tohoto článku není dotčeno ukončením platnosti a účinnosti této smlouvy.</w:t>
      </w:r>
    </w:p>
    <w:p w:rsidR="0074584A" w:rsidRDefault="0074584A" w:rsidP="0074584A">
      <w:pPr>
        <w:pStyle w:val="Zkladntext"/>
        <w:numPr>
          <w:ilvl w:val="0"/>
          <w:numId w:val="2"/>
        </w:numPr>
        <w:spacing w:before="240" w:after="120"/>
        <w:ind w:left="284" w:right="0" w:hanging="284"/>
        <w:jc w:val="center"/>
        <w:rPr>
          <w:b/>
          <w:sz w:val="28"/>
          <w:szCs w:val="20"/>
        </w:rPr>
      </w:pPr>
      <w:r>
        <w:rPr>
          <w:b/>
          <w:sz w:val="28"/>
        </w:rPr>
        <w:t>Odpovědnost za škodu</w:t>
      </w:r>
    </w:p>
    <w:p w:rsidR="0074584A" w:rsidRDefault="0074584A" w:rsidP="0074584A">
      <w:pPr>
        <w:pStyle w:val="Zkladntext"/>
        <w:numPr>
          <w:ilvl w:val="0"/>
          <w:numId w:val="12"/>
        </w:numPr>
        <w:spacing w:line="276" w:lineRule="auto"/>
        <w:ind w:right="33"/>
        <w:jc w:val="both"/>
      </w:pPr>
      <w:r>
        <w:t>Zhotovitel a objednatel odpovídají za škodu, vzniklou druhé straně porušením povinností stanovených smlouvou či obecně závaznými právními předpisy.</w:t>
      </w:r>
    </w:p>
    <w:p w:rsidR="0074584A" w:rsidRDefault="0074584A" w:rsidP="0074584A">
      <w:pPr>
        <w:pStyle w:val="Zkladntext"/>
        <w:numPr>
          <w:ilvl w:val="0"/>
          <w:numId w:val="12"/>
        </w:numPr>
        <w:ind w:right="33"/>
        <w:jc w:val="both"/>
      </w:pPr>
      <w:r>
        <w:t>Zhotovitel neodpovídá za škody, které byly způsobeny nesprávným užitím nebo nedbalostí objednatele.</w:t>
      </w:r>
    </w:p>
    <w:p w:rsidR="0074584A" w:rsidRDefault="0074584A" w:rsidP="0074584A">
      <w:pPr>
        <w:pStyle w:val="Zkladntext"/>
        <w:numPr>
          <w:ilvl w:val="0"/>
          <w:numId w:val="12"/>
        </w:numPr>
        <w:ind w:right="33"/>
        <w:jc w:val="both"/>
      </w:pPr>
      <w:r>
        <w:t>Zhotovitel se zavazuje dodržovat po celou dobu plnění zakázky platné právní předpisy a provádět veškerá plnění veřejné zakázky v souladu s platným právním řádem.</w:t>
      </w:r>
    </w:p>
    <w:p w:rsidR="0074584A" w:rsidRDefault="0074584A" w:rsidP="0074584A">
      <w:pPr>
        <w:pStyle w:val="Zkladntext"/>
        <w:numPr>
          <w:ilvl w:val="0"/>
          <w:numId w:val="2"/>
        </w:numPr>
        <w:spacing w:before="240" w:after="120"/>
        <w:ind w:left="284" w:right="0" w:hanging="284"/>
        <w:jc w:val="center"/>
        <w:rPr>
          <w:b/>
          <w:sz w:val="28"/>
          <w:szCs w:val="20"/>
        </w:rPr>
      </w:pPr>
      <w:bookmarkStart w:id="10" w:name="_Ref125957267"/>
      <w:r>
        <w:rPr>
          <w:b/>
          <w:sz w:val="28"/>
        </w:rPr>
        <w:t>Smluvní sankce</w:t>
      </w:r>
      <w:bookmarkEnd w:id="10"/>
    </w:p>
    <w:p w:rsidR="0074584A" w:rsidRDefault="0074584A" w:rsidP="0074584A">
      <w:pPr>
        <w:pStyle w:val="Zkladntext"/>
        <w:widowControl/>
        <w:numPr>
          <w:ilvl w:val="0"/>
          <w:numId w:val="13"/>
        </w:numPr>
        <w:ind w:right="-1"/>
        <w:jc w:val="both"/>
      </w:pPr>
      <w:r>
        <w:t xml:space="preserve">Smluvní strany se dohodly, že smluvní pokuta za každý den prodlení s předáním díla zhotovitelem se stanoví na 0,05% z ceny prodlévaného plnění za každý i započatý kalendářní den prodlení. </w:t>
      </w:r>
    </w:p>
    <w:p w:rsidR="0074584A" w:rsidRDefault="0074584A" w:rsidP="0074584A">
      <w:pPr>
        <w:pStyle w:val="Zkladntext"/>
        <w:widowControl/>
        <w:numPr>
          <w:ilvl w:val="0"/>
          <w:numId w:val="13"/>
        </w:numPr>
        <w:ind w:right="-1"/>
        <w:jc w:val="both"/>
      </w:pPr>
      <w:r>
        <w:t xml:space="preserve">Smluvní strany se dohodly, že smluvní pokuta za nedodržení termínu splatnosti faktur objednatelem se stanoví na 0,05% z dlužné částky za každý i započatý kalendářní den prodlení. </w:t>
      </w:r>
    </w:p>
    <w:p w:rsidR="0074584A" w:rsidRDefault="0074584A" w:rsidP="0074584A">
      <w:pPr>
        <w:pStyle w:val="Zkladntext"/>
        <w:widowControl/>
        <w:numPr>
          <w:ilvl w:val="0"/>
          <w:numId w:val="13"/>
        </w:numPr>
        <w:ind w:right="-1"/>
        <w:jc w:val="both"/>
      </w:pPr>
      <w:r>
        <w:t>Smluvní strany se dohodly, že smluvní pokuta za nesplnění dohodnutého termínu pro odstranění reklamačních vad se stanoví na 0,05% z celkové ceny plnění za každý i započatý kalendářní den prodlení s odstraněním vad a nedodělků.</w:t>
      </w:r>
    </w:p>
    <w:p w:rsidR="0074584A" w:rsidRDefault="0074584A" w:rsidP="0074584A">
      <w:pPr>
        <w:pStyle w:val="Zkladntext"/>
        <w:numPr>
          <w:ilvl w:val="0"/>
          <w:numId w:val="2"/>
        </w:numPr>
        <w:spacing w:before="240" w:after="120"/>
        <w:ind w:left="284" w:right="0" w:hanging="284"/>
        <w:jc w:val="center"/>
        <w:rPr>
          <w:b/>
          <w:sz w:val="28"/>
        </w:rPr>
      </w:pPr>
      <w:r>
        <w:rPr>
          <w:b/>
          <w:sz w:val="28"/>
        </w:rPr>
        <w:t>Vyšší moc</w:t>
      </w:r>
    </w:p>
    <w:p w:rsidR="0074584A" w:rsidRDefault="0074584A" w:rsidP="0074584A">
      <w:pPr>
        <w:pStyle w:val="Zkladntext"/>
        <w:numPr>
          <w:ilvl w:val="0"/>
          <w:numId w:val="14"/>
        </w:numPr>
        <w:ind w:right="-1"/>
        <w:jc w:val="both"/>
      </w:pPr>
      <w:r>
        <w:t xml:space="preserve">Každé zdržení nebo selhání při provádění plnění dle této smlouvy kteroukoliv smluvní stranou nebude nesplněním závazku ani nebude důvodem k vyrovnání škod kteroukoliv smluvní stranou, jestliže takovéto zdržení nebo nesplnění je zaviněno výskytem událostí, která nemohla být rozumně předpokládána, které nemohlo být zabráněno a která brání řádnému plnění smluvních povinností. Touto událostí nejsou myšleny zpožděné dodávky </w:t>
      </w:r>
      <w:r>
        <w:lastRenderedPageBreak/>
        <w:t>obchodních partnerů smluvních stran.</w:t>
      </w:r>
    </w:p>
    <w:p w:rsidR="0074584A" w:rsidRDefault="0074584A" w:rsidP="0074584A">
      <w:pPr>
        <w:pStyle w:val="Zkladntext"/>
        <w:numPr>
          <w:ilvl w:val="0"/>
          <w:numId w:val="14"/>
        </w:numPr>
        <w:ind w:right="-1"/>
        <w:jc w:val="both"/>
      </w:pPr>
      <w:r>
        <w:t>Jestliže je zřejmé, že v důsledku událostí dle bodu 1. tohoto článku zhotovitel nebude schopen plnit závazky uvedené v této smlouvě ve smluveném termínu, pak o tom bezodkladně uvědomí objednatele. Smluvní strany se dohodnou na prodloužené době plnění odpovídající následkům vyšší moci.</w:t>
      </w:r>
    </w:p>
    <w:p w:rsidR="0074584A" w:rsidRDefault="0074584A" w:rsidP="0074584A">
      <w:pPr>
        <w:pStyle w:val="Zkladntext"/>
        <w:numPr>
          <w:ilvl w:val="0"/>
          <w:numId w:val="14"/>
        </w:numPr>
        <w:ind w:right="-1"/>
        <w:jc w:val="both"/>
      </w:pPr>
      <w:r>
        <w:t>Jestliže kterákoliv ze stran nemůže plnit své smluvní závazky po dobu třiceti po sobě jdoucích dnů nebo úhrnem po dobu dvou měsíců ve smluvní době z důvodů vyšší moci, projednají smluvní strany tento případ mezi sebou a rozhodnou o možných postupech.</w:t>
      </w:r>
    </w:p>
    <w:p w:rsidR="0074584A" w:rsidRDefault="0074584A" w:rsidP="0074584A">
      <w:pPr>
        <w:pStyle w:val="Zkladntext"/>
        <w:numPr>
          <w:ilvl w:val="0"/>
          <w:numId w:val="14"/>
        </w:numPr>
        <w:ind w:right="-1"/>
        <w:jc w:val="both"/>
      </w:pPr>
      <w:r>
        <w:t>Nastane-li případ vyšší moci, pak smluvní strana, která uplatňuje nároky z důvodu vyšší moci, předloží druhé smluvní straně důkazy prokazující její existenci a sdělí předpokládanou dobu trvání.</w:t>
      </w:r>
    </w:p>
    <w:p w:rsidR="0074584A" w:rsidRDefault="0074584A" w:rsidP="0074584A">
      <w:pPr>
        <w:pStyle w:val="Zkladntext"/>
        <w:numPr>
          <w:ilvl w:val="0"/>
          <w:numId w:val="14"/>
        </w:numPr>
        <w:ind w:right="-1"/>
        <w:jc w:val="both"/>
      </w:pPr>
      <w:r>
        <w:t>Právní úpravy jakýchkoliv vztahů existující v okamžiku podpisu této smlouvy, o kterých strany věděly nebo vědět mohly, nemohou být vykládány jako příčiny vyšší moci.</w:t>
      </w:r>
    </w:p>
    <w:p w:rsidR="0074584A" w:rsidRDefault="0074584A" w:rsidP="0074584A">
      <w:pPr>
        <w:pStyle w:val="Zkladntext"/>
        <w:numPr>
          <w:ilvl w:val="0"/>
          <w:numId w:val="2"/>
        </w:numPr>
        <w:spacing w:before="240" w:after="120"/>
        <w:ind w:left="284" w:right="0" w:hanging="284"/>
        <w:jc w:val="center"/>
        <w:rPr>
          <w:b/>
          <w:sz w:val="28"/>
        </w:rPr>
      </w:pPr>
      <w:r>
        <w:rPr>
          <w:b/>
          <w:sz w:val="28"/>
        </w:rPr>
        <w:t>Oprávněné osoby</w:t>
      </w:r>
    </w:p>
    <w:p w:rsidR="0074584A" w:rsidRDefault="0074584A" w:rsidP="0074584A">
      <w:pPr>
        <w:numPr>
          <w:ilvl w:val="0"/>
          <w:numId w:val="15"/>
        </w:numPr>
        <w:spacing w:after="0"/>
        <w:jc w:val="both"/>
        <w:rPr>
          <w:sz w:val="22"/>
        </w:rPr>
      </w:pPr>
      <w:r>
        <w:rPr>
          <w:sz w:val="22"/>
        </w:rPr>
        <w:t>Pracovníci objednatele pověření pro věcná jednání ve věcech organizačně-technických včetně podpisu předávacích protokolů:</w:t>
      </w:r>
    </w:p>
    <w:p w:rsidR="0074584A" w:rsidRDefault="0074584A" w:rsidP="0074584A">
      <w:pPr>
        <w:spacing w:before="240" w:after="0"/>
        <w:ind w:left="360"/>
        <w:jc w:val="both"/>
        <w:rPr>
          <w:sz w:val="22"/>
          <w:szCs w:val="22"/>
        </w:rPr>
      </w:pPr>
      <w:proofErr w:type="spellStart"/>
      <w:proofErr w:type="gramStart"/>
      <w:r>
        <w:rPr>
          <w:sz w:val="22"/>
          <w:szCs w:val="22"/>
        </w:rPr>
        <w:t>Ing.Vladislav</w:t>
      </w:r>
      <w:proofErr w:type="spellEnd"/>
      <w:proofErr w:type="gramEnd"/>
      <w:r>
        <w:rPr>
          <w:sz w:val="22"/>
          <w:szCs w:val="22"/>
        </w:rPr>
        <w:t xml:space="preserve"> Branda, tel. 466741203, email: branda@mestoholice.cz</w:t>
      </w:r>
    </w:p>
    <w:p w:rsidR="0074584A" w:rsidRDefault="0074584A" w:rsidP="0074584A">
      <w:pPr>
        <w:spacing w:after="0"/>
        <w:ind w:left="360"/>
        <w:jc w:val="both"/>
        <w:rPr>
          <w:sz w:val="22"/>
          <w:szCs w:val="22"/>
          <w:highlight w:val="yellow"/>
        </w:rPr>
      </w:pPr>
    </w:p>
    <w:p w:rsidR="0074584A" w:rsidRDefault="0074584A" w:rsidP="0074584A">
      <w:pPr>
        <w:numPr>
          <w:ilvl w:val="0"/>
          <w:numId w:val="15"/>
        </w:numPr>
        <w:spacing w:after="0"/>
        <w:jc w:val="both"/>
        <w:rPr>
          <w:sz w:val="22"/>
        </w:rPr>
      </w:pPr>
      <w:r>
        <w:rPr>
          <w:sz w:val="22"/>
        </w:rPr>
        <w:t>Pracovníci zhotovitele pověření pro věcná jednání ve věcech organizačně-technických včetně příjmu objednávek a podpisu předávacích protokolů:</w:t>
      </w:r>
    </w:p>
    <w:p w:rsidR="0074584A" w:rsidRDefault="0074584A" w:rsidP="0074584A">
      <w:pPr>
        <w:pStyle w:val="Seznam"/>
        <w:tabs>
          <w:tab w:val="left" w:pos="5670"/>
        </w:tabs>
        <w:spacing w:before="240"/>
        <w:ind w:firstLine="143"/>
        <w:rPr>
          <w:rFonts w:cs="Arial"/>
          <w:sz w:val="22"/>
          <w:szCs w:val="22"/>
        </w:rPr>
      </w:pPr>
      <w:r>
        <w:rPr>
          <w:rFonts w:cs="Arial"/>
          <w:sz w:val="22"/>
          <w:szCs w:val="22"/>
        </w:rPr>
        <w:t xml:space="preserve">Ing. Tomáš </w:t>
      </w:r>
      <w:proofErr w:type="spellStart"/>
      <w:proofErr w:type="gramStart"/>
      <w:r>
        <w:rPr>
          <w:rFonts w:cs="Arial"/>
          <w:sz w:val="22"/>
          <w:szCs w:val="22"/>
        </w:rPr>
        <w:t>Weinzettl</w:t>
      </w:r>
      <w:proofErr w:type="spellEnd"/>
      <w:r>
        <w:rPr>
          <w:rFonts w:cs="Arial"/>
          <w:sz w:val="22"/>
          <w:szCs w:val="22"/>
        </w:rPr>
        <w:t>,tel.</w:t>
      </w:r>
      <w:proofErr w:type="gramEnd"/>
      <w:r>
        <w:rPr>
          <w:rFonts w:cs="Arial"/>
          <w:sz w:val="22"/>
          <w:szCs w:val="22"/>
        </w:rPr>
        <w:t xml:space="preserve">: 466 024 621, email: </w:t>
      </w:r>
      <w:hyperlink r:id="rId6" w:history="1">
        <w:r>
          <w:rPr>
            <w:rStyle w:val="Hypertextovodkaz"/>
            <w:rFonts w:cs="Arial"/>
            <w:sz w:val="22"/>
            <w:szCs w:val="22"/>
          </w:rPr>
          <w:t>tomas.weinzettl@geovap.cz</w:t>
        </w:r>
      </w:hyperlink>
    </w:p>
    <w:p w:rsidR="0074584A" w:rsidRDefault="0074584A" w:rsidP="0074584A">
      <w:pPr>
        <w:pStyle w:val="Seznam"/>
        <w:tabs>
          <w:tab w:val="left" w:pos="5670"/>
        </w:tabs>
        <w:ind w:firstLine="143"/>
        <w:rPr>
          <w:rFonts w:cs="Arial"/>
          <w:sz w:val="22"/>
          <w:szCs w:val="22"/>
        </w:rPr>
      </w:pPr>
      <w:r>
        <w:rPr>
          <w:rFonts w:cs="Arial"/>
          <w:sz w:val="22"/>
          <w:szCs w:val="22"/>
        </w:rPr>
        <w:t xml:space="preserve">Ing. Alena Drábková, tel.: 466 024 130, email: alena.drabkova@geovap.cz  </w:t>
      </w:r>
    </w:p>
    <w:p w:rsidR="0074584A" w:rsidRDefault="0074584A" w:rsidP="0074584A">
      <w:pPr>
        <w:pStyle w:val="Seznam"/>
        <w:tabs>
          <w:tab w:val="left" w:pos="5670"/>
        </w:tabs>
        <w:ind w:firstLine="143"/>
      </w:pPr>
      <w:r>
        <w:rPr>
          <w:rFonts w:cs="Arial"/>
          <w:sz w:val="22"/>
          <w:szCs w:val="22"/>
        </w:rPr>
        <w:tab/>
      </w:r>
    </w:p>
    <w:p w:rsidR="0074584A" w:rsidRDefault="0074584A" w:rsidP="0074584A">
      <w:pPr>
        <w:numPr>
          <w:ilvl w:val="0"/>
          <w:numId w:val="15"/>
        </w:numPr>
        <w:spacing w:after="0"/>
        <w:jc w:val="both"/>
        <w:rPr>
          <w:sz w:val="22"/>
        </w:rPr>
      </w:pPr>
      <w:r>
        <w:rPr>
          <w:sz w:val="22"/>
        </w:rPr>
        <w:t>Smluvní strany jsou oprávněny změnit oprávněné osoby, jsou však povinny na takovou změnu písemně upozornit druhou smluvní stranu, a to bez zbytečného odkladu.</w:t>
      </w:r>
    </w:p>
    <w:p w:rsidR="0074584A" w:rsidRDefault="0074584A" w:rsidP="0074584A">
      <w:pPr>
        <w:numPr>
          <w:ilvl w:val="0"/>
          <w:numId w:val="15"/>
        </w:numPr>
        <w:spacing w:after="0"/>
        <w:jc w:val="both"/>
        <w:rPr>
          <w:sz w:val="22"/>
        </w:rPr>
      </w:pPr>
      <w:r>
        <w:rPr>
          <w:sz w:val="22"/>
        </w:rPr>
        <w:t>Všechny dokumenty mající vztah k plnění této smlouvy, její přílohy, protokoly, jiné zápisy, musí být podepsány oprávněnými osobami obou smluvních stran nebo jejich zástupci.</w:t>
      </w:r>
    </w:p>
    <w:p w:rsidR="0074584A" w:rsidRDefault="0074584A" w:rsidP="0074584A">
      <w:pPr>
        <w:pStyle w:val="Zkladntext"/>
        <w:numPr>
          <w:ilvl w:val="0"/>
          <w:numId w:val="2"/>
        </w:numPr>
        <w:tabs>
          <w:tab w:val="clear" w:pos="426"/>
          <w:tab w:val="clear" w:pos="720"/>
          <w:tab w:val="left" w:pos="708"/>
        </w:tabs>
        <w:spacing w:before="240" w:after="120"/>
        <w:ind w:left="0" w:right="0" w:firstLine="0"/>
        <w:jc w:val="center"/>
        <w:rPr>
          <w:b/>
          <w:sz w:val="28"/>
        </w:rPr>
      </w:pPr>
      <w:r>
        <w:rPr>
          <w:b/>
          <w:sz w:val="28"/>
        </w:rPr>
        <w:t>Závěrečné podmínky</w:t>
      </w:r>
    </w:p>
    <w:p w:rsidR="0074584A" w:rsidRDefault="0074584A" w:rsidP="0074584A">
      <w:pPr>
        <w:numPr>
          <w:ilvl w:val="0"/>
          <w:numId w:val="16"/>
        </w:numPr>
        <w:spacing w:after="0"/>
        <w:ind w:left="357" w:hanging="357"/>
        <w:jc w:val="both"/>
        <w:rPr>
          <w:rFonts w:cs="Arial"/>
          <w:sz w:val="22"/>
        </w:rPr>
      </w:pPr>
      <w:r>
        <w:rPr>
          <w:rFonts w:cs="Arial"/>
          <w:sz w:val="22"/>
        </w:rPr>
        <w:t>Tato smlouva nabývá platnosti a účinnosti dnem jejího podepsání oběma smluvními stranami.</w:t>
      </w:r>
    </w:p>
    <w:p w:rsidR="0074584A" w:rsidRDefault="0074584A" w:rsidP="0074584A">
      <w:pPr>
        <w:numPr>
          <w:ilvl w:val="0"/>
          <w:numId w:val="16"/>
        </w:numPr>
        <w:spacing w:after="0"/>
        <w:ind w:left="357" w:hanging="357"/>
        <w:jc w:val="both"/>
        <w:rPr>
          <w:rFonts w:cs="Arial"/>
          <w:sz w:val="22"/>
        </w:rPr>
      </w:pPr>
      <w:r>
        <w:rPr>
          <w:rFonts w:cs="Arial"/>
          <w:sz w:val="22"/>
        </w:rPr>
        <w:t>Objednatel je oprávněn odstoupit od smlouvy v případě, že zhotovitel je v prodlení s plněním déle než 30 kalendářních dní a nezjedná nápravu ani do 15 kalendářních dní od doručení písemného oznámení objednatele o takovém prodlení.</w:t>
      </w:r>
    </w:p>
    <w:p w:rsidR="0074584A" w:rsidRDefault="0074584A" w:rsidP="0074584A">
      <w:pPr>
        <w:numPr>
          <w:ilvl w:val="0"/>
          <w:numId w:val="16"/>
        </w:numPr>
        <w:spacing w:after="0"/>
        <w:ind w:left="357" w:hanging="357"/>
        <w:jc w:val="both"/>
        <w:rPr>
          <w:rFonts w:cs="Arial"/>
          <w:sz w:val="22"/>
        </w:rPr>
      </w:pPr>
      <w:r>
        <w:rPr>
          <w:rFonts w:cs="Arial"/>
          <w:sz w:val="22"/>
        </w:rPr>
        <w:t xml:space="preserve">Zhotovitel je oprávněn odstoupit od smlouvy v případě, že objednatel je v prodlení s placením faktur zhotovitele a toto prodlení trvá po dobu delší než 30 kalendářních dní po písemném upozornění zhotovitele, a dále je oprávněn odstoupit od smlouvy v případě, že objednatel je v prodlení s plněním svých závazků podle této smlouvy déle než 30 kalendářních dní a nezjedná nápravu ani do 15 kalendářních dní od doručení písemného oznámení zhotovitele o takovém prodlení. </w:t>
      </w:r>
    </w:p>
    <w:p w:rsidR="0074584A" w:rsidRDefault="0074584A" w:rsidP="0074584A">
      <w:pPr>
        <w:numPr>
          <w:ilvl w:val="0"/>
          <w:numId w:val="16"/>
        </w:numPr>
        <w:spacing w:after="0"/>
        <w:ind w:left="357" w:hanging="357"/>
        <w:jc w:val="both"/>
        <w:rPr>
          <w:rFonts w:cs="Arial"/>
          <w:sz w:val="22"/>
        </w:rPr>
      </w:pPr>
      <w:r>
        <w:rPr>
          <w:rFonts w:cs="Arial"/>
          <w:sz w:val="22"/>
        </w:rPr>
        <w:t>Veškeré změny této smlouvy je nutno učinit písemně ve formě číslovaných dodatků.</w:t>
      </w:r>
    </w:p>
    <w:p w:rsidR="0074584A" w:rsidRDefault="0074584A" w:rsidP="0074584A">
      <w:pPr>
        <w:numPr>
          <w:ilvl w:val="0"/>
          <w:numId w:val="16"/>
        </w:numPr>
        <w:spacing w:after="0"/>
        <w:ind w:left="357" w:hanging="357"/>
        <w:jc w:val="both"/>
        <w:rPr>
          <w:rFonts w:cs="Arial"/>
          <w:sz w:val="22"/>
        </w:rPr>
      </w:pPr>
      <w:r>
        <w:rPr>
          <w:rFonts w:cs="Arial"/>
          <w:sz w:val="22"/>
        </w:rPr>
        <w:t>Ve věcech v této smlouvě výslovně neupravených se smluvní strany řídí obecně platnými předpisy právního řádu České republiky.</w:t>
      </w:r>
    </w:p>
    <w:p w:rsidR="0074584A" w:rsidRDefault="0074584A" w:rsidP="0074584A">
      <w:pPr>
        <w:numPr>
          <w:ilvl w:val="0"/>
          <w:numId w:val="16"/>
        </w:numPr>
        <w:spacing w:after="0"/>
        <w:ind w:left="357" w:hanging="357"/>
        <w:jc w:val="both"/>
        <w:rPr>
          <w:rFonts w:cs="Arial"/>
          <w:sz w:val="22"/>
        </w:rPr>
      </w:pPr>
      <w:r>
        <w:rPr>
          <w:rFonts w:cs="Arial"/>
          <w:sz w:val="22"/>
        </w:rPr>
        <w:t>Práva a povinnosti smluvních stran vyplývající z této smlouvy přecházejí na právní nástupce smluvních stran.</w:t>
      </w:r>
    </w:p>
    <w:p w:rsidR="0074584A" w:rsidRDefault="0074584A" w:rsidP="0074584A">
      <w:pPr>
        <w:numPr>
          <w:ilvl w:val="0"/>
          <w:numId w:val="16"/>
        </w:numPr>
        <w:spacing w:after="0"/>
        <w:ind w:left="357" w:hanging="357"/>
        <w:jc w:val="both"/>
        <w:rPr>
          <w:rFonts w:cs="Arial"/>
          <w:sz w:val="22"/>
        </w:rPr>
      </w:pPr>
      <w:r>
        <w:rPr>
          <w:rFonts w:cs="Arial"/>
          <w:sz w:val="22"/>
        </w:rPr>
        <w:t>Smluvní strany prohlašují, že ujednání ve smlouvě byla dosažena v souladu s jejich vůlí, určitě, vážně a srozumitelně, nikoliv v tísni a na základě jednostranně nevýhodných podmínek. Autentičnost smlouvy potvrzují smluvní strany svým podpisem.</w:t>
      </w:r>
    </w:p>
    <w:p w:rsidR="0074584A" w:rsidRDefault="0074584A" w:rsidP="0074584A">
      <w:pPr>
        <w:pStyle w:val="Zkladntext"/>
        <w:numPr>
          <w:ilvl w:val="0"/>
          <w:numId w:val="16"/>
        </w:numPr>
        <w:ind w:right="33"/>
        <w:jc w:val="both"/>
      </w:pPr>
      <w:r>
        <w:br w:type="page"/>
      </w:r>
      <w:r>
        <w:lastRenderedPageBreak/>
        <w:t>Tato smlouva je provedena ve třech vyhotoveních, z nichž obdrží objednatel po dvou vyhotoveních a zhotovitel po jednom vyhotovení.</w:t>
      </w:r>
    </w:p>
    <w:p w:rsidR="0074584A" w:rsidRDefault="0074584A" w:rsidP="0074584A">
      <w:pPr>
        <w:spacing w:after="0"/>
        <w:jc w:val="both"/>
        <w:rPr>
          <w:rFonts w:cs="Arial"/>
          <w:sz w:val="22"/>
          <w:szCs w:val="22"/>
        </w:rPr>
      </w:pPr>
    </w:p>
    <w:p w:rsidR="0074584A" w:rsidRDefault="0074584A" w:rsidP="0074584A">
      <w:pPr>
        <w:spacing w:after="0"/>
        <w:jc w:val="both"/>
        <w:rPr>
          <w:rFonts w:cs="Arial"/>
          <w:sz w:val="22"/>
          <w:szCs w:val="22"/>
        </w:rPr>
      </w:pPr>
      <w:r>
        <w:rPr>
          <w:rFonts w:cs="Arial"/>
          <w:sz w:val="22"/>
          <w:szCs w:val="22"/>
        </w:rPr>
        <w:t xml:space="preserve"> </w:t>
      </w:r>
    </w:p>
    <w:p w:rsidR="0074584A" w:rsidRDefault="0074584A" w:rsidP="0074584A">
      <w:pPr>
        <w:ind w:right="5" w:firstLine="284"/>
        <w:jc w:val="both"/>
        <w:rPr>
          <w:rFonts w:cs="Arial"/>
          <w:sz w:val="22"/>
          <w:szCs w:val="22"/>
        </w:rPr>
      </w:pPr>
      <w:r>
        <w:rPr>
          <w:rFonts w:cs="Arial"/>
          <w:sz w:val="22"/>
          <w:szCs w:val="22"/>
        </w:rPr>
        <w:t xml:space="preserve">V Pardubicích dne: </w:t>
      </w:r>
      <w:r>
        <w:rPr>
          <w:rFonts w:cs="Arial"/>
          <w:sz w:val="22"/>
          <w:szCs w:val="22"/>
        </w:rPr>
        <w:tab/>
        <w:t xml:space="preserve"> </w:t>
      </w:r>
      <w:r>
        <w:rPr>
          <w:rFonts w:cs="Arial"/>
          <w:sz w:val="22"/>
          <w:szCs w:val="22"/>
        </w:rPr>
        <w:tab/>
      </w:r>
      <w:r>
        <w:rPr>
          <w:rFonts w:cs="Arial"/>
          <w:sz w:val="22"/>
          <w:szCs w:val="22"/>
        </w:rPr>
        <w:tab/>
      </w:r>
      <w:r>
        <w:rPr>
          <w:rFonts w:cs="Arial"/>
          <w:sz w:val="22"/>
          <w:szCs w:val="22"/>
        </w:rPr>
        <w:tab/>
        <w:t xml:space="preserve">V Holicích dne: </w:t>
      </w:r>
    </w:p>
    <w:p w:rsidR="0074584A" w:rsidRDefault="0074584A" w:rsidP="0074584A">
      <w:pPr>
        <w:ind w:right="5" w:firstLine="284"/>
        <w:jc w:val="both"/>
        <w:rPr>
          <w:rFonts w:cs="Arial"/>
          <w:sz w:val="22"/>
          <w:szCs w:val="22"/>
        </w:rPr>
      </w:pPr>
      <w:r>
        <w:rPr>
          <w:rFonts w:cs="Arial"/>
          <w:sz w:val="22"/>
          <w:szCs w:val="22"/>
        </w:rPr>
        <w:t>Za zhotovitele: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Za objednatele:</w:t>
      </w:r>
    </w:p>
    <w:p w:rsidR="0074584A" w:rsidRDefault="0074584A" w:rsidP="0074584A">
      <w:pPr>
        <w:spacing w:after="0"/>
        <w:ind w:firstLine="284"/>
        <w:jc w:val="both"/>
        <w:rPr>
          <w:rFonts w:cs="Arial"/>
          <w:sz w:val="22"/>
          <w:szCs w:val="22"/>
        </w:rPr>
      </w:pPr>
    </w:p>
    <w:p w:rsidR="0074584A" w:rsidRDefault="0074584A" w:rsidP="0074584A">
      <w:pPr>
        <w:spacing w:after="0"/>
        <w:ind w:firstLine="284"/>
        <w:jc w:val="both"/>
        <w:rPr>
          <w:rFonts w:cs="Arial"/>
          <w:sz w:val="22"/>
          <w:szCs w:val="22"/>
        </w:rPr>
      </w:pPr>
    </w:p>
    <w:p w:rsidR="0074584A" w:rsidRDefault="0074584A" w:rsidP="0074584A">
      <w:pPr>
        <w:spacing w:after="0"/>
        <w:ind w:firstLine="284"/>
        <w:jc w:val="both"/>
        <w:rPr>
          <w:rFonts w:cs="Arial"/>
          <w:sz w:val="22"/>
          <w:szCs w:val="22"/>
        </w:rPr>
      </w:pPr>
    </w:p>
    <w:p w:rsidR="0074584A" w:rsidRDefault="0074584A" w:rsidP="0074584A">
      <w:pPr>
        <w:spacing w:after="0"/>
        <w:ind w:firstLine="284"/>
        <w:jc w:val="both"/>
        <w:rPr>
          <w:rFonts w:cs="Arial"/>
          <w:sz w:val="22"/>
          <w:szCs w:val="22"/>
        </w:rPr>
      </w:pPr>
    </w:p>
    <w:p w:rsidR="0074584A" w:rsidRDefault="0074584A" w:rsidP="0074584A">
      <w:pPr>
        <w:spacing w:after="0"/>
        <w:ind w:firstLine="284"/>
        <w:jc w:val="both"/>
        <w:rPr>
          <w:rFonts w:cs="Arial"/>
          <w:sz w:val="22"/>
          <w:szCs w:val="22"/>
        </w:rPr>
      </w:pPr>
      <w:r>
        <w:rPr>
          <w:rFonts w:cs="Arial"/>
          <w:sz w:val="22"/>
          <w:szCs w:val="22"/>
        </w:rPr>
        <w:t>___________________________</w:t>
      </w:r>
      <w:r>
        <w:rPr>
          <w:rFonts w:cs="Arial"/>
          <w:sz w:val="22"/>
          <w:szCs w:val="22"/>
        </w:rPr>
        <w:tab/>
      </w:r>
      <w:r>
        <w:rPr>
          <w:rFonts w:cs="Arial"/>
          <w:sz w:val="22"/>
          <w:szCs w:val="22"/>
        </w:rPr>
        <w:tab/>
        <w:t xml:space="preserve">___________________________ </w:t>
      </w:r>
    </w:p>
    <w:p w:rsidR="0074584A" w:rsidRDefault="0074584A" w:rsidP="0074584A">
      <w:pPr>
        <w:pStyle w:val="Zkladntext"/>
        <w:tabs>
          <w:tab w:val="clear" w:pos="426"/>
          <w:tab w:val="center" w:pos="1985"/>
          <w:tab w:val="center" w:pos="6663"/>
        </w:tabs>
        <w:ind w:right="0"/>
      </w:pPr>
      <w:r>
        <w:tab/>
        <w:t xml:space="preserve">Ing. Robert </w:t>
      </w:r>
      <w:proofErr w:type="spellStart"/>
      <w:r>
        <w:t>Matulík</w:t>
      </w:r>
      <w:proofErr w:type="spellEnd"/>
      <w:r>
        <w:t xml:space="preserve">                                             </w:t>
      </w:r>
      <w:r>
        <w:tab/>
      </w:r>
      <w:hyperlink r:id="rId7" w:history="1">
        <w:r>
          <w:rPr>
            <w:rStyle w:val="Hypertextovodkaz"/>
            <w:bCs/>
          </w:rPr>
          <w:t xml:space="preserve">Mgr. Ladislav </w:t>
        </w:r>
        <w:proofErr w:type="spellStart"/>
        <w:r>
          <w:rPr>
            <w:rStyle w:val="Hypertextovodkaz"/>
            <w:bCs/>
          </w:rPr>
          <w:t>Effenberk</w:t>
        </w:r>
        <w:proofErr w:type="spellEnd"/>
        <w:r>
          <w:rPr>
            <w:rStyle w:val="Hypertextovodkaz"/>
            <w:bCs/>
          </w:rPr>
          <w:t xml:space="preserve"> </w:t>
        </w:r>
      </w:hyperlink>
      <w:r>
        <w:tab/>
        <w:t>jednatel společnosti</w:t>
      </w:r>
      <w:r>
        <w:tab/>
        <w:t xml:space="preserve">starosta města </w:t>
      </w:r>
      <w:r>
        <w:tab/>
      </w:r>
    </w:p>
    <w:p w:rsidR="00ED075A" w:rsidRDefault="00ED075A"/>
    <w:sectPr w:rsidR="00ED075A" w:rsidSect="00ED07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E59"/>
    <w:multiLevelType w:val="singleLevel"/>
    <w:tmpl w:val="154EC5CE"/>
    <w:lvl w:ilvl="0">
      <w:start w:val="1"/>
      <w:numFmt w:val="upperRoman"/>
      <w:lvlText w:val="%1. "/>
      <w:lvlJc w:val="left"/>
      <w:pPr>
        <w:tabs>
          <w:tab w:val="num" w:pos="720"/>
        </w:tabs>
        <w:ind w:left="283" w:hanging="283"/>
      </w:pPr>
      <w:rPr>
        <w:rFonts w:ascii="Arial" w:hAnsi="Arial" w:cs="Arial" w:hint="default"/>
        <w:b/>
        <w:i w:val="0"/>
        <w:sz w:val="28"/>
      </w:rPr>
    </w:lvl>
  </w:abstractNum>
  <w:abstractNum w:abstractNumId="1">
    <w:nsid w:val="1C4B1C98"/>
    <w:multiLevelType w:val="multilevel"/>
    <w:tmpl w:val="6E6EC954"/>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2B063CA"/>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7C31F14"/>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46E2156"/>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4F2787D"/>
    <w:multiLevelType w:val="hybridMultilevel"/>
    <w:tmpl w:val="35FA0C5A"/>
    <w:lvl w:ilvl="0" w:tplc="2E84D6C2">
      <w:start w:val="1"/>
      <w:numFmt w:val="decimal"/>
      <w:lvlText w:val="%1."/>
      <w:lvlJc w:val="left"/>
      <w:pPr>
        <w:tabs>
          <w:tab w:val="num" w:pos="360"/>
        </w:tabs>
        <w:ind w:left="360" w:hanging="360"/>
      </w:pPr>
      <w:rPr>
        <w:b/>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23A6BB5"/>
    <w:multiLevelType w:val="multilevel"/>
    <w:tmpl w:val="058C15D6"/>
    <w:lvl w:ilvl="0">
      <w:start w:val="1"/>
      <w:numFmt w:val="decimal"/>
      <w:lvlText w:val="%1."/>
      <w:lvlJc w:val="left"/>
      <w:pPr>
        <w:tabs>
          <w:tab w:val="num" w:pos="360"/>
        </w:tabs>
        <w:ind w:left="360" w:hanging="360"/>
      </w:pPr>
      <w:rPr>
        <w:b/>
        <w:i w:val="0"/>
        <w:sz w:val="22"/>
        <w:szCs w:val="22"/>
      </w:rPr>
    </w:lvl>
    <w:lvl w:ilvl="1">
      <w:start w:val="1"/>
      <w:numFmt w:val="decimal"/>
      <w:lvlText w:val="%2."/>
      <w:lvlJc w:val="left"/>
      <w:pPr>
        <w:tabs>
          <w:tab w:val="num" w:pos="567"/>
        </w:tabs>
        <w:ind w:left="567" w:hanging="567"/>
      </w:pPr>
      <w:rPr>
        <w:b/>
        <w:i w:val="0"/>
        <w:sz w:val="22"/>
        <w:szCs w:val="22"/>
      </w:rPr>
    </w:lvl>
    <w:lvl w:ilvl="2">
      <w:start w:val="1"/>
      <w:numFmt w:val="decimal"/>
      <w:lvlText w:val="%1%3.%2"/>
      <w:lvlJc w:val="left"/>
      <w:pPr>
        <w:tabs>
          <w:tab w:val="num" w:pos="1440"/>
        </w:tabs>
        <w:ind w:left="1224"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50D3D47"/>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71E174D"/>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8904E89"/>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BD079C1"/>
    <w:multiLevelType w:val="hybridMultilevel"/>
    <w:tmpl w:val="4CAEFCD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FDE1AD2"/>
    <w:multiLevelType w:val="hybridMultilevel"/>
    <w:tmpl w:val="2F4A9C8E"/>
    <w:lvl w:ilvl="0" w:tplc="812CFD8E">
      <w:start w:val="1"/>
      <w:numFmt w:val="decimal"/>
      <w:lvlText w:val="%1."/>
      <w:lvlJc w:val="left"/>
      <w:pPr>
        <w:tabs>
          <w:tab w:val="num" w:pos="360"/>
        </w:tabs>
        <w:ind w:left="360" w:hanging="360"/>
      </w:pPr>
      <w:rPr>
        <w:b/>
        <w:i w:val="0"/>
      </w:rPr>
    </w:lvl>
    <w:lvl w:ilvl="1" w:tplc="DAC43252">
      <w:start w:val="1"/>
      <w:numFmt w:val="decimal"/>
      <w:lvlText w:val="%2."/>
      <w:lvlJc w:val="left"/>
      <w:pPr>
        <w:tabs>
          <w:tab w:val="num" w:pos="1440"/>
        </w:tabs>
        <w:ind w:left="1440" w:hanging="360"/>
      </w:pPr>
    </w:lvl>
    <w:lvl w:ilvl="2" w:tplc="F6084AAE">
      <w:start w:val="1"/>
      <w:numFmt w:val="decimal"/>
      <w:lvlText w:val="%3."/>
      <w:lvlJc w:val="left"/>
      <w:pPr>
        <w:tabs>
          <w:tab w:val="num" w:pos="2160"/>
        </w:tabs>
        <w:ind w:left="2160" w:hanging="360"/>
      </w:pPr>
    </w:lvl>
    <w:lvl w:ilvl="3" w:tplc="7FBAA52C">
      <w:start w:val="1"/>
      <w:numFmt w:val="decimal"/>
      <w:lvlText w:val="%4."/>
      <w:lvlJc w:val="left"/>
      <w:pPr>
        <w:tabs>
          <w:tab w:val="num" w:pos="2880"/>
        </w:tabs>
        <w:ind w:left="2880" w:hanging="360"/>
      </w:pPr>
    </w:lvl>
    <w:lvl w:ilvl="4" w:tplc="22406B2C">
      <w:start w:val="1"/>
      <w:numFmt w:val="decimal"/>
      <w:lvlText w:val="%5."/>
      <w:lvlJc w:val="left"/>
      <w:pPr>
        <w:tabs>
          <w:tab w:val="num" w:pos="3600"/>
        </w:tabs>
        <w:ind w:left="3600" w:hanging="360"/>
      </w:pPr>
    </w:lvl>
    <w:lvl w:ilvl="5" w:tplc="0F2C875A">
      <w:start w:val="1"/>
      <w:numFmt w:val="decimal"/>
      <w:lvlText w:val="%6."/>
      <w:lvlJc w:val="left"/>
      <w:pPr>
        <w:tabs>
          <w:tab w:val="num" w:pos="4320"/>
        </w:tabs>
        <w:ind w:left="4320" w:hanging="360"/>
      </w:pPr>
    </w:lvl>
    <w:lvl w:ilvl="6" w:tplc="16DC5C8A">
      <w:start w:val="1"/>
      <w:numFmt w:val="decimal"/>
      <w:lvlText w:val="%7."/>
      <w:lvlJc w:val="left"/>
      <w:pPr>
        <w:tabs>
          <w:tab w:val="num" w:pos="5040"/>
        </w:tabs>
        <w:ind w:left="5040" w:hanging="360"/>
      </w:pPr>
    </w:lvl>
    <w:lvl w:ilvl="7" w:tplc="972E3F88">
      <w:start w:val="1"/>
      <w:numFmt w:val="decimal"/>
      <w:lvlText w:val="%8."/>
      <w:lvlJc w:val="left"/>
      <w:pPr>
        <w:tabs>
          <w:tab w:val="num" w:pos="5760"/>
        </w:tabs>
        <w:ind w:left="5760" w:hanging="360"/>
      </w:pPr>
    </w:lvl>
    <w:lvl w:ilvl="8" w:tplc="AF84E1E0">
      <w:start w:val="1"/>
      <w:numFmt w:val="decimal"/>
      <w:lvlText w:val="%9."/>
      <w:lvlJc w:val="left"/>
      <w:pPr>
        <w:tabs>
          <w:tab w:val="num" w:pos="6480"/>
        </w:tabs>
        <w:ind w:left="6480" w:hanging="360"/>
      </w:pPr>
    </w:lvl>
  </w:abstractNum>
  <w:abstractNum w:abstractNumId="12">
    <w:nsid w:val="67A627C3"/>
    <w:multiLevelType w:val="multilevel"/>
    <w:tmpl w:val="288286C2"/>
    <w:lvl w:ilvl="0">
      <w:start w:val="1"/>
      <w:numFmt w:val="lowerLetter"/>
      <w:lvlText w:val="%1)"/>
      <w:lvlJc w:val="left"/>
      <w:pPr>
        <w:tabs>
          <w:tab w:val="num" w:pos="1284"/>
        </w:tabs>
        <w:ind w:left="1284" w:hanging="547"/>
      </w:pPr>
    </w:lvl>
    <w:lvl w:ilvl="1">
      <w:start w:val="1"/>
      <w:numFmt w:val="lowerLetter"/>
      <w:lvlText w:val="%2."/>
      <w:lvlJc w:val="left"/>
      <w:pPr>
        <w:tabs>
          <w:tab w:val="num" w:pos="2364"/>
        </w:tabs>
        <w:ind w:left="2364" w:hanging="360"/>
      </w:pPr>
    </w:lvl>
    <w:lvl w:ilvl="2">
      <w:start w:val="1"/>
      <w:numFmt w:val="lowerRoman"/>
      <w:lvlText w:val="%3."/>
      <w:lvlJc w:val="right"/>
      <w:pPr>
        <w:tabs>
          <w:tab w:val="num" w:pos="3084"/>
        </w:tabs>
        <w:ind w:left="3084" w:hanging="180"/>
      </w:pPr>
    </w:lvl>
    <w:lvl w:ilvl="3">
      <w:start w:val="1"/>
      <w:numFmt w:val="decimal"/>
      <w:lvlText w:val="%4."/>
      <w:lvlJc w:val="left"/>
      <w:pPr>
        <w:tabs>
          <w:tab w:val="num" w:pos="3804"/>
        </w:tabs>
        <w:ind w:left="3804" w:hanging="360"/>
      </w:pPr>
    </w:lvl>
    <w:lvl w:ilvl="4">
      <w:start w:val="1"/>
      <w:numFmt w:val="lowerLetter"/>
      <w:lvlText w:val="%5."/>
      <w:lvlJc w:val="left"/>
      <w:pPr>
        <w:tabs>
          <w:tab w:val="num" w:pos="4524"/>
        </w:tabs>
        <w:ind w:left="4524" w:hanging="360"/>
      </w:pPr>
    </w:lvl>
    <w:lvl w:ilvl="5">
      <w:start w:val="1"/>
      <w:numFmt w:val="lowerRoman"/>
      <w:lvlText w:val="%6."/>
      <w:lvlJc w:val="right"/>
      <w:pPr>
        <w:tabs>
          <w:tab w:val="num" w:pos="5244"/>
        </w:tabs>
        <w:ind w:left="5244" w:hanging="180"/>
      </w:pPr>
    </w:lvl>
    <w:lvl w:ilvl="6">
      <w:start w:val="1"/>
      <w:numFmt w:val="decimal"/>
      <w:lvlText w:val="%7."/>
      <w:lvlJc w:val="left"/>
      <w:pPr>
        <w:tabs>
          <w:tab w:val="num" w:pos="5964"/>
        </w:tabs>
        <w:ind w:left="5964" w:hanging="360"/>
      </w:pPr>
    </w:lvl>
    <w:lvl w:ilvl="7">
      <w:start w:val="1"/>
      <w:numFmt w:val="lowerLetter"/>
      <w:lvlText w:val="%8."/>
      <w:lvlJc w:val="left"/>
      <w:pPr>
        <w:tabs>
          <w:tab w:val="num" w:pos="6684"/>
        </w:tabs>
        <w:ind w:left="6684" w:hanging="360"/>
      </w:pPr>
    </w:lvl>
    <w:lvl w:ilvl="8">
      <w:start w:val="1"/>
      <w:numFmt w:val="lowerRoman"/>
      <w:lvlText w:val="%9."/>
      <w:lvlJc w:val="right"/>
      <w:pPr>
        <w:tabs>
          <w:tab w:val="num" w:pos="7404"/>
        </w:tabs>
        <w:ind w:left="7404" w:hanging="180"/>
      </w:pPr>
    </w:lvl>
  </w:abstractNum>
  <w:abstractNum w:abstractNumId="13">
    <w:nsid w:val="6D7F75CC"/>
    <w:multiLevelType w:val="hybridMultilevel"/>
    <w:tmpl w:val="C5CE2370"/>
    <w:lvl w:ilvl="0" w:tplc="C49E5304">
      <w:start w:val="1"/>
      <w:numFmt w:val="bullet"/>
      <w:pStyle w:val="zkladntext-odrky"/>
      <w:lvlText w:val=""/>
      <w:lvlJc w:val="left"/>
      <w:pPr>
        <w:tabs>
          <w:tab w:val="num" w:pos="567"/>
        </w:tabs>
        <w:ind w:left="567" w:hanging="283"/>
      </w:pPr>
      <w:rPr>
        <w:rFonts w:ascii="Symbol" w:hAnsi="Symbol" w:hint="default"/>
        <w:sz w:val="20"/>
        <w:szCs w:val="20"/>
      </w:rPr>
    </w:lvl>
    <w:lvl w:ilvl="1" w:tplc="534268FA">
      <w:start w:val="1"/>
      <w:numFmt w:val="decimal"/>
      <w:lvlText w:val="%2."/>
      <w:lvlJc w:val="left"/>
      <w:pPr>
        <w:tabs>
          <w:tab w:val="num" w:pos="1440"/>
        </w:tabs>
        <w:ind w:left="1440" w:hanging="360"/>
      </w:pPr>
    </w:lvl>
    <w:lvl w:ilvl="2" w:tplc="B2AAA208">
      <w:start w:val="1"/>
      <w:numFmt w:val="decimal"/>
      <w:lvlText w:val="%3."/>
      <w:lvlJc w:val="left"/>
      <w:pPr>
        <w:tabs>
          <w:tab w:val="num" w:pos="2160"/>
        </w:tabs>
        <w:ind w:left="2160" w:hanging="360"/>
      </w:pPr>
    </w:lvl>
    <w:lvl w:ilvl="3" w:tplc="8BC0E2EC">
      <w:start w:val="1"/>
      <w:numFmt w:val="decimal"/>
      <w:lvlText w:val="%4."/>
      <w:lvlJc w:val="left"/>
      <w:pPr>
        <w:tabs>
          <w:tab w:val="num" w:pos="2880"/>
        </w:tabs>
        <w:ind w:left="2880" w:hanging="360"/>
      </w:pPr>
    </w:lvl>
    <w:lvl w:ilvl="4" w:tplc="3656D89A">
      <w:start w:val="1"/>
      <w:numFmt w:val="decimal"/>
      <w:lvlText w:val="%5."/>
      <w:lvlJc w:val="left"/>
      <w:pPr>
        <w:tabs>
          <w:tab w:val="num" w:pos="3600"/>
        </w:tabs>
        <w:ind w:left="3600" w:hanging="360"/>
      </w:pPr>
    </w:lvl>
    <w:lvl w:ilvl="5" w:tplc="23D8667A">
      <w:start w:val="1"/>
      <w:numFmt w:val="decimal"/>
      <w:lvlText w:val="%6."/>
      <w:lvlJc w:val="left"/>
      <w:pPr>
        <w:tabs>
          <w:tab w:val="num" w:pos="4320"/>
        </w:tabs>
        <w:ind w:left="4320" w:hanging="360"/>
      </w:pPr>
    </w:lvl>
    <w:lvl w:ilvl="6" w:tplc="E2A0B176">
      <w:start w:val="1"/>
      <w:numFmt w:val="decimal"/>
      <w:lvlText w:val="%7."/>
      <w:lvlJc w:val="left"/>
      <w:pPr>
        <w:tabs>
          <w:tab w:val="num" w:pos="5040"/>
        </w:tabs>
        <w:ind w:left="5040" w:hanging="360"/>
      </w:pPr>
    </w:lvl>
    <w:lvl w:ilvl="7" w:tplc="9468D0D4">
      <w:start w:val="1"/>
      <w:numFmt w:val="decimal"/>
      <w:lvlText w:val="%8."/>
      <w:lvlJc w:val="left"/>
      <w:pPr>
        <w:tabs>
          <w:tab w:val="num" w:pos="5760"/>
        </w:tabs>
        <w:ind w:left="5760" w:hanging="360"/>
      </w:pPr>
    </w:lvl>
    <w:lvl w:ilvl="8" w:tplc="CD28EB3E">
      <w:start w:val="1"/>
      <w:numFmt w:val="decimal"/>
      <w:lvlText w:val="%9."/>
      <w:lvlJc w:val="left"/>
      <w:pPr>
        <w:tabs>
          <w:tab w:val="num" w:pos="6480"/>
        </w:tabs>
        <w:ind w:left="6480" w:hanging="360"/>
      </w:pPr>
    </w:lvl>
  </w:abstractNum>
  <w:abstractNum w:abstractNumId="14">
    <w:nsid w:val="6F740D60"/>
    <w:multiLevelType w:val="multilevel"/>
    <w:tmpl w:val="B2FE6F12"/>
    <w:lvl w:ilvl="0">
      <w:start w:val="1"/>
      <w:numFmt w:val="decimal"/>
      <w:lvlText w:val="%1."/>
      <w:lvlJc w:val="left"/>
      <w:pPr>
        <w:tabs>
          <w:tab w:val="num" w:pos="851"/>
        </w:tabs>
        <w:ind w:left="851" w:hanging="851"/>
      </w:pPr>
      <w:rPr>
        <w:rFonts w:ascii="Arial" w:hAnsi="Arial" w:cs="Times New Roman" w:hint="default"/>
        <w:b/>
        <w:i w:val="0"/>
        <w:sz w:val="22"/>
        <w:szCs w:val="22"/>
      </w:rPr>
    </w:lvl>
    <w:lvl w:ilvl="1">
      <w:start w:val="1"/>
      <w:numFmt w:val="decimal"/>
      <w:lvlText w:val="%1.%2."/>
      <w:lvlJc w:val="left"/>
      <w:pPr>
        <w:tabs>
          <w:tab w:val="num" w:pos="851"/>
        </w:tabs>
        <w:ind w:left="851" w:hanging="567"/>
      </w:pPr>
      <w:rPr>
        <w:rFonts w:ascii="Arial" w:hAnsi="Arial" w:cs="Times New Roman" w:hint="default"/>
        <w:b/>
        <w:i w:val="0"/>
        <w:sz w:val="22"/>
        <w:szCs w:val="22"/>
      </w:rPr>
    </w:lvl>
    <w:lvl w:ilvl="2">
      <w:start w:val="1"/>
      <w:numFmt w:val="lowerLetter"/>
      <w:lvlText w:val="%3)"/>
      <w:lvlJc w:val="left"/>
      <w:pPr>
        <w:tabs>
          <w:tab w:val="num" w:pos="851"/>
        </w:tabs>
        <w:ind w:left="851" w:hanging="284"/>
      </w:pPr>
      <w:rPr>
        <w:rFonts w:ascii="Arial" w:hAnsi="Arial" w:cs="Times New Roman" w:hint="default"/>
        <w:b w:val="0"/>
        <w:i w:val="0"/>
        <w:sz w:val="22"/>
        <w:szCs w:val="22"/>
      </w:rPr>
    </w:lvl>
    <w:lvl w:ilvl="3">
      <w:start w:val="1"/>
      <w:numFmt w:val="bullet"/>
      <w:lvlText w:val=""/>
      <w:lvlJc w:val="left"/>
      <w:pPr>
        <w:tabs>
          <w:tab w:val="num" w:pos="1134"/>
        </w:tabs>
        <w:ind w:left="1134" w:hanging="283"/>
      </w:pPr>
      <w:rPr>
        <w:rFonts w:ascii="Symbol" w:hAnsi="Symbol" w:hint="default"/>
        <w:sz w:val="18"/>
        <w:szCs w:val="18"/>
      </w:rPr>
    </w:lvl>
    <w:lvl w:ilvl="4">
      <w:start w:val="1"/>
      <w:numFmt w:val="decimal"/>
      <w:lvlText w:val="%1.%2.%3.%4.%5"/>
      <w:lvlJc w:val="left"/>
      <w:pPr>
        <w:tabs>
          <w:tab w:val="num" w:pos="3764"/>
        </w:tabs>
        <w:ind w:left="3764" w:hanging="1008"/>
      </w:pPr>
    </w:lvl>
    <w:lvl w:ilvl="5">
      <w:start w:val="1"/>
      <w:numFmt w:val="decimal"/>
      <w:lvlText w:val="%1.%2.%3.%4.%5.%6"/>
      <w:lvlJc w:val="left"/>
      <w:pPr>
        <w:tabs>
          <w:tab w:val="num" w:pos="3908"/>
        </w:tabs>
        <w:ind w:left="3908" w:hanging="1152"/>
      </w:pPr>
    </w:lvl>
    <w:lvl w:ilvl="6">
      <w:start w:val="1"/>
      <w:numFmt w:val="decimal"/>
      <w:lvlText w:val="%1.%2.%3.%4.%5.%6.%7"/>
      <w:lvlJc w:val="left"/>
      <w:pPr>
        <w:tabs>
          <w:tab w:val="num" w:pos="4052"/>
        </w:tabs>
        <w:ind w:left="4052" w:hanging="1296"/>
      </w:pPr>
    </w:lvl>
    <w:lvl w:ilvl="7">
      <w:start w:val="1"/>
      <w:numFmt w:val="decimal"/>
      <w:lvlText w:val="%1.%2.%3.%4.%5.%6.%7.%8"/>
      <w:lvlJc w:val="left"/>
      <w:pPr>
        <w:tabs>
          <w:tab w:val="num" w:pos="4196"/>
        </w:tabs>
        <w:ind w:left="4196" w:hanging="1440"/>
      </w:pPr>
    </w:lvl>
    <w:lvl w:ilvl="8">
      <w:start w:val="1"/>
      <w:numFmt w:val="decimal"/>
      <w:lvlText w:val="%1.%2.%3.%4.%5.%6.%7.%8.%9"/>
      <w:lvlJc w:val="left"/>
      <w:pPr>
        <w:tabs>
          <w:tab w:val="num" w:pos="4340"/>
        </w:tabs>
        <w:ind w:left="4340" w:hanging="1584"/>
      </w:pPr>
    </w:lvl>
  </w:abstractNum>
  <w:abstractNum w:abstractNumId="15">
    <w:nsid w:val="75243559"/>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4584A"/>
    <w:rsid w:val="0074584A"/>
    <w:rsid w:val="00ED07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84A"/>
    <w:pPr>
      <w:spacing w:after="12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unhideWhenUsed/>
    <w:rsid w:val="0074584A"/>
    <w:pPr>
      <w:spacing w:after="0"/>
      <w:ind w:left="283" w:hanging="283"/>
    </w:pPr>
  </w:style>
  <w:style w:type="character" w:customStyle="1" w:styleId="ZkladntextChar">
    <w:name w:val="Základní text Char"/>
    <w:aliases w:val="subtitle2 Char1,Body Text Char1,Body Text Char Char Char Char Char Char Char Char Char Char Char Char Char Char Char Char Char Char1,Body Text Char Char Char Char1,Body Text Char Char Char Char Char Char Char Char Char1"/>
    <w:basedOn w:val="Standardnpsmoodstavce"/>
    <w:link w:val="Zkladntext"/>
    <w:locked/>
    <w:rsid w:val="0074584A"/>
    <w:rPr>
      <w:rFonts w:ascii="Arial" w:hAnsi="Arial" w:cs="Arial"/>
    </w:rPr>
  </w:style>
  <w:style w:type="paragraph" w:styleId="Zkladntext">
    <w:name w:val="Body Text"/>
    <w:aliases w:val="subtitle2,Body Text,Body Text Char Char Char Char Char Char Char Char Char Char Char Char Char Char Char Char Char,Body Text Char Char Char,Body Text Char Char Char Char Char Char Char Char,Body Text Char Char Char Char Char"/>
    <w:basedOn w:val="Normln"/>
    <w:link w:val="ZkladntextChar"/>
    <w:unhideWhenUsed/>
    <w:rsid w:val="0074584A"/>
    <w:pPr>
      <w:widowControl w:val="0"/>
      <w:tabs>
        <w:tab w:val="left" w:pos="426"/>
      </w:tabs>
      <w:spacing w:after="0"/>
      <w:ind w:right="5"/>
    </w:pPr>
    <w:rPr>
      <w:rFonts w:eastAsiaTheme="minorHAnsi" w:cs="Arial"/>
      <w:sz w:val="22"/>
      <w:szCs w:val="22"/>
      <w:lang w:eastAsia="en-US"/>
    </w:rPr>
  </w:style>
  <w:style w:type="character" w:customStyle="1" w:styleId="ZkladntextChar1">
    <w:name w:val="Základní text Char1"/>
    <w:basedOn w:val="Standardnpsmoodstavce"/>
    <w:link w:val="Zkladntext"/>
    <w:uiPriority w:val="99"/>
    <w:semiHidden/>
    <w:rsid w:val="0074584A"/>
    <w:rPr>
      <w:rFonts w:ascii="Arial" w:eastAsia="Times New Roman" w:hAnsi="Arial" w:cs="Times New Roman"/>
      <w:sz w:val="20"/>
      <w:szCs w:val="20"/>
      <w:lang w:eastAsia="cs-CZ"/>
    </w:rPr>
  </w:style>
  <w:style w:type="paragraph" w:customStyle="1" w:styleId="zkladntexttabulka">
    <w:name w:val="základní text_tabulka"/>
    <w:basedOn w:val="Zkladntext"/>
    <w:rsid w:val="0074584A"/>
    <w:pPr>
      <w:widowControl/>
      <w:tabs>
        <w:tab w:val="clear" w:pos="426"/>
      </w:tabs>
      <w:spacing w:before="40" w:after="40"/>
      <w:ind w:right="0"/>
    </w:pPr>
  </w:style>
  <w:style w:type="paragraph" w:customStyle="1" w:styleId="zkladntext-odrky">
    <w:name w:val="základní text - odrážky"/>
    <w:basedOn w:val="Zkladntext"/>
    <w:rsid w:val="0074584A"/>
    <w:pPr>
      <w:widowControl/>
      <w:numPr>
        <w:numId w:val="1"/>
      </w:numPr>
      <w:tabs>
        <w:tab w:val="clear" w:pos="426"/>
        <w:tab w:val="clear" w:pos="567"/>
        <w:tab w:val="num" w:pos="360"/>
      </w:tabs>
      <w:spacing w:before="60" w:after="60"/>
      <w:ind w:left="0" w:right="0" w:firstLine="0"/>
      <w:contextualSpacing/>
      <w:jc w:val="both"/>
    </w:pPr>
  </w:style>
  <w:style w:type="character" w:styleId="Hypertextovodkaz">
    <w:name w:val="Hyperlink"/>
    <w:basedOn w:val="Standardnpsmoodstavce"/>
    <w:uiPriority w:val="99"/>
    <w:semiHidden/>
    <w:unhideWhenUsed/>
    <w:rsid w:val="0074584A"/>
    <w:rPr>
      <w:color w:val="0000FF"/>
      <w:u w:val="single"/>
    </w:rPr>
  </w:style>
</w:styles>
</file>

<file path=word/webSettings.xml><?xml version="1.0" encoding="utf-8"?>
<w:webSettings xmlns:r="http://schemas.openxmlformats.org/officeDocument/2006/relationships" xmlns:w="http://schemas.openxmlformats.org/wordprocessingml/2006/main">
  <w:divs>
    <w:div w:id="14490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toholice.cz/aktuality-obcan/odbory-na-mestskem-urade/kancelar-tajemnika/kontaktni-informace/1-vedeni-uadu/3-mgr-ladislav-effenb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as.weinzettl@geovap.cz" TargetMode="External"/><Relationship Id="rId5" Type="http://schemas.openxmlformats.org/officeDocument/2006/relationships/hyperlink" Target="http://www.mestoholice.cz/aktuality-obcan/odbory-na-mestskem-urade/kancelar-tajemnika/kontaktni-informace/1-vedeni-uadu/3-mgr-ladislav-effenbe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2028</Words>
  <Characters>11968</Characters>
  <Application>Microsoft Office Word</Application>
  <DocSecurity>0</DocSecurity>
  <Lines>99</Lines>
  <Paragraphs>27</Paragraphs>
  <ScaleCrop>false</ScaleCrop>
  <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 Vladislav, Ing.</dc:creator>
  <cp:lastModifiedBy>Branda Vladislav, Ing.</cp:lastModifiedBy>
  <cp:revision>1</cp:revision>
  <dcterms:created xsi:type="dcterms:W3CDTF">2017-07-10T09:17:00Z</dcterms:created>
  <dcterms:modified xsi:type="dcterms:W3CDTF">2017-07-10T09:19:00Z</dcterms:modified>
</cp:coreProperties>
</file>