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321E4CAD" w14:textId="49F51BA3" w:rsidR="004D3C20" w:rsidRPr="00726B26" w:rsidRDefault="004D3C20" w:rsidP="004D3C20">
      <w:pPr>
        <w:rPr>
          <w:b/>
        </w:rPr>
      </w:pPr>
      <w:r>
        <w:rPr>
          <w:b/>
        </w:rPr>
        <w:t>Vistex Medical s.r.o.</w:t>
      </w:r>
    </w:p>
    <w:p w14:paraId="4F705AE5" w14:textId="77777777" w:rsidR="004D3C20" w:rsidRDefault="004D3C20" w:rsidP="004D3C20">
      <w:r>
        <w:t>IČ: 25381873</w:t>
      </w:r>
    </w:p>
    <w:p w14:paraId="245BD910" w14:textId="77777777" w:rsidR="004D3C20" w:rsidRPr="00512AB9" w:rsidRDefault="004D3C20" w:rsidP="004D3C20">
      <w:r>
        <w:t>DIČ: CZ25381873</w:t>
      </w:r>
    </w:p>
    <w:p w14:paraId="72A2F46E" w14:textId="77777777" w:rsidR="004D3C20" w:rsidRPr="00512AB9" w:rsidRDefault="004D3C20" w:rsidP="004D3C20">
      <w:r>
        <w:t>se sídlem</w:t>
      </w:r>
      <w:r w:rsidRPr="00512AB9">
        <w:t xml:space="preserve">: </w:t>
      </w:r>
      <w:r>
        <w:t>Pražská 440, 281 67 Stříbrná Skalice</w:t>
      </w:r>
    </w:p>
    <w:p w14:paraId="708813F3" w14:textId="551F69D7" w:rsidR="004D3C20" w:rsidRPr="00512AB9" w:rsidRDefault="004D3C20" w:rsidP="004D3C20">
      <w:r>
        <w:t>zastoupena</w:t>
      </w:r>
      <w:r w:rsidRPr="00512AB9">
        <w:t xml:space="preserve">: </w:t>
      </w:r>
      <w:r w:rsidR="00C462CF">
        <w:t>XXXXXXXXXXXXX na základě plné moci</w:t>
      </w:r>
    </w:p>
    <w:p w14:paraId="2F723203" w14:textId="77777777" w:rsidR="004D3C20" w:rsidRPr="00512AB9" w:rsidRDefault="004D3C20" w:rsidP="004D3C20">
      <w:r w:rsidRPr="00512AB9">
        <w:t xml:space="preserve">bankovní spojení: </w:t>
      </w:r>
      <w:r>
        <w:t>komerční banka</w:t>
      </w:r>
    </w:p>
    <w:p w14:paraId="4AF563BF" w14:textId="77777777" w:rsidR="004D3C20" w:rsidRPr="00512AB9" w:rsidRDefault="004D3C20" w:rsidP="004D3C20">
      <w:r w:rsidRPr="00512AB9">
        <w:t xml:space="preserve">číslo účtu: </w:t>
      </w:r>
      <w:r>
        <w:t>123-6390160217/0100</w:t>
      </w:r>
    </w:p>
    <w:p w14:paraId="43007B3E" w14:textId="339A0A18" w:rsidR="004D3C20" w:rsidRPr="00512AB9" w:rsidRDefault="004D3C20" w:rsidP="004D3C20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Městským </w:t>
      </w:r>
      <w:r w:rsidRPr="00652864">
        <w:t>soudem v</w:t>
      </w:r>
      <w:r>
        <w:t xml:space="preserve"> Praze</w:t>
      </w:r>
      <w:r w:rsidRPr="00652864">
        <w:t xml:space="preserve"> oddíl </w:t>
      </w:r>
      <w:r>
        <w:t>C</w:t>
      </w:r>
      <w:r w:rsidRPr="00652864">
        <w:t xml:space="preserve"> vložka </w:t>
      </w:r>
      <w:r>
        <w:t>317059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FDC2598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</w:t>
      </w:r>
      <w:r w:rsidR="00417777">
        <w:t>požadavky</w:t>
      </w:r>
      <w:r>
        <w:t xml:space="preserve"> k</w:t>
      </w:r>
      <w:r w:rsidR="00F76477">
        <w:t> průzkumu trhu</w:t>
      </w:r>
      <w:r>
        <w:t xml:space="preserve"> vyhlášen</w:t>
      </w:r>
      <w:r w:rsidR="00EF3B64">
        <w:t>ému</w:t>
      </w:r>
      <w:r>
        <w:t xml:space="preserve"> Kupujícím pod názvem </w:t>
      </w:r>
      <w:r w:rsidRPr="00F76477">
        <w:rPr>
          <w:b/>
          <w:bCs/>
        </w:rPr>
        <w:t>„</w:t>
      </w:r>
      <w:r w:rsidR="00F76477" w:rsidRPr="00F76477">
        <w:rPr>
          <w:b/>
          <w:bCs/>
        </w:rPr>
        <w:t>Sterilizační koše</w:t>
      </w:r>
      <w:r w:rsidRPr="00F76477">
        <w:rPr>
          <w:b/>
          <w:bCs/>
        </w:rPr>
        <w:t>“</w:t>
      </w:r>
      <w:r>
        <w:t>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3F8E878D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0E9E2BCF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</w:t>
      </w:r>
      <w:r w:rsidR="00F96FA5">
        <w:t xml:space="preserve"> a </w:t>
      </w:r>
      <w:r>
        <w:t>dle specifikace uvedené v příloze č. 1 této smlouvy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52D4853B" w14:textId="77777777" w:rsidR="004D3C20" w:rsidRPr="00D859C2" w:rsidRDefault="004D3C20" w:rsidP="004D3C20">
      <w:pPr>
        <w:pStyle w:val="Odstavecsmlouvy"/>
        <w:numPr>
          <w:ilvl w:val="1"/>
          <w:numId w:val="1"/>
        </w:numPr>
      </w:pPr>
      <w:r w:rsidRPr="00D859C2">
        <w:t xml:space="preserve">Prodávající se zavazuje dodat Kupujícímu </w:t>
      </w:r>
      <w:r w:rsidRPr="005F795F">
        <w:rPr>
          <w:b/>
          <w:bCs/>
        </w:rPr>
        <w:t>25 ks koš sterilizační</w:t>
      </w:r>
      <w:r>
        <w:t xml:space="preserve"> </w:t>
      </w:r>
      <w:r w:rsidRPr="00D859C2">
        <w:rPr>
          <w:b/>
        </w:rPr>
        <w:t>výrobce</w:t>
      </w:r>
      <w:r>
        <w:rPr>
          <w:b/>
        </w:rPr>
        <w:t xml:space="preserve"> Getinge Czech Republic, s.r.o.</w:t>
      </w:r>
      <w:r w:rsidRPr="00D859C2">
        <w:rPr>
          <w:i/>
        </w:rPr>
        <w:t xml:space="preserve">, </w:t>
      </w:r>
      <w:r w:rsidRPr="00D859C2">
        <w:t>jehož přesná technická specifikace včetně příslušenství je obsažena v </w:t>
      </w:r>
      <w:r w:rsidRPr="00094B12">
        <w:t>příloze č. 1</w:t>
      </w:r>
      <w:r w:rsidRPr="00D859C2">
        <w:t xml:space="preserve"> této smlouvy tvořící nedílnou součást této smlouvy</w:t>
      </w:r>
      <w:r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0A3B1242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5F795F">
        <w:t xml:space="preserve">(pokud je k výrobku dodáván)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148865F3" w14:textId="77777777" w:rsidR="00D83E37" w:rsidRPr="00D859C2" w:rsidRDefault="00D83E37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lastRenderedPageBreak/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6B55E70B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F76477">
        <w:rPr>
          <w:b/>
        </w:rPr>
        <w:t>6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1CFF71B1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F76477">
        <w:t>Centrální sterilizace, Fakultní nemocnice Brno, Jihlavská 20, 625 00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2E334254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C462CF">
        <w:t>XXXXXXXXXX</w:t>
      </w:r>
      <w:r w:rsidR="00DE3A3F" w:rsidRPr="00D859C2">
        <w:t xml:space="preserve">, tel.: </w:t>
      </w:r>
      <w:r w:rsidR="00C462CF">
        <w:t>XXXXXXXXXX</w:t>
      </w:r>
      <w:r w:rsidR="00DE3A3F" w:rsidRPr="00D859C2">
        <w:t xml:space="preserve"> a písemně na e-mail: </w:t>
      </w:r>
      <w:r w:rsidR="00C462CF">
        <w:t>XXXXXXXXXXXXX</w:t>
      </w:r>
      <w:r w:rsidR="00F76477" w:rsidRPr="00C462CF">
        <w:t>@fnbrno.cz</w:t>
      </w:r>
      <w:r w:rsidR="00F76477">
        <w:t xml:space="preserve"> a písemně na email na oddělení MTZ, FN Brno paní </w:t>
      </w:r>
      <w:r w:rsidR="00C462CF">
        <w:t>XXXXXXXXXX</w:t>
      </w:r>
      <w:r w:rsidR="00F76477">
        <w:t xml:space="preserve"> e-mail: </w:t>
      </w:r>
      <w:r w:rsidR="00C462CF">
        <w:t>XXXXXXXXX</w:t>
      </w:r>
      <w:r w:rsidR="00F76477" w:rsidRPr="00C462CF">
        <w:t>@fnbrno.cz</w:t>
      </w:r>
      <w:r w:rsidR="00F76477"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Kupující je povinen předat Prodávajícímu místa provádění Montáže ve stavu umožňujícím splnění povinností Prodávajícího sjednaných v této smlouvě, o čemž smluvní strany vyhotoví písemný předávací protokol, jehož podpisem Prodávající </w:t>
      </w:r>
      <w:r>
        <w:lastRenderedPageBreak/>
        <w:t>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4D3C20" w:rsidRPr="005B49AA" w14:paraId="6B619276" w14:textId="77777777" w:rsidTr="004D3C20">
        <w:tc>
          <w:tcPr>
            <w:tcW w:w="4575" w:type="dxa"/>
            <w:shd w:val="clear" w:color="auto" w:fill="auto"/>
          </w:tcPr>
          <w:p w14:paraId="77C2CFA8" w14:textId="7FB05D16" w:rsidR="004D3C20" w:rsidRPr="005B49AA" w:rsidRDefault="004D3C20" w:rsidP="004D3C2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07A54C02" w14:textId="3632FC6D" w:rsidR="004D3C20" w:rsidRPr="005B49AA" w:rsidRDefault="004D3C20" w:rsidP="004D3C2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87 500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D3C20" w:rsidRPr="005B49AA" w14:paraId="33392E42" w14:textId="77777777" w:rsidTr="004D3C20">
        <w:tc>
          <w:tcPr>
            <w:tcW w:w="4575" w:type="dxa"/>
            <w:shd w:val="clear" w:color="auto" w:fill="auto"/>
          </w:tcPr>
          <w:p w14:paraId="193C9961" w14:textId="7B955998" w:rsidR="004D3C20" w:rsidRPr="005B49AA" w:rsidRDefault="004D3C20" w:rsidP="004D3C2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3788" w:type="dxa"/>
            <w:shd w:val="clear" w:color="auto" w:fill="auto"/>
          </w:tcPr>
          <w:p w14:paraId="44D4CFEA" w14:textId="78F18927" w:rsidR="004D3C20" w:rsidRPr="005B49AA" w:rsidRDefault="004D3C20" w:rsidP="004D3C2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18 375 </w:t>
            </w:r>
            <w:r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4D3C20" w:rsidRPr="005B49AA" w14:paraId="0DBFF53F" w14:textId="77777777" w:rsidTr="004D3C20">
        <w:tc>
          <w:tcPr>
            <w:tcW w:w="4575" w:type="dxa"/>
            <w:shd w:val="clear" w:color="auto" w:fill="auto"/>
          </w:tcPr>
          <w:p w14:paraId="33B0632F" w14:textId="3B123FBD" w:rsidR="004D3C20" w:rsidRPr="005B49AA" w:rsidRDefault="004D3C20" w:rsidP="004D3C2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10D9C750" w14:textId="725EFD0E" w:rsidR="004D3C20" w:rsidRPr="005B49AA" w:rsidRDefault="004D3C20" w:rsidP="004D3C2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105 875 </w:t>
            </w:r>
            <w:r w:rsidRPr="005B49AA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</w:t>
      </w:r>
      <w:r w:rsidR="006F6676">
        <w:lastRenderedPageBreak/>
        <w:t xml:space="preserve">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lastRenderedPageBreak/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</w:t>
      </w:r>
      <w:r>
        <w:lastRenderedPageBreak/>
        <w:t xml:space="preserve">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0EED2E73" w14:textId="77777777" w:rsidR="00B86E9D" w:rsidRPr="00D859C2" w:rsidRDefault="00B86E9D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09524496" w14:textId="77777777" w:rsidR="00B86E9D" w:rsidRPr="00D859C2" w:rsidRDefault="00B86E9D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7A9C452" w14:textId="77777777" w:rsidR="00B86E9D" w:rsidRDefault="00B86E9D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lastRenderedPageBreak/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440E3283" w14:textId="77777777" w:rsidR="00B86E9D" w:rsidRDefault="00B86E9D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lastRenderedPageBreak/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223512D" w:rsidR="00327588" w:rsidRPr="00D859C2" w:rsidRDefault="00F76477" w:rsidP="00094B12">
      <w:pPr>
        <w:pStyle w:val="Odstavecsmlouvy"/>
        <w:rPr>
          <w:snapToGrid w:val="0"/>
        </w:rPr>
      </w:pPr>
      <w:r w:rsidRPr="00F76477">
        <w:rPr>
          <w:snapToGrid w:val="0"/>
        </w:rPr>
        <w:t xml:space="preserve">Tato </w:t>
      </w:r>
      <w:r w:rsidR="00CC12D2" w:rsidRPr="00F76477">
        <w:rPr>
          <w:snapToGrid w:val="0"/>
        </w:rPr>
        <w:t xml:space="preserve">smlouva je sepsána ve </w:t>
      </w:r>
      <w:r w:rsidR="00AF0406" w:rsidRPr="00F76477">
        <w:rPr>
          <w:snapToGrid w:val="0"/>
        </w:rPr>
        <w:t>dvou</w:t>
      </w:r>
      <w:r w:rsidR="00CC12D2" w:rsidRPr="00F76477">
        <w:rPr>
          <w:snapToGrid w:val="0"/>
        </w:rPr>
        <w:t xml:space="preserve"> vyhotoveních stejné platnosti a závaznosti, </w:t>
      </w:r>
      <w:r w:rsidR="00160D16" w:rsidRPr="00F76477">
        <w:rPr>
          <w:snapToGrid w:val="0"/>
        </w:rPr>
        <w:t>přičemž každá smluvní strana obdrží jedno vyhotovení</w:t>
      </w:r>
      <w:r w:rsidRPr="00F76477">
        <w:rPr>
          <w:snapToGrid w:val="0"/>
        </w:rPr>
        <w:t>.</w:t>
      </w:r>
      <w:r w:rsidR="00160D16" w:rsidRPr="00F76477">
        <w:rPr>
          <w:snapToGrid w:val="0"/>
        </w:rPr>
        <w:t xml:space="preserve"> </w:t>
      </w:r>
      <w:r w:rsidR="00A51E29" w:rsidRPr="00F76477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40E24">
        <w:tc>
          <w:tcPr>
            <w:tcW w:w="3718" w:type="dxa"/>
            <w:shd w:val="clear" w:color="auto" w:fill="auto"/>
          </w:tcPr>
          <w:p w14:paraId="69B3B101" w14:textId="37EF09F6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140E24">
              <w:rPr>
                <w:sz w:val="22"/>
                <w:szCs w:val="22"/>
              </w:rPr>
              <w:t xml:space="preserve">e Stříbrné Skalici </w:t>
            </w:r>
            <w:r w:rsidRPr="001150C5">
              <w:rPr>
                <w:sz w:val="22"/>
                <w:szCs w:val="22"/>
              </w:rPr>
              <w:t>dne</w:t>
            </w:r>
            <w:r w:rsidR="00140E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40E24">
        <w:tc>
          <w:tcPr>
            <w:tcW w:w="3718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140E24" w:rsidRPr="00D722DC" w14:paraId="1CC101F5" w14:textId="77777777" w:rsidTr="00140E24"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14:paraId="7D38A6E4" w14:textId="77777777" w:rsidR="00140E24" w:rsidRPr="001150C5" w:rsidRDefault="00140E24" w:rsidP="00140E2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Vistex Medical, s.r.o.</w:t>
            </w:r>
          </w:p>
          <w:p w14:paraId="17D23793" w14:textId="5C610AD7" w:rsidR="00140E24" w:rsidRPr="00D722DC" w:rsidRDefault="001B4441" w:rsidP="00140E2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</w:t>
            </w:r>
          </w:p>
        </w:tc>
        <w:tc>
          <w:tcPr>
            <w:tcW w:w="998" w:type="dxa"/>
            <w:shd w:val="clear" w:color="auto" w:fill="auto"/>
          </w:tcPr>
          <w:p w14:paraId="76AACDED" w14:textId="77777777" w:rsidR="00140E24" w:rsidRPr="00D722DC" w:rsidRDefault="00140E24" w:rsidP="00140E2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140E24" w:rsidRPr="00D722DC" w:rsidRDefault="00140E24" w:rsidP="00140E2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140E24" w:rsidRPr="001150C5" w:rsidRDefault="00140E24" w:rsidP="00140E2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tbl>
      <w:tblPr>
        <w:tblW w:w="9062" w:type="dxa"/>
        <w:tblLook w:val="04A0" w:firstRow="1" w:lastRow="0" w:firstColumn="1" w:lastColumn="0" w:noHBand="0" w:noVBand="1"/>
      </w:tblPr>
      <w:tblGrid>
        <w:gridCol w:w="4620"/>
        <w:gridCol w:w="1780"/>
        <w:gridCol w:w="2120"/>
        <w:gridCol w:w="984"/>
      </w:tblGrid>
      <w:tr w:rsidR="005E5326" w:rsidRPr="005E5326" w14:paraId="235B6A4C" w14:textId="77777777" w:rsidTr="00B86E9D">
        <w:trPr>
          <w:trHeight w:val="28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398EED38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Výběrové řízení: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3B2F5EFA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PT</w:t>
            </w:r>
          </w:p>
        </w:tc>
      </w:tr>
      <w:tr w:rsidR="005E5326" w:rsidRPr="005E5326" w14:paraId="14C5E373" w14:textId="77777777" w:rsidTr="00B86E9D">
        <w:trPr>
          <w:trHeight w:val="288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0509B869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Číslo: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60F43C9B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035/ 2024</w:t>
            </w:r>
          </w:p>
        </w:tc>
      </w:tr>
      <w:tr w:rsidR="005E5326" w:rsidRPr="005E5326" w14:paraId="6D981543" w14:textId="77777777" w:rsidTr="00B86E9D">
        <w:trPr>
          <w:trHeight w:val="288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06B35DCA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Název: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2A21CBE7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Sterilizační koš</w:t>
            </w:r>
          </w:p>
        </w:tc>
      </w:tr>
      <w:tr w:rsidR="005E5326" w:rsidRPr="005E5326" w14:paraId="5C96B2B2" w14:textId="77777777" w:rsidTr="00B86E9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7E749BF4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Klinika: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bottom"/>
            <w:hideMark/>
          </w:tcPr>
          <w:p w14:paraId="5A8FE024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CS - NBP</w:t>
            </w:r>
          </w:p>
        </w:tc>
      </w:tr>
      <w:tr w:rsidR="005E5326" w:rsidRPr="005E5326" w14:paraId="09B0A7DE" w14:textId="77777777" w:rsidTr="00B86E9D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4CE7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lang w:val="en-US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D0586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A3B9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B2F9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E5326" w:rsidRPr="005E5326" w14:paraId="16CD1522" w14:textId="77777777" w:rsidTr="00B86E9D">
        <w:trPr>
          <w:trHeight w:val="28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5924A5F9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Dodavatel: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6E002660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Vistex Medical, s.r.o.</w:t>
            </w:r>
          </w:p>
        </w:tc>
      </w:tr>
      <w:tr w:rsidR="005E5326" w:rsidRPr="005E5326" w14:paraId="085EC925" w14:textId="77777777" w:rsidTr="00B86E9D">
        <w:trPr>
          <w:trHeight w:val="288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54B06E53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Výrobce: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0F85501B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Getinge</w:t>
            </w:r>
          </w:p>
        </w:tc>
      </w:tr>
      <w:tr w:rsidR="005E5326" w:rsidRPr="005E5326" w14:paraId="48B19F66" w14:textId="77777777" w:rsidTr="00B86E9D">
        <w:trPr>
          <w:trHeight w:val="288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37573FCC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Výrobní model: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29374728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</w:tr>
      <w:tr w:rsidR="005E5326" w:rsidRPr="005E5326" w14:paraId="75C809B5" w14:textId="77777777" w:rsidTr="00B86E9D">
        <w:trPr>
          <w:trHeight w:val="336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D3EF"/>
            <w:noWrap/>
            <w:vAlign w:val="bottom"/>
            <w:hideMark/>
          </w:tcPr>
          <w:p w14:paraId="613CEC09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Kód KZT</w:t>
            </w:r>
            <w:r w:rsidRPr="005E5326">
              <w:rPr>
                <w:rFonts w:ascii="Aptos Narrow" w:hAnsi="Aptos Narrow" w:cs="Times New Roman"/>
                <w:b/>
                <w:bCs/>
                <w:color w:val="000000"/>
                <w:vertAlign w:val="superscript"/>
                <w:lang w:val="en-US" w:eastAsia="en-US"/>
              </w:rPr>
              <w:t>1</w:t>
            </w: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: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79380941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ostatní</w:t>
            </w:r>
          </w:p>
        </w:tc>
      </w:tr>
      <w:tr w:rsidR="005E5326" w:rsidRPr="005E5326" w14:paraId="53533F75" w14:textId="77777777" w:rsidTr="00B86E9D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51C7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FDDC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AE1A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D25D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E5326" w:rsidRPr="005E5326" w14:paraId="5AD40F89" w14:textId="77777777" w:rsidTr="00B86E9D">
        <w:trPr>
          <w:trHeight w:val="780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D3EF"/>
            <w:vAlign w:val="center"/>
            <w:hideMark/>
          </w:tcPr>
          <w:p w14:paraId="3BB64724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Zadavatel upozorňuje, že v případě číselně vyjádřených technických parametrů je možné se od nich odchýlit o +/- 10 %, pokud nejsou blíže specifikovány, např. min., max., interval hodnot.</w:t>
            </w:r>
          </w:p>
        </w:tc>
      </w:tr>
      <w:tr w:rsidR="005E5326" w:rsidRPr="005E5326" w14:paraId="49A4317E" w14:textId="77777777" w:rsidTr="00B86E9D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E459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8DB2F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465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0D4E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E5326" w:rsidRPr="005E5326" w14:paraId="031383C0" w14:textId="77777777" w:rsidTr="00B86E9D">
        <w:trPr>
          <w:trHeight w:val="58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D3EF"/>
            <w:noWrap/>
            <w:vAlign w:val="center"/>
            <w:hideMark/>
          </w:tcPr>
          <w:p w14:paraId="3B0B858B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Technická specifikace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440EE602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Vyhovuje (ano / ne)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D3EF"/>
            <w:vAlign w:val="center"/>
            <w:hideMark/>
          </w:tcPr>
          <w:p w14:paraId="0A9AC3A1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Poznámka dodavatele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D3EF"/>
            <w:vAlign w:val="center"/>
            <w:hideMark/>
          </w:tcPr>
          <w:p w14:paraId="6E4FB65A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b/>
                <w:bCs/>
                <w:color w:val="000000"/>
                <w:lang w:val="en-US" w:eastAsia="en-US"/>
              </w:rPr>
              <w:t>Možnost ověření v nabídce</w:t>
            </w:r>
          </w:p>
        </w:tc>
      </w:tr>
      <w:tr w:rsidR="005E5326" w:rsidRPr="005E5326" w14:paraId="32DB2D04" w14:textId="77777777" w:rsidTr="00B86E9D">
        <w:trPr>
          <w:trHeight w:val="660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bottom"/>
            <w:hideMark/>
          </w:tcPr>
          <w:p w14:paraId="1EB20357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sterilizační koš - 25 ks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E36E8FD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ano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0B950E3A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704F7227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ano</w:t>
            </w:r>
          </w:p>
        </w:tc>
      </w:tr>
      <w:tr w:rsidR="005E5326" w:rsidRPr="005E5326" w14:paraId="26115D5C" w14:textId="77777777" w:rsidTr="00B86E9D">
        <w:trPr>
          <w:trHeight w:val="45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bottom"/>
            <w:hideMark/>
          </w:tcPr>
          <w:p w14:paraId="1D5ACD32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provedení nerez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3F7EA95E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ano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9344972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65F2937F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ano</w:t>
            </w:r>
          </w:p>
        </w:tc>
      </w:tr>
      <w:tr w:rsidR="005E5326" w:rsidRPr="005E5326" w14:paraId="50FC8B3E" w14:textId="77777777" w:rsidTr="00B86E9D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bottom"/>
            <w:hideMark/>
          </w:tcPr>
          <w:p w14:paraId="03374D52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stohovatelný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B9DED6C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ano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4AA2FA3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3FF2643F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ne</w:t>
            </w:r>
          </w:p>
        </w:tc>
      </w:tr>
      <w:tr w:rsidR="005E5326" w:rsidRPr="005E5326" w14:paraId="705B8B99" w14:textId="77777777" w:rsidTr="00B86E9D">
        <w:trPr>
          <w:trHeight w:val="46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bottom"/>
            <w:hideMark/>
          </w:tcPr>
          <w:p w14:paraId="0376B8DF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rozměry  : (585 x 395 x 195 )mm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C9EF356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ano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8EA3083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4B53FE9C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ano</w:t>
            </w:r>
          </w:p>
        </w:tc>
      </w:tr>
      <w:tr w:rsidR="005E5326" w:rsidRPr="005E5326" w14:paraId="15A5E924" w14:textId="77777777" w:rsidTr="00B86E9D">
        <w:trPr>
          <w:trHeight w:val="79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bottom"/>
            <w:hideMark/>
          </w:tcPr>
          <w:p w14:paraId="03076020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lang w:val="en-US" w:eastAsia="en-US"/>
              </w:rPr>
              <w:t>kompatibilní s vozíky a sterilizátory CS FN Brno ( BMT HP6612, 610l)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CFF62B2" w14:textId="77777777" w:rsidR="005E5326" w:rsidRPr="005E5326" w:rsidRDefault="005E5326" w:rsidP="005E5326">
            <w:pPr>
              <w:spacing w:line="240" w:lineRule="auto"/>
              <w:jc w:val="center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C7A33E9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77265C0A" w14:textId="77777777" w:rsidR="005E5326" w:rsidRPr="005E5326" w:rsidRDefault="005E5326" w:rsidP="005E5326">
            <w:pPr>
              <w:spacing w:line="240" w:lineRule="auto"/>
              <w:jc w:val="left"/>
              <w:rPr>
                <w:rFonts w:ascii="Aptos Narrow" w:hAnsi="Aptos Narrow" w:cs="Times New Roman"/>
                <w:color w:val="275317"/>
                <w:lang w:val="en-US" w:eastAsia="en-US"/>
              </w:rPr>
            </w:pPr>
            <w:r w:rsidRPr="005E5326">
              <w:rPr>
                <w:rFonts w:ascii="Aptos Narrow" w:hAnsi="Aptos Narrow" w:cs="Times New Roman"/>
                <w:color w:val="275317"/>
                <w:lang w:val="en-US" w:eastAsia="en-US"/>
              </w:rPr>
              <w:t> </w:t>
            </w:r>
          </w:p>
        </w:tc>
      </w:tr>
    </w:tbl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704DCD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26F86" w14:textId="77777777" w:rsidR="0000492A" w:rsidRDefault="0000492A" w:rsidP="00FF18EB">
      <w:pPr>
        <w:spacing w:line="240" w:lineRule="auto"/>
      </w:pPr>
      <w:r>
        <w:separator/>
      </w:r>
    </w:p>
    <w:p w14:paraId="3AFD2C64" w14:textId="77777777" w:rsidR="0000492A" w:rsidRDefault="0000492A"/>
  </w:endnote>
  <w:endnote w:type="continuationSeparator" w:id="0">
    <w:p w14:paraId="21B68A23" w14:textId="77777777" w:rsidR="0000492A" w:rsidRDefault="0000492A" w:rsidP="00FF18EB">
      <w:pPr>
        <w:spacing w:line="240" w:lineRule="auto"/>
      </w:pPr>
      <w:r>
        <w:continuationSeparator/>
      </w:r>
    </w:p>
    <w:p w14:paraId="72DE1204" w14:textId="77777777" w:rsidR="0000492A" w:rsidRDefault="00004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C346B" w:rsidRPr="008C346B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09B74" w14:textId="77777777" w:rsidR="0000492A" w:rsidRDefault="0000492A" w:rsidP="00FF18EB">
      <w:pPr>
        <w:spacing w:line="240" w:lineRule="auto"/>
      </w:pPr>
      <w:r>
        <w:separator/>
      </w:r>
    </w:p>
    <w:p w14:paraId="7BB87459" w14:textId="77777777" w:rsidR="0000492A" w:rsidRDefault="0000492A"/>
  </w:footnote>
  <w:footnote w:type="continuationSeparator" w:id="0">
    <w:p w14:paraId="39890FF8" w14:textId="77777777" w:rsidR="0000492A" w:rsidRDefault="0000492A" w:rsidP="00FF18EB">
      <w:pPr>
        <w:spacing w:line="240" w:lineRule="auto"/>
      </w:pPr>
      <w:r>
        <w:continuationSeparator/>
      </w:r>
    </w:p>
    <w:p w14:paraId="5A366D57" w14:textId="77777777" w:rsidR="0000492A" w:rsidRDefault="00004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7FCA3" w14:textId="6DD0D693" w:rsidR="00AC4C01" w:rsidRDefault="00AC4C01">
    <w:pPr>
      <w:pStyle w:val="Zhlav"/>
    </w:pPr>
    <w:r>
      <w:t xml:space="preserve">                                                                                                                     KP/1853/2024/La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96042">
    <w:abstractNumId w:val="5"/>
  </w:num>
  <w:num w:numId="2" w16cid:durableId="2012371636">
    <w:abstractNumId w:val="5"/>
  </w:num>
  <w:num w:numId="3" w16cid:durableId="354423058">
    <w:abstractNumId w:val="9"/>
  </w:num>
  <w:num w:numId="4" w16cid:durableId="867332547">
    <w:abstractNumId w:val="6"/>
  </w:num>
  <w:num w:numId="5" w16cid:durableId="813986265">
    <w:abstractNumId w:val="1"/>
  </w:num>
  <w:num w:numId="6" w16cid:durableId="1526362179">
    <w:abstractNumId w:val="4"/>
  </w:num>
  <w:num w:numId="7" w16cid:durableId="1306080635">
    <w:abstractNumId w:val="10"/>
  </w:num>
  <w:num w:numId="8" w16cid:durableId="229460209">
    <w:abstractNumId w:val="3"/>
  </w:num>
  <w:num w:numId="9" w16cid:durableId="920017953">
    <w:abstractNumId w:val="7"/>
  </w:num>
  <w:num w:numId="10" w16cid:durableId="1461073307">
    <w:abstractNumId w:val="8"/>
  </w:num>
  <w:num w:numId="11" w16cid:durableId="1095787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4887264">
    <w:abstractNumId w:val="5"/>
  </w:num>
  <w:num w:numId="13" w16cid:durableId="1464035781">
    <w:abstractNumId w:val="0"/>
  </w:num>
  <w:num w:numId="14" w16cid:durableId="109517447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0492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0E24"/>
    <w:rsid w:val="00141E2D"/>
    <w:rsid w:val="00142BD2"/>
    <w:rsid w:val="001470F0"/>
    <w:rsid w:val="0014717B"/>
    <w:rsid w:val="00154F85"/>
    <w:rsid w:val="00160D16"/>
    <w:rsid w:val="001725F8"/>
    <w:rsid w:val="001762E5"/>
    <w:rsid w:val="00181B85"/>
    <w:rsid w:val="00182640"/>
    <w:rsid w:val="00183226"/>
    <w:rsid w:val="00183727"/>
    <w:rsid w:val="00185F96"/>
    <w:rsid w:val="001874D4"/>
    <w:rsid w:val="00196288"/>
    <w:rsid w:val="001A3D28"/>
    <w:rsid w:val="001B4441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963AF"/>
    <w:rsid w:val="003A1056"/>
    <w:rsid w:val="003D0A25"/>
    <w:rsid w:val="003D134A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17777"/>
    <w:rsid w:val="0042712C"/>
    <w:rsid w:val="00427E17"/>
    <w:rsid w:val="00431845"/>
    <w:rsid w:val="004453FF"/>
    <w:rsid w:val="0044678A"/>
    <w:rsid w:val="00454AF4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D3C20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E5326"/>
    <w:rsid w:val="005F53C1"/>
    <w:rsid w:val="005F5EEB"/>
    <w:rsid w:val="005F795F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4DCD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36F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50B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D50E9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422DC"/>
    <w:rsid w:val="00A51741"/>
    <w:rsid w:val="00A51E29"/>
    <w:rsid w:val="00A52F13"/>
    <w:rsid w:val="00A55D46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4C01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6E9D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62CF"/>
    <w:rsid w:val="00C61AD5"/>
    <w:rsid w:val="00C61C6C"/>
    <w:rsid w:val="00C65D56"/>
    <w:rsid w:val="00C7138F"/>
    <w:rsid w:val="00C71D12"/>
    <w:rsid w:val="00C73746"/>
    <w:rsid w:val="00C76A4B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111B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3E37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3B64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76477"/>
    <w:rsid w:val="00F8343D"/>
    <w:rsid w:val="00F86F9D"/>
    <w:rsid w:val="00F91A23"/>
    <w:rsid w:val="00F958D2"/>
    <w:rsid w:val="00F96C73"/>
    <w:rsid w:val="00F96FA5"/>
    <w:rsid w:val="00F97FE0"/>
    <w:rsid w:val="00FB373A"/>
    <w:rsid w:val="00FB43BE"/>
    <w:rsid w:val="00FB57CC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00FF210E"/>
    <w:rsid w:val="47DFB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7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BBD53-CB52-4621-A435-D633888DA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D6364-D2AD-4AEF-BF6A-A89F311A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4032</Words>
  <Characters>23789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Láníčková Kateřina</cp:lastModifiedBy>
  <cp:revision>4</cp:revision>
  <cp:lastPrinted>2022-05-10T08:07:00Z</cp:lastPrinted>
  <dcterms:created xsi:type="dcterms:W3CDTF">2024-05-29T07:29:00Z</dcterms:created>
  <dcterms:modified xsi:type="dcterms:W3CDTF">2024-05-29T07:31:00Z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