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nájmu prostor sloužících k podnikání č. 713/2019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uzavřená podle § 2302 a násl. z. č. 89/2012 Sb. občanský zákoník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Smluvní strany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83" w:val="left"/>
        </w:tabs>
        <w:bidi w:val="0"/>
        <w:spacing w:before="0" w:after="0" w:line="240" w:lineRule="auto"/>
        <w:ind w:left="0" w:right="0" w:firstLine="6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Pronajímatel: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2840" w:right="0" w:firstLine="2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Bezručova 4219, 430 03 Chomutov zastoupený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84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smluvních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70889988 DIČ: CZ 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Bank. spojení: KB Chomutov, číslo účtu: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číslo 13052.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28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pronajímatel)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83" w:val="left"/>
        </w:tabs>
        <w:bidi w:val="0"/>
        <w:spacing w:before="0" w:after="0" w:line="240" w:lineRule="auto"/>
        <w:ind w:left="0" w:right="0" w:firstLine="6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Nájemce: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Ronnex Group,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8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Patočkova 2386, Praha 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024 92 245 DIČ: CZ02492245 bankovní spojení: KB a. s.</w:t>
      </w:r>
      <w:r>
        <w:rPr>
          <w:rFonts w:ascii="Times New Roman" w:eastAsia="Times New Roman" w:hAnsi="Times New Roman" w:cs="Times New Roman"/>
          <w:color w:val="579D1C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pobočka Chomutov číslo účtu: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 Ronnex Group, s.r.o. je zapsána v obchodním rejstříku Městského soudu v Praze, oddíl C, vložka č. 218865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9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nájemce)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(společně také dále jen „smluvní strany“)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A) Po vzájemné dohodě obou smluvních stran dochází od 01.06.2024 ke změně v článku II. Úvodní ustanovení, v článku III. Předmět nájmu v bodě č. 1, v článku V. Cena nájmu smlouvy č. 713/2019 (dále jen „smlouva“).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Mění se čl. II. smlouvy, a to takto: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220" w:right="0" w:firstLine="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 má právo hospodařit s majetkem státu provozní budovou v Chomutově, ul. Bezručova č. p. 4219, k. ú. Chomutov II, která byla vystavěna jako administrativní budova s kancelářskými prostorami. Předmětem nájmu jsou nebytové prostory umístěné v objektu dílen dvůr – jih označené D001, D002, D003, D015, D016 a D017 o celkové výměře 490,37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a parkovací plochy o celkové výměře 162,02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Mění se čl. III. Bod 1. smlouvy, a to takto:</w:t>
      </w:r>
      <w:bookmarkEnd w:id="6"/>
      <w:bookmarkEnd w:id="7"/>
      <w:bookmarkEnd w:id="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Pronajímatel touto smlouvou přenechává nájemci za úplatu do užívání nebytové prostory označené D001, D002, D003, D015, D016 a D017 o celkové výměře 490,37 m2 a parkovací plochy o celkové výměře 162,02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Mění se čl. V. smlouvy, a to takto: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 Cena nájmu</w:t>
      </w:r>
    </w:p>
    <w:tbl>
      <w:tblPr>
        <w:tblOverlap w:val="never"/>
        <w:jc w:val="left"/>
        <w:tblLayout w:type="fixed"/>
      </w:tblPr>
      <w:tblGrid>
        <w:gridCol w:w="3341"/>
        <w:gridCol w:w="974"/>
        <w:gridCol w:w="950"/>
        <w:gridCol w:w="1190"/>
        <w:gridCol w:w="1752"/>
      </w:tblGrid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jednotková cena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ročně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měsíčně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pronajatá plocha nebytových prostor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399,95 m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448,00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179 178,00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14 932,00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pronajatá plocha kanceláří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90,42 m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66 549,00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5 546,00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pronajatá venkovní betonová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162,02 m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37 265,00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3 105,00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roční náklady na teplo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459,51 m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79 956,00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6 663,00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roční náklady na vodné a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4 498,00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375,00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stálé poplatky za tel. ústřednu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40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hovorné dle skutečnosti</w:t>
              <w:tab/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spotřeba el. energie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33 936,00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2 828,00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Likvidace komunálního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100,00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402 582,00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33 549,00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nájmu a služby s nájmem spojené budou zdaňovány příslušnou sazbou DPH dle zák. č. 235/2004 Sb. o DPH v platném znění.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Nájemné pro rok 2025 a dále se bude každoročně zvyšovat o částku odpovídající kladné roční míře inflace za předcházející rok měřené indexem spotřebitelských cen dle Českého statistického úřadu.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nabývá platnosti dnem jejího podpisu poslední ze smluvních stran a účinnosti zveřejněním v Registru smluv, pokud této účinnosti dle příslušných ustanovení dodatku nenabude později.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nepovažují žádné ustanovení dodatku za obchodní tajemství.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č.3 je vyhotoven ve čtyřech stejnopisech a každá smluvní strana obdrží po dvou vyhotoveních.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o nájmu prostor sloužících k podnikání č. 713/2019 zůstávají beze změny.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560" w:left="1345" w:right="1376" w:bottom="1614" w:header="1132" w:footer="1186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8" w:left="0" w:right="0" w:bottom="135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302" w:val="lef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t xml:space="preserve"> pronajímatel 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923" w:val="left"/>
        </w:tabs>
        <w:bidi w:val="0"/>
        <w:spacing w:before="0" w:after="0" w:line="240" w:lineRule="auto"/>
        <w:ind w:left="720" w:right="0" w:hanging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t xml:space="preserve"> nájemce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8" w:left="1725" w:right="1869" w:bottom="1358" w:header="0" w:footer="3" w:gutter="0"/>
          <w:cols w:num="2" w:space="720" w:equalWidth="0">
            <w:col w:w="3360" w:space="1973"/>
            <w:col w:w="2981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Ronnex Group,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58" w:left="1725" w:right="1869" w:bottom="1358" w:header="0" w:footer="3" w:gutter="0"/>
      <w:cols w:num="2" w:space="720" w:equalWidth="0">
        <w:col w:w="3360" w:space="1973"/>
        <w:col w:w="2981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Char Style 18"/>
    <w:basedOn w:val="DefaultParagraphFont"/>
    <w:link w:val="Style17"/>
    <w:rPr>
      <w:b/>
      <w:bCs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DefaultParagraphFont"/>
    <w:link w:val="Style19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ind w:firstLine="29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/>
      <w:ind w:left="1420" w:firstLine="10"/>
      <w:outlineLvl w:val="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40"/>
      <w:ind w:firstLine="22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Dodatek č</dc:title>
  <dc:subject/>
  <dc:creator>Rengerova</dc:creator>
  <cp:keywords/>
</cp:coreProperties>
</file>