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F2238A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2F7E90">
        <w:t xml:space="preserve">trany mezi sebou dne </w:t>
      </w:r>
      <w:proofErr w:type="gramStart"/>
      <w:r w:rsidR="002F7E90">
        <w:t>15.1.2021</w:t>
      </w:r>
      <w:proofErr w:type="gramEnd"/>
      <w:r w:rsidR="006100EF">
        <w:t xml:space="preserve"> uzavřely Kupní smlouvu na základě výsledků veřejné zakázky </w:t>
      </w:r>
      <w:r w:rsidR="002F7E90">
        <w:t>„</w:t>
      </w:r>
      <w:proofErr w:type="spellStart"/>
      <w:r w:rsidR="002F7E90">
        <w:t>Imunopreparáty</w:t>
      </w:r>
      <w:proofErr w:type="spellEnd"/>
      <w:r w:rsidR="002F7E90">
        <w:t xml:space="preserve"> 2020“, ev. č. Z2020-030215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F2238A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</w:t>
      </w:r>
      <w:r w:rsidR="00C22096">
        <w:lastRenderedPageBreak/>
        <w:t xml:space="preserve">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7B3804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7B3804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3804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416D1"/>
    <w:rsid w:val="00945E67"/>
    <w:rsid w:val="009518DC"/>
    <w:rsid w:val="0096002D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C6B24-B3E7-46E9-946D-563CD447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2024-05-29T08:03:00Z</dcterms:created>
  <dcterms:modified xsi:type="dcterms:W3CDTF">2024-05-29T08:03:00Z</dcterms:modified>
</cp:coreProperties>
</file>