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540/2024</w:t>
      </w:r>
    </w:p>
    <w:p>
      <w:pPr>
        <w:pStyle w:val="Style2"/>
        <w:keepNext w:val="0"/>
        <w:keepLines w:val="0"/>
        <w:widowControl w:val="0"/>
        <w:shd w:val="clear" w:color="auto" w:fill="auto"/>
        <w:bidi w:val="0"/>
        <w:spacing w:before="0" w:after="0" w:line="264"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80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889000</wp:posOffset>
                </wp:positionH>
                <wp:positionV relativeFrom="paragraph">
                  <wp:posOffset>571500</wp:posOffset>
                </wp:positionV>
                <wp:extent cx="1085215" cy="1039495"/>
                <wp:wrapSquare wrapText="bothSides"/>
                <wp:docPr id="1" name="Shape 1"/>
                <a:graphic xmlns:a="http://schemas.openxmlformats.org/drawingml/2006/main">
                  <a:graphicData uri="http://schemas.microsoft.com/office/word/2010/wordprocessingShape">
                    <wps:wsp>
                      <wps:cNvSpPr txBox="1"/>
                      <wps:spPr>
                        <a:xfrm>
                          <a:ext cx="1085215" cy="1039495"/>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pt;margin-top:45.pt;width:85.450000000000003pt;height:81.85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Fojtovický p. v k. ú. Fojtovice u Heřmanova a Heřmanov - sekání travních</w:t>
        <w:br/>
        <w:t>porostů 2024</w:t>
      </w:r>
    </w:p>
    <w:p>
      <w:pPr>
        <w:pStyle w:val="Style2"/>
        <w:keepNext w:val="0"/>
        <w:keepLines w:val="0"/>
        <w:widowControl w:val="0"/>
        <w:shd w:val="clear" w:color="auto" w:fill="auto"/>
        <w:bidi w:val="0"/>
        <w:spacing w:before="0" w:after="0" w:line="240" w:lineRule="auto"/>
        <w:ind w:left="196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4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889000</wp:posOffset>
                </wp:positionH>
                <wp:positionV relativeFrom="paragraph">
                  <wp:posOffset>12700</wp:posOffset>
                </wp:positionV>
                <wp:extent cx="749935" cy="557530"/>
                <wp:wrapSquare wrapText="bothSides"/>
                <wp:docPr id="3" name="Shape 3"/>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29" type="#_x0000_t202" style="position:absolute;margin-left:70.pt;margin-top:1.pt;width:59.050000000000004pt;height:43.8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Petr Horyna</w:t>
      </w:r>
    </w:p>
    <w:p>
      <w:pPr>
        <w:pStyle w:val="Style2"/>
        <w:keepNext w:val="0"/>
        <w:keepLines w:val="0"/>
        <w:widowControl w:val="0"/>
        <w:shd w:val="clear" w:color="auto" w:fill="auto"/>
        <w:bidi w:val="0"/>
        <w:spacing w:before="0" w:after="600" w:line="240" w:lineRule="auto"/>
        <w:ind w:left="2620" w:right="0" w:firstLine="0"/>
        <w:jc w:val="left"/>
      </w:pPr>
      <w:r>
        <w:rPr>
          <w:color w:val="000000"/>
          <w:spacing w:val="0"/>
          <w:w w:val="100"/>
          <w:position w:val="0"/>
          <w:shd w:val="clear" w:color="auto" w:fill="auto"/>
          <w:lang w:val="cs-CZ" w:eastAsia="cs-CZ" w:bidi="cs-CZ"/>
        </w:rPr>
        <w:t>Valkeřická 536, 407 22 Benešov nad Ploučnicí 46793721</w:t>
      </w:r>
    </w:p>
    <w:p>
      <w:pPr>
        <w:pStyle w:val="Style2"/>
        <w:keepNext w:val="0"/>
        <w:keepLines w:val="0"/>
        <w:widowControl w:val="0"/>
        <w:shd w:val="clear" w:color="auto" w:fill="auto"/>
        <w:bidi w:val="0"/>
        <w:spacing w:before="0" w:after="516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1" w:val="left"/>
        </w:tabs>
        <w:bidi w:val="0"/>
        <w:spacing w:before="0" w:line="240" w:lineRule="auto"/>
        <w:ind w:right="0" w:hanging="36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Fojtovický p. v k. ú. Fojtovice u Heřmanova a Heřmanov - sekání travních porostů 2024</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3"/>
      <w:bookmarkEnd w:id="4"/>
      <w:bookmarkEnd w:id="6"/>
    </w:p>
    <w:p>
      <w:pPr>
        <w:pStyle w:val="Style12"/>
        <w:keepNext/>
        <w:keepLines/>
        <w:widowControl w:val="0"/>
        <w:numPr>
          <w:ilvl w:val="0"/>
          <w:numId w:val="1"/>
        </w:numPr>
        <w:shd w:val="clear" w:color="auto" w:fill="auto"/>
        <w:tabs>
          <w:tab w:pos="381" w:val="left"/>
        </w:tabs>
        <w:bidi w:val="0"/>
        <w:spacing w:before="0" w:after="0" w:line="295" w:lineRule="auto"/>
        <w:ind w:right="0" w:hanging="36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Předmětem veřejné zakázky je sekání travních porostů v průtočném profilu vodního toku (VT) Fojtovický potok v k. ú. Fojtovice u Heřmanova a Heřmanov (ř. km 0,720-5,770). Jedná se o tyto práce:</w:t>
      </w:r>
      <w:bookmarkEnd w:id="10"/>
      <w:bookmarkEnd w:id="7"/>
      <w:bookmarkEnd w:id="8"/>
    </w:p>
    <w:p>
      <w:pPr>
        <w:pStyle w:val="Style2"/>
        <w:keepNext w:val="0"/>
        <w:keepLines w:val="0"/>
        <w:widowControl w:val="0"/>
        <w:shd w:val="clear" w:color="auto" w:fill="auto"/>
        <w:bidi w:val="0"/>
        <w:spacing w:before="0" w:after="0" w:line="276" w:lineRule="auto"/>
        <w:ind w:left="880" w:right="0" w:hanging="36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Sekání ruderálních porostů (travní porosty, náletové dřeviny) v průtočném profilu VT na ploše 16200 m2</w:t>
      </w:r>
    </w:p>
    <w:p>
      <w:pPr>
        <w:pStyle w:val="Style2"/>
        <w:keepNext w:val="0"/>
        <w:keepLines w:val="0"/>
        <w:widowControl w:val="0"/>
        <w:shd w:val="clear" w:color="auto" w:fill="auto"/>
        <w:bidi w:val="0"/>
        <w:spacing w:before="0" w:after="140" w:line="276" w:lineRule="auto"/>
        <w:ind w:left="880" w:right="0" w:hanging="36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Odstranění a likvidace komunálního odpadu, který se bude nacházet na sekaných pozemcích</w:t>
      </w:r>
    </w:p>
    <w:p>
      <w:pPr>
        <w:pStyle w:val="Style2"/>
        <w:keepNext w:val="0"/>
        <w:keepLines w:val="0"/>
        <w:widowControl w:val="0"/>
        <w:shd w:val="clear" w:color="auto" w:fill="auto"/>
        <w:bidi w:val="0"/>
        <w:spacing w:before="0" w:after="0" w:line="240" w:lineRule="auto"/>
        <w:ind w:left="520" w:right="0" w:firstLine="0"/>
        <w:jc w:val="both"/>
      </w:pPr>
      <w:r>
        <w:rPr>
          <w:b/>
          <w:bCs/>
          <w:color w:val="000000"/>
          <w:spacing w:val="0"/>
          <w:w w:val="100"/>
          <w:position w:val="0"/>
          <w:shd w:val="clear" w:color="auto" w:fill="auto"/>
          <w:lang w:val="cs-CZ" w:eastAsia="cs-CZ" w:bidi="cs-CZ"/>
        </w:rPr>
        <w:t xml:space="preserve">Požadujeme provést jednu seč v kalendářním roce 2024 </w:t>
      </w:r>
      <w:r>
        <w:rPr>
          <w:color w:val="000000"/>
          <w:spacing w:val="0"/>
          <w:w w:val="100"/>
          <w:position w:val="0"/>
          <w:shd w:val="clear" w:color="auto" w:fill="auto"/>
          <w:lang w:val="cs-CZ" w:eastAsia="cs-CZ" w:bidi="cs-CZ"/>
        </w:rPr>
        <w:t>(červenec-srpen). Termín započetí seče bude upřesněn technickým dozorem investora (TDI).</w:t>
      </w:r>
    </w:p>
    <w:p>
      <w:pPr>
        <w:pStyle w:val="Style2"/>
        <w:keepNext w:val="0"/>
        <w:keepLines w:val="0"/>
        <w:widowControl w:val="0"/>
        <w:shd w:val="clear" w:color="auto" w:fill="auto"/>
        <w:bidi w:val="0"/>
        <w:spacing w:before="0" w:after="0" w:line="240" w:lineRule="auto"/>
        <w:ind w:left="520" w:right="0" w:firstLine="0"/>
        <w:jc w:val="both"/>
      </w:pPr>
      <w:r>
        <w:rPr>
          <w:color w:val="000000"/>
          <w:spacing w:val="0"/>
          <w:w w:val="100"/>
          <w:position w:val="0"/>
          <w:shd w:val="clear" w:color="auto" w:fill="auto"/>
          <w:lang w:val="cs-CZ" w:eastAsia="cs-CZ" w:bidi="cs-CZ"/>
        </w:rPr>
        <w:t>Posekané travní porosty budou vyhrabány z průtočného profilu, odvezeny a zlikvidovány</w:t>
      </w:r>
    </w:p>
    <w:p>
      <w:pPr>
        <w:pStyle w:val="Style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v souladu s příslušnými právními předpisy.</w:t>
      </w:r>
    </w:p>
    <w:p>
      <w:pPr>
        <w:pStyle w:val="Style2"/>
        <w:keepNext w:val="0"/>
        <w:keepLines w:val="0"/>
        <w:widowControl w:val="0"/>
        <w:shd w:val="clear" w:color="auto" w:fill="auto"/>
        <w:bidi w:val="0"/>
        <w:spacing w:before="0" w:line="240" w:lineRule="auto"/>
        <w:ind w:left="520" w:right="0" w:firstLine="0"/>
        <w:jc w:val="both"/>
      </w:pPr>
      <w:r>
        <w:rPr>
          <w:color w:val="000000"/>
          <w:spacing w:val="0"/>
          <w:w w:val="100"/>
          <w:position w:val="0"/>
          <w:shd w:val="clear" w:color="auto" w:fill="auto"/>
          <w:lang w:val="cs-CZ" w:eastAsia="cs-CZ" w:bidi="cs-CZ"/>
        </w:rPr>
        <w:t>Odstraněný odpad bude odvezen a zlikvidován v souladu s příslušnými právními předpisy.</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 xml:space="preserve">Místo provádění díla: Koryto vodního toku Fojtovický potok v úseku od silničního mostu naproti č. p. 132 v Heřmanově (50.7325664N, 14.3031394E), po silniční most k zemědělské farmě v blízkosti č. p. 45 ve Fojtovicích (50.7069581N, 14.2593269E) – </w:t>
      </w:r>
      <w:r>
        <w:rPr>
          <w:b/>
          <w:bCs/>
          <w:color w:val="000000"/>
          <w:spacing w:val="0"/>
          <w:w w:val="100"/>
          <w:position w:val="0"/>
          <w:shd w:val="clear" w:color="auto" w:fill="auto"/>
          <w:lang w:val="cs-CZ" w:eastAsia="cs-CZ" w:bidi="cs-CZ"/>
        </w:rPr>
        <w:t>viz příloha č . 2 – Situace</w:t>
      </w:r>
      <w:r>
        <w:rPr>
          <w:color w:val="000000"/>
          <w:spacing w:val="0"/>
          <w:w w:val="100"/>
          <w:position w:val="0"/>
          <w:shd w:val="clear" w:color="auto" w:fill="auto"/>
          <w:lang w:val="cs-CZ" w:eastAsia="cs-CZ" w:bidi="cs-CZ"/>
        </w:rPr>
        <w:t>. Jedná se o tyto pozemky ve správě objednatele:</w:t>
      </w:r>
    </w:p>
    <w:p>
      <w:pPr>
        <w:pStyle w:val="Style2"/>
        <w:keepNext w:val="0"/>
        <w:keepLines w:val="0"/>
        <w:widowControl w:val="0"/>
        <w:shd w:val="clear" w:color="auto" w:fill="auto"/>
        <w:bidi w:val="0"/>
        <w:spacing w:before="0" w:line="233" w:lineRule="auto"/>
        <w:ind w:left="360" w:right="0" w:firstLine="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k. ú. Heřmanov - p. p. č. 1354, 1355/1, 1355/7, 1377/1, 1377/12, 1858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 ú. Fojtovice u Heřmanova - p. p. č. 1614/1, 1614/23, 1616</w:t>
      </w:r>
    </w:p>
    <w:p>
      <w:pPr>
        <w:pStyle w:val="Style12"/>
        <w:keepNext/>
        <w:keepLines/>
        <w:widowControl w:val="0"/>
        <w:numPr>
          <w:ilvl w:val="0"/>
          <w:numId w:val="1"/>
        </w:numPr>
        <w:shd w:val="clear" w:color="auto" w:fill="auto"/>
        <w:tabs>
          <w:tab w:pos="381" w:val="left"/>
        </w:tabs>
        <w:bidi w:val="0"/>
        <w:spacing w:before="0" w:line="240" w:lineRule="auto"/>
        <w:ind w:right="0" w:hanging="360"/>
        <w:jc w:val="left"/>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viz příloha č. 1 této smlouvy.</w:t>
      </w:r>
      <w:bookmarkEnd w:id="11"/>
      <w:bookmarkEnd w:id="12"/>
      <w:bookmarkEnd w:id="14"/>
    </w:p>
    <w:p>
      <w:pPr>
        <w:pStyle w:val="Style12"/>
        <w:keepNext/>
        <w:keepLines/>
        <w:widowControl w:val="0"/>
        <w:numPr>
          <w:ilvl w:val="0"/>
          <w:numId w:val="1"/>
        </w:numPr>
        <w:shd w:val="clear" w:color="auto" w:fill="auto"/>
        <w:tabs>
          <w:tab w:pos="381" w:val="left"/>
        </w:tabs>
        <w:bidi w:val="0"/>
        <w:spacing w:before="0" w:line="240" w:lineRule="auto"/>
        <w:ind w:left="0" w:right="0" w:firstLine="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Za předmět díla se dále považuje:</w:t>
      </w:r>
      <w:bookmarkEnd w:id="15"/>
      <w:bookmarkEnd w:id="16"/>
      <w:bookmarkEnd w:id="18"/>
    </w:p>
    <w:p>
      <w:pPr>
        <w:pStyle w:val="Style12"/>
        <w:keepNext/>
        <w:keepLines/>
        <w:widowControl w:val="0"/>
        <w:numPr>
          <w:ilvl w:val="0"/>
          <w:numId w:val="3"/>
        </w:numPr>
        <w:shd w:val="clear" w:color="auto" w:fill="auto"/>
        <w:tabs>
          <w:tab w:pos="776" w:val="left"/>
        </w:tabs>
        <w:bidi w:val="0"/>
        <w:spacing w:before="0" w:after="0" w:line="240" w:lineRule="auto"/>
        <w:ind w:left="720" w:right="0"/>
        <w:jc w:val="both"/>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19"/>
      <w:bookmarkEnd w:id="20"/>
      <w:bookmarkEnd w:id="22"/>
    </w:p>
    <w:p>
      <w:pPr>
        <w:pStyle w:val="Style12"/>
        <w:keepNext/>
        <w:keepLines/>
        <w:widowControl w:val="0"/>
        <w:numPr>
          <w:ilvl w:val="0"/>
          <w:numId w:val="3"/>
        </w:numPr>
        <w:shd w:val="clear" w:color="auto" w:fill="auto"/>
        <w:tabs>
          <w:tab w:pos="785" w:val="left"/>
        </w:tabs>
        <w:bidi w:val="0"/>
        <w:spacing w:before="0" w:after="0" w:line="240" w:lineRule="auto"/>
        <w:ind w:left="720" w:right="0"/>
        <w:jc w:val="both"/>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zajištění povolení ke vstupu a vjezdu na pozemky (mimo pozemků ve vlastnictví objednatele),</w:t>
      </w:r>
      <w:bookmarkEnd w:id="23"/>
      <w:bookmarkEnd w:id="24"/>
      <w:bookmarkEnd w:id="26"/>
    </w:p>
    <w:p>
      <w:pPr>
        <w:pStyle w:val="Style12"/>
        <w:keepNext/>
        <w:keepLines/>
        <w:widowControl w:val="0"/>
        <w:numPr>
          <w:ilvl w:val="0"/>
          <w:numId w:val="3"/>
        </w:numPr>
        <w:shd w:val="clear" w:color="auto" w:fill="auto"/>
        <w:tabs>
          <w:tab w:pos="785" w:val="left"/>
        </w:tabs>
        <w:bidi w:val="0"/>
        <w:spacing w:before="0" w:after="0" w:line="240" w:lineRule="auto"/>
        <w:ind w:left="720" w:right="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případné mezideponie shrabaných travních porostů nebo odpadu budou umístěny na vhodném místě, aby nedocházelo k jejich rozplavení v důsledku vyšších průtoků v korytě příslušného vodního toku,</w:t>
      </w:r>
      <w:bookmarkEnd w:id="27"/>
      <w:bookmarkEnd w:id="28"/>
      <w:bookmarkEnd w:id="30"/>
    </w:p>
    <w:p>
      <w:pPr>
        <w:pStyle w:val="Style12"/>
        <w:keepNext/>
        <w:keepLines/>
        <w:widowControl w:val="0"/>
        <w:numPr>
          <w:ilvl w:val="0"/>
          <w:numId w:val="3"/>
        </w:numPr>
        <w:shd w:val="clear" w:color="auto" w:fill="auto"/>
        <w:tabs>
          <w:tab w:pos="785" w:val="left"/>
        </w:tabs>
        <w:bidi w:val="0"/>
        <w:spacing w:before="0" w:after="0" w:line="240" w:lineRule="auto"/>
        <w:ind w:left="720" w:right="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31"/>
      <w:bookmarkEnd w:id="32"/>
      <w:bookmarkEnd w:id="34"/>
    </w:p>
    <w:p>
      <w:pPr>
        <w:pStyle w:val="Style12"/>
        <w:keepNext/>
        <w:keepLines/>
        <w:widowControl w:val="0"/>
        <w:numPr>
          <w:ilvl w:val="0"/>
          <w:numId w:val="3"/>
        </w:numPr>
        <w:shd w:val="clear" w:color="auto" w:fill="auto"/>
        <w:tabs>
          <w:tab w:pos="765" w:val="left"/>
        </w:tabs>
        <w:bidi w:val="0"/>
        <w:spacing w:before="0" w:after="0" w:line="240" w:lineRule="auto"/>
        <w:ind w:left="0" w:right="0" w:firstLine="36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zajištění povolení zvláštního užívání pozemní komunikace, bude-li potřeba,</w:t>
      </w:r>
      <w:bookmarkEnd w:id="35"/>
      <w:bookmarkEnd w:id="36"/>
      <w:bookmarkEnd w:id="38"/>
    </w:p>
    <w:p>
      <w:pPr>
        <w:pStyle w:val="Style12"/>
        <w:keepNext/>
        <w:keepLines/>
        <w:widowControl w:val="0"/>
        <w:numPr>
          <w:ilvl w:val="0"/>
          <w:numId w:val="3"/>
        </w:numPr>
        <w:shd w:val="clear" w:color="auto" w:fill="auto"/>
        <w:tabs>
          <w:tab w:pos="785" w:val="left"/>
        </w:tabs>
        <w:bidi w:val="0"/>
        <w:spacing w:before="0" w:after="0" w:line="240" w:lineRule="auto"/>
        <w:ind w:left="720" w:right="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9"/>
      <w:bookmarkEnd w:id="40"/>
      <w:bookmarkEnd w:id="42"/>
    </w:p>
    <w:p>
      <w:pPr>
        <w:pStyle w:val="Style12"/>
        <w:keepNext/>
        <w:keepLines/>
        <w:widowControl w:val="0"/>
        <w:numPr>
          <w:ilvl w:val="0"/>
          <w:numId w:val="3"/>
        </w:numPr>
        <w:shd w:val="clear" w:color="auto" w:fill="auto"/>
        <w:tabs>
          <w:tab w:pos="765" w:val="left"/>
        </w:tabs>
        <w:bidi w:val="0"/>
        <w:spacing w:before="0" w:after="0" w:line="240" w:lineRule="auto"/>
        <w:ind w:left="0" w:right="0" w:firstLine="36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zhotovitel zodpovídá za místo realizace díla i v době přerušení prací,</w:t>
      </w:r>
      <w:bookmarkEnd w:id="43"/>
      <w:bookmarkEnd w:id="44"/>
      <w:bookmarkEnd w:id="46"/>
    </w:p>
    <w:p>
      <w:pPr>
        <w:pStyle w:val="Style12"/>
        <w:keepNext/>
        <w:keepLines/>
        <w:widowControl w:val="0"/>
        <w:numPr>
          <w:ilvl w:val="0"/>
          <w:numId w:val="3"/>
        </w:numPr>
        <w:shd w:val="clear" w:color="auto" w:fill="auto"/>
        <w:tabs>
          <w:tab w:pos="785" w:val="left"/>
        </w:tabs>
        <w:bidi w:val="0"/>
        <w:spacing w:before="0" w:after="0" w:line="240" w:lineRule="auto"/>
        <w:ind w:left="720" w:right="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7"/>
      <w:bookmarkEnd w:id="48"/>
      <w:bookmarkEnd w:id="50"/>
    </w:p>
    <w:p>
      <w:pPr>
        <w:pStyle w:val="Style12"/>
        <w:keepNext/>
        <w:keepLines/>
        <w:widowControl w:val="0"/>
        <w:numPr>
          <w:ilvl w:val="0"/>
          <w:numId w:val="3"/>
        </w:numPr>
        <w:shd w:val="clear" w:color="auto" w:fill="auto"/>
        <w:tabs>
          <w:tab w:pos="785" w:val="left"/>
        </w:tabs>
        <w:bidi w:val="0"/>
        <w:spacing w:before="0" w:line="240" w:lineRule="auto"/>
        <w:ind w:left="720" w:right="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51"/>
      <w:bookmarkEnd w:id="52"/>
      <w:bookmarkEnd w:id="54"/>
    </w:p>
    <w:p>
      <w:pPr>
        <w:pStyle w:val="Style12"/>
        <w:keepNext/>
        <w:keepLines/>
        <w:widowControl w:val="0"/>
        <w:numPr>
          <w:ilvl w:val="0"/>
          <w:numId w:val="3"/>
        </w:numPr>
        <w:shd w:val="clear" w:color="auto" w:fill="auto"/>
        <w:tabs>
          <w:tab w:pos="694" w:val="left"/>
        </w:tabs>
        <w:bidi w:val="0"/>
        <w:spacing w:before="0" w:line="240" w:lineRule="auto"/>
        <w:ind w:left="720" w:right="0" w:hanging="36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5"/>
      <w:bookmarkEnd w:id="56"/>
      <w:bookmarkEnd w:id="58"/>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9"/>
      <w:bookmarkEnd w:id="60"/>
      <w:bookmarkEnd w:id="62"/>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3"/>
      <w:bookmarkEnd w:id="64"/>
      <w:bookmarkEnd w:id="66"/>
    </w:p>
    <w:p>
      <w:pPr>
        <w:pStyle w:val="Style12"/>
        <w:keepNext/>
        <w:keepLines/>
        <w:widowControl w:val="0"/>
        <w:numPr>
          <w:ilvl w:val="0"/>
          <w:numId w:val="1"/>
        </w:numPr>
        <w:shd w:val="clear" w:color="auto" w:fill="auto"/>
        <w:tabs>
          <w:tab w:pos="382" w:val="left"/>
        </w:tabs>
        <w:bidi w:val="0"/>
        <w:spacing w:before="0" w:after="440" w:line="240" w:lineRule="auto"/>
        <w:ind w:left="300" w:right="0" w:hanging="30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67"/>
      <w:bookmarkEnd w:id="68"/>
      <w:bookmarkEnd w:id="70"/>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5"/>
        </w:numPr>
        <w:shd w:val="clear" w:color="auto" w:fill="auto"/>
        <w:tabs>
          <w:tab w:pos="382" w:val="left"/>
        </w:tabs>
        <w:bidi w:val="0"/>
        <w:spacing w:before="0" w:line="240" w:lineRule="auto"/>
        <w:ind w:left="0" w:right="0" w:firstLine="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Smluvní strany se dohodly na následujících lhůtách a podmínkách pro realizaci díla.</w:t>
      </w:r>
      <w:bookmarkEnd w:id="71"/>
      <w:bookmarkEnd w:id="72"/>
      <w:bookmarkEnd w:id="74"/>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697" w:val="left"/>
        </w:tabs>
        <w:bidi w:val="0"/>
        <w:spacing w:before="0" w:line="240" w:lineRule="auto"/>
        <w:ind w:left="0" w:right="0" w:firstLine="300"/>
        <w:jc w:val="both"/>
      </w:pPr>
      <w:bookmarkStart w:id="75" w:name="bookmark75"/>
      <w:bookmarkEnd w:id="75"/>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je povinen si převzít pracoviště nejpozději do 7 kalendářních dnů od písemné výzvy TDI. Výzva bude odeslána na e-mail zhotovitele:………………………….</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6" w:name="bookmark76"/>
      <w:bookmarkEnd w:id="76"/>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 xml:space="preserve">Bez zbytečného odkladu po převzetí pracoviště, </w:t>
      </w:r>
      <w:r>
        <w:rPr>
          <w:b/>
          <w:bCs/>
          <w:color w:val="000000"/>
          <w:spacing w:val="0"/>
          <w:w w:val="100"/>
          <w:position w:val="0"/>
          <w:shd w:val="clear" w:color="auto" w:fill="auto"/>
          <w:lang w:val="cs-CZ" w:eastAsia="cs-CZ" w:bidi="cs-CZ"/>
        </w:rPr>
        <w:t>nejdříve však od 1.7.2024</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7" w:name="bookmark77"/>
      <w:bookmarkEnd w:id="77"/>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300"/>
        <w:jc w:val="both"/>
      </w:pPr>
      <w:r>
        <w:rPr>
          <w:b/>
          <w:bCs/>
          <w:color w:val="000000"/>
          <w:spacing w:val="0"/>
          <w:w w:val="100"/>
          <w:position w:val="0"/>
          <w:shd w:val="clear" w:color="auto" w:fill="auto"/>
          <w:lang w:val="cs-CZ" w:eastAsia="cs-CZ" w:bidi="cs-CZ"/>
        </w:rPr>
        <w:t>Nejpozději do 30.08.2024</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78"/>
      <w:bookmarkEnd w:id="79"/>
      <w:bookmarkEnd w:id="81"/>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82"/>
      <w:bookmarkEnd w:id="83"/>
      <w:bookmarkEnd w:id="85"/>
    </w:p>
    <w:p>
      <w:pPr>
        <w:pStyle w:val="Style12"/>
        <w:keepNext/>
        <w:keepLines/>
        <w:widowControl w:val="0"/>
        <w:numPr>
          <w:ilvl w:val="0"/>
          <w:numId w:val="5"/>
        </w:numPr>
        <w:shd w:val="clear" w:color="auto" w:fill="auto"/>
        <w:tabs>
          <w:tab w:pos="382" w:val="left"/>
        </w:tabs>
        <w:bidi w:val="0"/>
        <w:spacing w:before="0" w:after="320" w:line="240" w:lineRule="auto"/>
        <w:ind w:left="300" w:right="0" w:hanging="30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86"/>
      <w:bookmarkEnd w:id="87"/>
      <w:bookmarkEnd w:id="89"/>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90" w:name="bookmark90"/>
      <w:bookmarkEnd w:id="90"/>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91" w:name="bookmark91"/>
      <w:bookmarkEnd w:id="9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77" w:val="left"/>
        </w:tabs>
        <w:bidi w:val="0"/>
        <w:spacing w:before="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2900" w:val="left"/>
        </w:tabs>
        <w:bidi w:val="0"/>
        <w:spacing w:before="0" w:line="240" w:lineRule="auto"/>
        <w:ind w:left="380" w:right="0" w:firstLine="0"/>
        <w:jc w:val="both"/>
      </w:pPr>
      <w:r>
        <w:rPr>
          <w:b/>
          <w:bCs/>
          <w:color w:val="000000"/>
          <w:spacing w:val="0"/>
          <w:w w:val="100"/>
          <w:position w:val="0"/>
          <w:shd w:val="clear" w:color="auto" w:fill="auto"/>
          <w:lang w:val="cs-CZ" w:eastAsia="cs-CZ" w:bidi="cs-CZ"/>
        </w:rPr>
        <w:t>Cena díla:</w:t>
        <w:tab/>
        <w:t>89.184,00 Kč bez DPH</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77" w:val="left"/>
        </w:tabs>
        <w:bidi w:val="0"/>
        <w:spacing w:before="0" w:after="32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77" w:val="left"/>
        </w:tabs>
        <w:bidi w:val="0"/>
        <w:spacing w:before="0" w:line="240" w:lineRule="auto"/>
        <w:ind w:left="0" w:right="0" w:firstLine="0"/>
        <w:jc w:val="both"/>
      </w:pPr>
      <w:bookmarkStart w:id="94" w:name="bookmark94"/>
      <w:bookmarkEnd w:id="94"/>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77" w:val="left"/>
        </w:tabs>
        <w:bidi w:val="0"/>
        <w:spacing w:before="0" w:after="0" w:line="240" w:lineRule="auto"/>
        <w:ind w:left="0" w:right="0" w:firstLine="0"/>
        <w:jc w:val="both"/>
      </w:pPr>
      <w:bookmarkStart w:id="95" w:name="bookmark95"/>
      <w:bookmarkEnd w:id="95"/>
      <w:r>
        <w:rPr>
          <w:color w:val="000000"/>
          <w:spacing w:val="0"/>
          <w:w w:val="100"/>
          <w:position w:val="0"/>
          <w:shd w:val="clear" w:color="auto" w:fill="auto"/>
          <w:lang w:val="cs-CZ" w:eastAsia="cs-CZ" w:bidi="cs-CZ"/>
        </w:rPr>
        <w:t>Cena díla bude hrazena po dokončení, předání a převzetí díla bez vad a nedodělků.</w:t>
      </w:r>
    </w:p>
    <w:p>
      <w:pPr>
        <w:pStyle w:val="Style2"/>
        <w:keepNext w:val="0"/>
        <w:keepLines w:val="0"/>
        <w:widowControl w:val="0"/>
        <w:shd w:val="clear" w:color="auto" w:fill="auto"/>
        <w:bidi w:val="0"/>
        <w:spacing w:before="0" w:after="0" w:line="240" w:lineRule="auto"/>
        <w:ind w:left="380" w:right="0" w:firstLine="0"/>
        <w:jc w:val="both"/>
      </w:pPr>
      <w:r>
        <w:rPr>
          <w:b/>
          <w:bCs/>
          <w:color w:val="000000"/>
          <w:spacing w:val="0"/>
          <w:w w:val="100"/>
          <w:position w:val="0"/>
          <w:shd w:val="clear" w:color="auto" w:fill="auto"/>
          <w:lang w:val="cs-CZ" w:eastAsia="cs-CZ" w:bidi="cs-CZ"/>
        </w:rPr>
        <w:t>Fakturu je zhotovitel povinen prokazatelně doručit objednateli nejpozději do 10 kalendářních dnů ode dne uskutečnění plnění.</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Fakturu lze předat i elektronicky ve formátu PDF na e-mail: ……………………………..</w:t>
      </w:r>
    </w:p>
    <w:p>
      <w:pPr>
        <w:pStyle w:val="Style2"/>
        <w:keepNext w:val="0"/>
        <w:keepLines w:val="0"/>
        <w:widowControl w:val="0"/>
        <w:numPr>
          <w:ilvl w:val="0"/>
          <w:numId w:val="11"/>
        </w:numPr>
        <w:shd w:val="clear" w:color="auto" w:fill="auto"/>
        <w:tabs>
          <w:tab w:pos="377" w:val="left"/>
        </w:tabs>
        <w:bidi w:val="0"/>
        <w:spacing w:before="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77"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377"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7" w:val="left"/>
        </w:tabs>
        <w:bidi w:val="0"/>
        <w:spacing w:before="0" w:line="240" w:lineRule="auto"/>
        <w:ind w:left="0" w:right="0" w:firstLine="0"/>
        <w:jc w:val="both"/>
      </w:pPr>
      <w:bookmarkStart w:id="99" w:name="bookmark99"/>
      <w:bookmarkEnd w:id="99"/>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7" w:val="left"/>
        </w:tabs>
        <w:bidi w:val="0"/>
        <w:spacing w:before="0" w:after="32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77"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7"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77"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77"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382" w:val="left"/>
        </w:tabs>
        <w:bidi w:val="0"/>
        <w:spacing w:before="0" w:after="44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110" w:name="bookmark110"/>
      <w:bookmarkEnd w:id="110"/>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46" w:val="left"/>
        </w:tabs>
        <w:bidi w:val="0"/>
        <w:spacing w:before="0" w:after="0" w:line="240" w:lineRule="auto"/>
        <w:ind w:left="0" w:right="0" w:firstLine="380"/>
        <w:jc w:val="both"/>
      </w:pPr>
      <w:bookmarkStart w:id="111" w:name="bookmark111"/>
      <w:bookmarkEnd w:id="111"/>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46" w:val="left"/>
        </w:tabs>
        <w:bidi w:val="0"/>
        <w:spacing w:before="0" w:after="0" w:line="240" w:lineRule="auto"/>
        <w:ind w:left="1020" w:right="0" w:hanging="640"/>
        <w:jc w:val="both"/>
      </w:pPr>
      <w:bookmarkStart w:id="112" w:name="bookmark112"/>
      <w:bookmarkEnd w:id="11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46" w:val="left"/>
        </w:tabs>
        <w:bidi w:val="0"/>
        <w:spacing w:before="0" w:line="240" w:lineRule="auto"/>
        <w:ind w:left="1020" w:right="0" w:hanging="640"/>
        <w:jc w:val="both"/>
      </w:pPr>
      <w:bookmarkStart w:id="113" w:name="bookmark113"/>
      <w:bookmarkEnd w:id="11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12"/>
        <w:keepNext/>
        <w:keepLines/>
        <w:widowControl w:val="0"/>
        <w:numPr>
          <w:ilvl w:val="0"/>
          <w:numId w:val="21"/>
        </w:numPr>
        <w:shd w:val="clear" w:color="auto" w:fill="auto"/>
        <w:tabs>
          <w:tab w:pos="358" w:val="left"/>
        </w:tabs>
        <w:bidi w:val="0"/>
        <w:spacing w:before="0" w:line="240" w:lineRule="auto"/>
        <w:ind w:left="380" w:right="0" w:hanging="38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 xml:space="preserve">Zhotovitel podpisem této smlouvy přebírá povinnosti uvedené v Čestném prohlášení o zajištění sociálně odpovědného plnění předmětu veřejné zakázky (dále jen „ČPSO“), které je součástí nabídky zhotovitele podané v rámci Veřejné zakázky a </w:t>
      </w:r>
      <w:r>
        <w:rPr>
          <w:b/>
          <w:bCs/>
          <w:color w:val="000000"/>
          <w:spacing w:val="0"/>
          <w:w w:val="100"/>
          <w:position w:val="0"/>
          <w:shd w:val="clear" w:color="auto" w:fill="auto"/>
          <w:lang w:val="cs-CZ" w:eastAsia="cs-CZ" w:bidi="cs-CZ"/>
        </w:rPr>
        <w:t xml:space="preserve">tvoří přílohu č. 4 této smlouvy. </w:t>
      </w:r>
      <w:r>
        <w:rPr>
          <w:color w:val="000000"/>
          <w:spacing w:val="0"/>
          <w:w w:val="100"/>
          <w:position w:val="0"/>
          <w:shd w:val="clear" w:color="auto" w:fill="auto"/>
          <w:lang w:val="cs-CZ" w:eastAsia="cs-CZ" w:bidi="cs-CZ"/>
        </w:rPr>
        <w:t>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19"/>
      <w:bookmarkEnd w:id="120"/>
      <w:bookmarkEnd w:id="122"/>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val="0"/>
        <w:keepLines w:val="0"/>
        <w:widowControl w:val="0"/>
        <w:numPr>
          <w:ilvl w:val="0"/>
          <w:numId w:val="25"/>
        </w:numPr>
        <w:shd w:val="clear" w:color="auto" w:fill="auto"/>
        <w:tabs>
          <w:tab w:pos="740" w:val="left"/>
        </w:tabs>
        <w:bidi w:val="0"/>
        <w:spacing w:before="0" w:after="0" w:line="240" w:lineRule="auto"/>
        <w:ind w:left="740" w:right="0" w:hanging="360"/>
        <w:jc w:val="both"/>
      </w:pPr>
      <w:bookmarkStart w:id="126" w:name="bookmark126"/>
      <w:bookmarkEnd w:id="126"/>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p>
    <w:p>
      <w:pPr>
        <w:pStyle w:val="Style2"/>
        <w:keepNext w:val="0"/>
        <w:keepLines w:val="0"/>
        <w:widowControl w:val="0"/>
        <w:numPr>
          <w:ilvl w:val="0"/>
          <w:numId w:val="25"/>
        </w:numPr>
        <w:shd w:val="clear" w:color="auto" w:fill="auto"/>
        <w:tabs>
          <w:tab w:pos="740" w:val="left"/>
        </w:tabs>
        <w:bidi w:val="0"/>
        <w:spacing w:before="0" w:line="240" w:lineRule="auto"/>
        <w:ind w:left="0" w:right="0" w:firstLine="380"/>
        <w:jc w:val="both"/>
      </w:pPr>
      <w:bookmarkStart w:id="127" w:name="bookmark127"/>
      <w:bookmarkEnd w:id="127"/>
      <w:r>
        <w:rPr>
          <w:color w:val="000000"/>
          <w:spacing w:val="0"/>
          <w:w w:val="100"/>
          <w:position w:val="0"/>
          <w:shd w:val="clear" w:color="auto" w:fill="auto"/>
          <w:lang w:val="cs-CZ" w:eastAsia="cs-CZ" w:bidi="cs-CZ"/>
        </w:rPr>
        <w:t>bezdůvodném přerušení prací zhotovitelem, které trvá více než 14 dnů</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Práce nad rámec zadání, budou oboustranně odsouhlaseny, zapsány v deníku pro realizaci díla a budou předmětem dodatku k této smlouvě.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0" w:name="bookmark130"/>
      <w:bookmarkEnd w:id="130"/>
      <w:r>
        <w:rPr>
          <w:b/>
          <w:bCs/>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w:t>
      </w:r>
      <w:r>
        <w:rPr>
          <w:color w:val="000000"/>
          <w:spacing w:val="0"/>
          <w:w w:val="100"/>
          <w:position w:val="0"/>
          <w:shd w:val="clear" w:color="auto" w:fill="auto"/>
          <w:lang w:val="cs-CZ" w:eastAsia="cs-CZ" w:bidi="cs-CZ"/>
        </w:rPr>
        <w:t>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8" w:val="left"/>
        </w:tabs>
        <w:bidi w:val="0"/>
        <w:spacing w:before="0" w:after="0" w:line="240" w:lineRule="auto"/>
        <w:ind w:left="0" w:right="0" w:firstLine="0"/>
        <w:jc w:val="both"/>
      </w:pPr>
      <w:bookmarkStart w:id="133" w:name="bookmark133"/>
      <w:bookmarkEnd w:id="133"/>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80" w:val="left"/>
          <w:tab w:pos="4921" w:val="left"/>
          <w:tab w:pos="6932" w:val="left"/>
          <w:tab w:pos="874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71"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71"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fldChar w:fldCharType="end"/>
      </w:r>
    </w:p>
    <w:p>
      <w:pPr>
        <w:pStyle w:val="Style2"/>
        <w:keepNext w:val="0"/>
        <w:keepLines w:val="0"/>
        <w:widowControl w:val="0"/>
        <w:numPr>
          <w:ilvl w:val="0"/>
          <w:numId w:val="23"/>
        </w:numPr>
        <w:shd w:val="clear" w:color="auto" w:fill="auto"/>
        <w:tabs>
          <w:tab w:pos="471" w:val="left"/>
        </w:tabs>
        <w:bidi w:val="0"/>
        <w:spacing w:before="0" w:line="240" w:lineRule="auto"/>
        <w:ind w:left="0" w:right="0" w:firstLine="0"/>
        <w:jc w:val="left"/>
      </w:pPr>
      <w:bookmarkStart w:id="136" w:name="bookmark136"/>
      <w:bookmarkEnd w:id="136"/>
      <w:r>
        <w:rPr>
          <w:b/>
          <w:bCs/>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71"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71" w:val="left"/>
        </w:tabs>
        <w:bidi w:val="0"/>
        <w:spacing w:before="0" w:after="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200" w:line="240" w:lineRule="auto"/>
        <w:ind w:left="1460" w:right="0" w:hanging="1080"/>
        <w:jc w:val="both"/>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right"/>
        <w:sectPr>
          <w:headerReference w:type="default" r:id="rId5"/>
          <w:footerReference w:type="default" r:id="rId6"/>
          <w:footnotePr>
            <w:pos w:val="pageBottom"/>
            <w:numFmt w:val="decimal"/>
            <w:numRestart w:val="continuous"/>
          </w:footnotePr>
          <w:pgSz w:w="11909" w:h="16838"/>
          <w:pgMar w:top="1055" w:left="1393" w:right="1385" w:bottom="1225" w:header="0" w:footer="3" w:gutter="0"/>
          <w:pgNumType w:start="1"/>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884555</wp:posOffset>
                </wp:positionH>
                <wp:positionV relativeFrom="paragraph">
                  <wp:posOffset>12700</wp:posOffset>
                </wp:positionV>
                <wp:extent cx="1627505" cy="225425"/>
                <wp:wrapSquare wrapText="bothSides"/>
                <wp:docPr id="9" name="Shape 9"/>
                <a:graphic xmlns:a="http://schemas.openxmlformats.org/drawingml/2006/main">
                  <a:graphicData uri="http://schemas.microsoft.com/office/word/2010/wordprocessingShape">
                    <wps:wsp>
                      <wps:cNvSpPr txBox="1"/>
                      <wps:spPr>
                        <a:xfrm>
                          <a:ext cx="162750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Terezíně dne…………..</w:t>
                            </w:r>
                          </w:p>
                        </w:txbxContent>
                      </wps:txbx>
                      <wps:bodyPr wrap="none" lIns="0" tIns="0" rIns="0" bIns="0">
                        <a:noAutoFit/>
                      </wps:bodyPr>
                    </wps:wsp>
                  </a:graphicData>
                </a:graphic>
              </wp:anchor>
            </w:drawing>
          </mc:Choice>
          <mc:Fallback>
            <w:pict>
              <v:shape id="_x0000_s1035" type="#_x0000_t202" style="position:absolute;margin-left:69.650000000000006pt;margin-top:1.pt;width:128.15000000000001pt;height:17.7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Terezíně dne…………..</w:t>
                      </w:r>
                    </w:p>
                  </w:txbxContent>
                </v:textbox>
                <w10:wrap type="square" anchorx="page"/>
              </v:shape>
            </w:pict>
          </mc:Fallback>
        </mc:AlternateContent>
      </w:r>
      <w:r>
        <w:rPr>
          <w:color w:val="000000"/>
          <w:spacing w:val="0"/>
          <w:w w:val="100"/>
          <w:position w:val="0"/>
          <w:shd w:val="clear" w:color="auto" w:fill="auto"/>
          <w:lang w:val="cs-CZ" w:eastAsia="cs-CZ" w:bidi="cs-CZ"/>
        </w:rPr>
        <w:t>V Benešově nad Ploučnicí dne…………..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4" w:after="10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6" w:left="0" w:right="0" w:bottom="116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oprávněný zástupce objednatele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335" w:bottom="1166" w:header="0" w:footer="3" w:gutter="0"/>
          <w:cols w:num="2" w:space="1801"/>
          <w:noEndnote/>
          <w:rtlGutter w:val="0"/>
          <w:docGrid w:linePitch="360"/>
        </w:sectPr>
      </w:pPr>
      <w:r>
        <w:rPr>
          <w:color w:val="000000"/>
          <w:spacing w:val="0"/>
          <w:w w:val="100"/>
          <w:position w:val="0"/>
          <w:shd w:val="clear" w:color="auto" w:fill="auto"/>
          <w:lang w:val="cs-CZ" w:eastAsia="cs-CZ" w:bidi="cs-CZ"/>
        </w:rPr>
        <w:t>zhotovitel</w:t>
      </w:r>
    </w:p>
    <w:sectPr>
      <w:footnotePr>
        <w:pos w:val="pageBottom"/>
        <w:numFmt w:val="decimal"/>
        <w:numRestart w:val="continuous"/>
      </w:footnotePr>
      <w:type w:val="continuous"/>
      <w:pgSz w:w="11909" w:h="16838"/>
      <w:pgMar w:top="1166" w:left="1394" w:right="2335" w:bottom="1166" w:header="0" w:footer="3" w:gutter="0"/>
      <w:cols w:num="2" w:space="18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5994400</wp:posOffset>
              </wp:positionH>
              <wp:positionV relativeFrom="page">
                <wp:posOffset>9961245</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7</w:t>
                          </w:r>
                        </w:p>
                      </w:txbxContent>
                    </wps:txbx>
                    <wps:bodyPr wrap="none" lIns="0" tIns="0" rIns="0" bIns="0">
                      <a:spAutoFit/>
                    </wps:bodyPr>
                  </wps:wsp>
                </a:graphicData>
              </a:graphic>
            </wp:anchor>
          </w:drawing>
        </mc:Choice>
        <mc:Fallback>
          <w:pict>
            <v:shape id="_x0000_s1033" type="#_x0000_t202" style="position:absolute;margin-left:472.pt;margin-top:784.35000000000002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5653405</wp:posOffset>
              </wp:positionH>
              <wp:positionV relativeFrom="page">
                <wp:posOffset>380365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5.15000000000003pt;margin-top:29.949999999999999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60" w:hanging="34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