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66FF4811" w14:textId="5FFD4C87" w:rsidR="00575AA1" w:rsidRDefault="00575AA1" w:rsidP="00575AA1">
      <w:pPr>
        <w:rPr>
          <w:rFonts w:asciiTheme="minorHAnsi" w:hAnsiTheme="minorHAnsi" w:cstheme="minorHAnsi"/>
          <w:sz w:val="22"/>
          <w:szCs w:val="22"/>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55E5B5E9"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65B3A27C"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368700B6"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53B7EA25"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Zastoupený: David</w:t>
      </w:r>
      <w:r w:rsidR="00036948">
        <w:rPr>
          <w:rFonts w:asciiTheme="minorHAnsi" w:hAnsiTheme="minorHAnsi" w:cstheme="minorHAnsi"/>
          <w:b/>
          <w:sz w:val="22"/>
          <w:szCs w:val="22"/>
        </w:rPr>
        <w:t xml:space="preserve">em </w:t>
      </w:r>
      <w:proofErr w:type="spellStart"/>
      <w:r w:rsidR="00036948">
        <w:rPr>
          <w:rFonts w:asciiTheme="minorHAnsi" w:hAnsiTheme="minorHAnsi" w:cstheme="minorHAnsi"/>
          <w:b/>
          <w:sz w:val="22"/>
          <w:szCs w:val="22"/>
        </w:rPr>
        <w:t>Chynou</w:t>
      </w:r>
      <w:proofErr w:type="spellEnd"/>
      <w:r w:rsidR="00032ED8">
        <w:rPr>
          <w:rFonts w:asciiTheme="minorHAnsi" w:hAnsiTheme="minorHAnsi" w:cstheme="minorHAnsi"/>
          <w:b/>
          <w:sz w:val="22"/>
          <w:szCs w:val="22"/>
        </w:rPr>
        <w:t>, jednatel</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DD24C09" w14:textId="77777777" w:rsidR="00B1531F" w:rsidRDefault="00B1531F" w:rsidP="006E6701">
      <w:pPr>
        <w:autoSpaceDE/>
        <w:ind w:left="360"/>
        <w:rPr>
          <w:rFonts w:asciiTheme="minorHAnsi" w:hAnsiTheme="minorHAnsi" w:cstheme="minorHAnsi"/>
          <w:b/>
          <w:sz w:val="22"/>
          <w:szCs w:val="22"/>
        </w:rPr>
      </w:pPr>
      <w:r w:rsidRPr="00B1531F">
        <w:rPr>
          <w:rFonts w:asciiTheme="minorHAnsi" w:hAnsiTheme="minorHAnsi" w:cstheme="minorHAnsi"/>
          <w:b/>
          <w:sz w:val="22"/>
          <w:szCs w:val="22"/>
        </w:rPr>
        <w:t>Školní jídelny Kutná Hora</w:t>
      </w:r>
    </w:p>
    <w:p w14:paraId="23CF2737" w14:textId="77777777" w:rsidR="00EA60EE" w:rsidRDefault="00EA60EE" w:rsidP="006E6701">
      <w:pPr>
        <w:autoSpaceDE/>
        <w:ind w:left="360"/>
        <w:rPr>
          <w:rFonts w:asciiTheme="minorHAnsi" w:hAnsiTheme="minorHAnsi" w:cstheme="minorHAnsi"/>
          <w:b/>
          <w:sz w:val="22"/>
          <w:szCs w:val="22"/>
        </w:rPr>
      </w:pPr>
      <w:r w:rsidRPr="00EA60EE">
        <w:rPr>
          <w:rFonts w:asciiTheme="minorHAnsi" w:hAnsiTheme="minorHAnsi" w:cstheme="minorHAnsi"/>
          <w:b/>
          <w:sz w:val="22"/>
          <w:szCs w:val="22"/>
        </w:rPr>
        <w:t>Jana Palacha 166</w:t>
      </w:r>
    </w:p>
    <w:p w14:paraId="1C4C22A9" w14:textId="77F8BDB3" w:rsidR="00036948" w:rsidRDefault="00EA60EE"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284 01 </w:t>
      </w:r>
      <w:r w:rsidRPr="00EA60EE">
        <w:rPr>
          <w:rFonts w:asciiTheme="minorHAnsi" w:hAnsiTheme="minorHAnsi" w:cstheme="minorHAnsi"/>
          <w:b/>
          <w:sz w:val="22"/>
          <w:szCs w:val="22"/>
        </w:rPr>
        <w:t>Kutná Hora</w:t>
      </w:r>
    </w:p>
    <w:p w14:paraId="654C495C" w14:textId="6F118AB6" w:rsidR="00036948" w:rsidRDefault="00036948" w:rsidP="00F734FE">
      <w:pPr>
        <w:autoSpaceDE/>
        <w:ind w:left="360"/>
        <w:rPr>
          <w:rFonts w:asciiTheme="minorHAnsi" w:hAnsiTheme="minorHAnsi" w:cstheme="minorHAnsi"/>
          <w:b/>
          <w:sz w:val="22"/>
          <w:szCs w:val="22"/>
        </w:rPr>
      </w:pPr>
      <w:r>
        <w:rPr>
          <w:rFonts w:asciiTheme="minorHAnsi" w:hAnsiTheme="minorHAnsi" w:cstheme="minorHAnsi"/>
          <w:b/>
          <w:sz w:val="22"/>
          <w:szCs w:val="22"/>
        </w:rPr>
        <w:t xml:space="preserve">IČ: </w:t>
      </w:r>
      <w:r w:rsidR="009E372A" w:rsidRPr="009E372A">
        <w:rPr>
          <w:rFonts w:asciiTheme="minorHAnsi" w:hAnsiTheme="minorHAnsi" w:cstheme="minorHAnsi"/>
          <w:b/>
          <w:sz w:val="22"/>
          <w:szCs w:val="22"/>
        </w:rPr>
        <w:t>71000615</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419630BF"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Zastoupené: </w:t>
      </w:r>
      <w:r w:rsidR="001D135E">
        <w:rPr>
          <w:rFonts w:asciiTheme="minorHAnsi" w:hAnsiTheme="minorHAnsi" w:cstheme="minorHAnsi"/>
          <w:b/>
          <w:sz w:val="22"/>
          <w:szCs w:val="22"/>
        </w:rPr>
        <w:t>Štěpánkou Š</w:t>
      </w:r>
      <w:r w:rsidR="00DD3050">
        <w:rPr>
          <w:rFonts w:asciiTheme="minorHAnsi" w:hAnsiTheme="minorHAnsi" w:cstheme="minorHAnsi"/>
          <w:b/>
          <w:sz w:val="22"/>
          <w:szCs w:val="22"/>
        </w:rPr>
        <w:t>ťastnou</w:t>
      </w:r>
      <w:r w:rsidR="00DD3050" w:rsidRPr="00DD3050">
        <w:rPr>
          <w:rFonts w:asciiTheme="minorHAnsi" w:hAnsiTheme="minorHAnsi" w:cstheme="minorHAnsi"/>
          <w:b/>
          <w:sz w:val="22"/>
          <w:szCs w:val="22"/>
        </w:rPr>
        <w:t xml:space="preserve">, </w:t>
      </w:r>
      <w:r w:rsidR="00DD3050" w:rsidRPr="00DD3050">
        <w:rPr>
          <w:rFonts w:asciiTheme="minorHAnsi" w:hAnsiTheme="minorHAnsi" w:cstheme="minorHAnsi"/>
          <w:b/>
          <w:sz w:val="22"/>
          <w:szCs w:val="22"/>
          <w:lang w:eastAsia="cs-CZ"/>
        </w:rPr>
        <w:t xml:space="preserve">ředitelka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385C80E1" w14:textId="77777777" w:rsidR="00537B10" w:rsidRDefault="00537B10" w:rsidP="00E605FC">
      <w:pPr>
        <w:autoSpaceDE/>
        <w:ind w:left="426"/>
        <w:jc w:val="both"/>
        <w:rPr>
          <w:rFonts w:asciiTheme="minorHAnsi" w:hAnsiTheme="minorHAnsi" w:cstheme="minorHAnsi"/>
          <w:sz w:val="22"/>
          <w:szCs w:val="22"/>
        </w:rPr>
      </w:pPr>
    </w:p>
    <w:p w14:paraId="709FE1D5" w14:textId="4AE9278A" w:rsidR="00537B10" w:rsidRPr="00FD74E2" w:rsidRDefault="00A5072E" w:rsidP="00E605FC">
      <w:pPr>
        <w:autoSpaceDE/>
        <w:ind w:left="426"/>
        <w:jc w:val="both"/>
        <w:rPr>
          <w:rFonts w:asciiTheme="minorHAnsi" w:hAnsiTheme="minorHAnsi" w:cstheme="minorHAnsi"/>
          <w:b/>
          <w:bCs/>
          <w:sz w:val="22"/>
          <w:szCs w:val="22"/>
        </w:rPr>
      </w:pPr>
      <w:r>
        <w:rPr>
          <w:rFonts w:asciiTheme="minorHAnsi" w:hAnsiTheme="minorHAnsi" w:cstheme="minorHAnsi"/>
          <w:b/>
          <w:bCs/>
          <w:sz w:val="22"/>
          <w:szCs w:val="22"/>
        </w:rPr>
        <w:t xml:space="preserve">Krouhač zeleniny </w:t>
      </w:r>
      <w:proofErr w:type="spellStart"/>
      <w:r>
        <w:rPr>
          <w:rFonts w:asciiTheme="minorHAnsi" w:hAnsiTheme="minorHAnsi" w:cstheme="minorHAnsi"/>
          <w:b/>
          <w:bCs/>
          <w:sz w:val="22"/>
          <w:szCs w:val="22"/>
        </w:rPr>
        <w:t>Hallde</w:t>
      </w:r>
      <w:proofErr w:type="spellEnd"/>
      <w:r>
        <w:rPr>
          <w:rFonts w:asciiTheme="minorHAnsi" w:hAnsiTheme="minorHAnsi" w:cstheme="minorHAnsi"/>
          <w:b/>
          <w:bCs/>
          <w:sz w:val="22"/>
          <w:szCs w:val="22"/>
        </w:rPr>
        <w:t xml:space="preserve"> 1002 RG-100 / </w:t>
      </w:r>
      <w:proofErr w:type="gramStart"/>
      <w:r>
        <w:rPr>
          <w:rFonts w:asciiTheme="minorHAnsi" w:hAnsiTheme="minorHAnsi" w:cstheme="minorHAnsi"/>
          <w:b/>
          <w:bCs/>
          <w:sz w:val="22"/>
          <w:szCs w:val="22"/>
        </w:rPr>
        <w:t>230V</w:t>
      </w:r>
      <w:proofErr w:type="gramEnd"/>
      <w:r>
        <w:rPr>
          <w:rFonts w:asciiTheme="minorHAnsi" w:hAnsiTheme="minorHAnsi" w:cstheme="minorHAnsi"/>
          <w:b/>
          <w:bCs/>
          <w:sz w:val="22"/>
          <w:szCs w:val="22"/>
        </w:rPr>
        <w:t>, 1N, 50Hz + příslušenství</w:t>
      </w:r>
    </w:p>
    <w:p w14:paraId="03890298" w14:textId="77777777" w:rsidR="0058142A" w:rsidRDefault="0058142A" w:rsidP="00E657FA">
      <w:pPr>
        <w:autoSpaceDE/>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1078166A"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A5072E">
        <w:rPr>
          <w:rFonts w:asciiTheme="minorHAnsi" w:hAnsiTheme="minorHAnsi" w:cstheme="minorHAnsi"/>
          <w:sz w:val="22"/>
          <w:szCs w:val="22"/>
        </w:rPr>
        <w:t>80.460</w:t>
      </w:r>
      <w:r w:rsidR="00B107D0" w:rsidRPr="008C0B83">
        <w:rPr>
          <w:rFonts w:asciiTheme="minorHAnsi" w:hAnsiTheme="minorHAnsi" w:cstheme="minorHAnsi"/>
          <w:sz w:val="22"/>
          <w:szCs w:val="22"/>
        </w:rPr>
        <w:t xml:space="preserve"> Kč bez DPH </w:t>
      </w:r>
    </w:p>
    <w:p w14:paraId="52890EAA" w14:textId="1FD02779"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A5072E">
        <w:rPr>
          <w:rFonts w:asciiTheme="minorHAnsi" w:hAnsiTheme="minorHAnsi" w:cstheme="minorHAnsi"/>
          <w:sz w:val="22"/>
          <w:szCs w:val="22"/>
        </w:rPr>
        <w:t>16.896,60</w:t>
      </w:r>
      <w:r w:rsidRPr="008C0B83">
        <w:rPr>
          <w:rFonts w:asciiTheme="minorHAnsi" w:hAnsiTheme="minorHAnsi" w:cstheme="minorHAnsi"/>
          <w:sz w:val="22"/>
          <w:szCs w:val="22"/>
        </w:rPr>
        <w:t xml:space="preserve"> Kč. Cena celkem bude </w:t>
      </w:r>
    </w:p>
    <w:p w14:paraId="7C234416" w14:textId="4749DB31"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A5072E">
        <w:rPr>
          <w:rFonts w:asciiTheme="minorHAnsi" w:hAnsiTheme="minorHAnsi" w:cstheme="minorHAnsi"/>
          <w:sz w:val="22"/>
          <w:szCs w:val="22"/>
        </w:rPr>
        <w:t>97.357</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1DD455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007D15">
        <w:rPr>
          <w:rFonts w:asciiTheme="minorHAnsi" w:hAnsiTheme="minorHAnsi" w:cstheme="minorHAnsi"/>
          <w:sz w:val="22"/>
          <w:szCs w:val="22"/>
        </w:rPr>
        <w:t>: ………….</w:t>
      </w:r>
    </w:p>
    <w:p w14:paraId="2D987E0E" w14:textId="0B1A0B86"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706C5C">
        <w:rPr>
          <w:rFonts w:asciiTheme="minorHAnsi" w:hAnsiTheme="minorHAnsi" w:cstheme="minorHAnsi"/>
          <w:sz w:val="22"/>
          <w:szCs w:val="22"/>
        </w:rPr>
        <w:t>1</w:t>
      </w:r>
      <w:r w:rsidR="00E90C92">
        <w:rPr>
          <w:rFonts w:asciiTheme="minorHAnsi" w:hAnsiTheme="minorHAnsi" w:cstheme="minorHAnsi"/>
          <w:sz w:val="22"/>
          <w:szCs w:val="22"/>
        </w:rPr>
        <w:t>5</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0138DD30" w:rsidR="00554108"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7D8A352E" w14:textId="77777777" w:rsidR="00E90C92" w:rsidRDefault="00E90C92" w:rsidP="004639D0">
      <w:pPr>
        <w:autoSpaceDE/>
        <w:ind w:firstLine="426"/>
        <w:jc w:val="both"/>
        <w:rPr>
          <w:rFonts w:asciiTheme="minorHAnsi" w:hAnsiTheme="minorHAnsi" w:cstheme="minorHAnsi"/>
          <w:sz w:val="22"/>
          <w:szCs w:val="22"/>
        </w:rPr>
      </w:pPr>
    </w:p>
    <w:p w14:paraId="7A15A858" w14:textId="77777777" w:rsidR="00462A9C" w:rsidRPr="008C0B83" w:rsidRDefault="00462A9C" w:rsidP="004639D0">
      <w:pPr>
        <w:autoSpaceDE/>
        <w:ind w:firstLine="426"/>
        <w:jc w:val="both"/>
        <w:rPr>
          <w:rFonts w:asciiTheme="minorHAnsi" w:hAnsiTheme="minorHAnsi" w:cstheme="minorHAnsi"/>
          <w:sz w:val="22"/>
          <w:szCs w:val="22"/>
        </w:rPr>
      </w:pP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56AE37F6" w14:textId="248C82F0" w:rsidR="006E6701" w:rsidRPr="006E6701" w:rsidRDefault="00554108"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Prodávající se zavazuje </w:t>
      </w:r>
      <w:r>
        <w:rPr>
          <w:rFonts w:ascii="Arial" w:hAnsi="Arial" w:cs="Arial"/>
          <w:sz w:val="20"/>
          <w:szCs w:val="20"/>
        </w:rPr>
        <w:t xml:space="preserve">dodat kupujícímu zboží nejpozději </w:t>
      </w:r>
      <w:r w:rsidR="00462A9C">
        <w:rPr>
          <w:rFonts w:ascii="Arial" w:hAnsi="Arial" w:cs="Arial"/>
          <w:sz w:val="20"/>
          <w:szCs w:val="20"/>
        </w:rPr>
        <w:t xml:space="preserve">do </w:t>
      </w:r>
      <w:r w:rsidR="00B166A0">
        <w:rPr>
          <w:rFonts w:ascii="Arial" w:hAnsi="Arial" w:cs="Arial"/>
          <w:sz w:val="20"/>
          <w:szCs w:val="20"/>
        </w:rPr>
        <w:t>60</w:t>
      </w:r>
      <w:r w:rsidR="00462A9C">
        <w:rPr>
          <w:rFonts w:ascii="Arial" w:hAnsi="Arial" w:cs="Arial"/>
          <w:sz w:val="20"/>
          <w:szCs w:val="20"/>
        </w:rPr>
        <w:t xml:space="preserve"> dnů od podepsání kupní smlouvy</w:t>
      </w:r>
    </w:p>
    <w:p w14:paraId="20329D2E" w14:textId="77777777" w:rsidR="00895C83" w:rsidRDefault="00554108" w:rsidP="003E51F6">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strany sjednaly, že zboží bude dodáno do místa dodání, kterým je</w:t>
      </w:r>
      <w:r w:rsidR="00765868">
        <w:rPr>
          <w:rFonts w:asciiTheme="minorHAnsi" w:hAnsiTheme="minorHAnsi" w:cstheme="minorHAnsi"/>
          <w:sz w:val="22"/>
          <w:szCs w:val="22"/>
        </w:rPr>
        <w:t>:</w:t>
      </w:r>
      <w:r>
        <w:rPr>
          <w:rFonts w:asciiTheme="minorHAnsi" w:hAnsiTheme="minorHAnsi" w:cstheme="minorHAnsi"/>
          <w:sz w:val="22"/>
          <w:szCs w:val="22"/>
        </w:rPr>
        <w:t xml:space="preserve"> </w:t>
      </w:r>
      <w:r w:rsidR="00895C83">
        <w:rPr>
          <w:rFonts w:asciiTheme="minorHAnsi" w:hAnsiTheme="minorHAnsi" w:cstheme="minorHAnsi"/>
          <w:sz w:val="22"/>
          <w:szCs w:val="22"/>
        </w:rPr>
        <w:t xml:space="preserve">Školní jídelna Kremnická, </w:t>
      </w:r>
    </w:p>
    <w:p w14:paraId="74A5C22A" w14:textId="19D6A7E0" w:rsidR="006E6701" w:rsidRPr="00895C83" w:rsidRDefault="00895C83" w:rsidP="00895C83">
      <w:pPr>
        <w:autoSpaceDE/>
        <w:ind w:firstLine="426"/>
        <w:jc w:val="both"/>
        <w:rPr>
          <w:rFonts w:asciiTheme="minorHAnsi" w:hAnsiTheme="minorHAnsi" w:cstheme="minorHAnsi"/>
          <w:sz w:val="22"/>
          <w:szCs w:val="22"/>
        </w:rPr>
      </w:pPr>
      <w:r>
        <w:rPr>
          <w:rFonts w:asciiTheme="minorHAnsi" w:hAnsiTheme="minorHAnsi" w:cstheme="minorHAnsi"/>
          <w:sz w:val="22"/>
          <w:szCs w:val="22"/>
        </w:rPr>
        <w:t>Kremnická 98/8</w:t>
      </w:r>
      <w:r w:rsidR="00462A9C" w:rsidRPr="00FA6A6F">
        <w:rPr>
          <w:rFonts w:asciiTheme="minorHAnsi" w:hAnsiTheme="minorHAnsi" w:cstheme="minorHAnsi"/>
          <w:sz w:val="22"/>
          <w:szCs w:val="22"/>
        </w:rPr>
        <w:t>,</w:t>
      </w:r>
      <w:r w:rsidR="00FA6A6F">
        <w:rPr>
          <w:rFonts w:asciiTheme="minorHAnsi" w:hAnsiTheme="minorHAnsi" w:cstheme="minorHAnsi"/>
          <w:sz w:val="22"/>
          <w:szCs w:val="22"/>
        </w:rPr>
        <w:t xml:space="preserve"> </w:t>
      </w:r>
      <w:r w:rsidR="00557645">
        <w:rPr>
          <w:rFonts w:asciiTheme="minorHAnsi" w:hAnsiTheme="minorHAnsi" w:cstheme="minorHAnsi"/>
          <w:sz w:val="22"/>
          <w:szCs w:val="22"/>
        </w:rPr>
        <w:t xml:space="preserve">284 01 </w:t>
      </w:r>
      <w:r w:rsidR="00557645" w:rsidRPr="00557645">
        <w:rPr>
          <w:rFonts w:asciiTheme="minorHAnsi" w:hAnsiTheme="minorHAnsi" w:cstheme="minorHAnsi"/>
          <w:sz w:val="22"/>
          <w:szCs w:val="22"/>
        </w:rPr>
        <w:t>Kutná Hora</w:t>
      </w:r>
      <w:r>
        <w:rPr>
          <w:rFonts w:asciiTheme="minorHAnsi" w:hAnsiTheme="minorHAnsi" w:cstheme="minorHAnsi"/>
          <w:sz w:val="22"/>
          <w:szCs w:val="22"/>
        </w:rPr>
        <w:t>.</w:t>
      </w:r>
    </w:p>
    <w:p w14:paraId="148EBD66" w14:textId="3B544E5D" w:rsidR="00554108" w:rsidRPr="00554108" w:rsidRDefault="00554108" w:rsidP="003E51F6">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kupujícího s úhradou částek dle této smlouvy je kupující povinen na vyzvání zaplatit prodávajícímu úrok z prodlení z dlužných částek v zákonné výši a dále smluvní pokutu ve výši </w:t>
      </w:r>
      <w:proofErr w:type="gramStart"/>
      <w:r w:rsidRPr="00575AA1">
        <w:rPr>
          <w:rFonts w:asciiTheme="minorHAnsi" w:hAnsiTheme="minorHAnsi" w:cstheme="minorHAnsi"/>
          <w:sz w:val="22"/>
          <w:szCs w:val="22"/>
        </w:rPr>
        <w:t>0,5%</w:t>
      </w:r>
      <w:proofErr w:type="gramEnd"/>
      <w:r w:rsidRPr="00575AA1">
        <w:rPr>
          <w:rFonts w:asciiTheme="minorHAnsi" w:hAnsiTheme="minorHAnsi" w:cstheme="minorHAnsi"/>
          <w:sz w:val="22"/>
          <w:szCs w:val="22"/>
        </w:rPr>
        <w:t xml:space="preserve">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w:t>
      </w:r>
      <w:proofErr w:type="gramStart"/>
      <w:r w:rsidRPr="00575AA1">
        <w:rPr>
          <w:rFonts w:asciiTheme="minorHAnsi" w:hAnsiTheme="minorHAnsi" w:cstheme="minorHAnsi"/>
          <w:sz w:val="22"/>
          <w:szCs w:val="22"/>
        </w:rPr>
        <w:t>0,5%</w:t>
      </w:r>
      <w:proofErr w:type="gramEnd"/>
      <w:r w:rsidRPr="00575AA1">
        <w:rPr>
          <w:rFonts w:asciiTheme="minorHAnsi" w:hAnsiTheme="minorHAnsi" w:cstheme="minorHAnsi"/>
          <w:sz w:val="22"/>
          <w:szCs w:val="22"/>
        </w:rPr>
        <w:t xml:space="preserve">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61E8EBE8"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lastRenderedPageBreak/>
        <w:t xml:space="preserve">způsobenou škodu. </w:t>
      </w: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0FD66E98" w14:textId="71D80FAD" w:rsidR="006D25B9" w:rsidRPr="00575AA1" w:rsidRDefault="00575AA1" w:rsidP="00360388">
      <w:pPr>
        <w:spacing w:after="120"/>
        <w:jc w:val="both"/>
        <w:rPr>
          <w:rFonts w:asciiTheme="minorHAnsi" w:hAnsiTheme="minorHAnsi" w:cstheme="minorHAnsi"/>
          <w:sz w:val="22"/>
          <w:szCs w:val="22"/>
        </w:rPr>
      </w:pPr>
      <w:r w:rsidRPr="00D233F5">
        <w:rPr>
          <w:rFonts w:asciiTheme="minorHAnsi" w:hAnsiTheme="minorHAnsi" w:cstheme="minorHAnsi"/>
          <w:sz w:val="22"/>
          <w:szCs w:val="22"/>
        </w:rPr>
        <w:t>V</w:t>
      </w:r>
      <w:r w:rsidR="00057342">
        <w:rPr>
          <w:rFonts w:asciiTheme="minorHAnsi" w:hAnsiTheme="minorHAnsi" w:cstheme="minorHAnsi"/>
          <w:sz w:val="22"/>
          <w:szCs w:val="22"/>
        </w:rPr>
        <w:t> Kutné Hoře</w:t>
      </w:r>
      <w:r w:rsidR="00E15C66">
        <w:rPr>
          <w:rFonts w:asciiTheme="minorHAnsi" w:hAnsiTheme="minorHAnsi" w:cstheme="minorHAnsi"/>
          <w:sz w:val="22"/>
          <w:szCs w:val="22"/>
        </w:rPr>
        <w:t xml:space="preserve"> dne </w:t>
      </w:r>
      <w:r w:rsidR="006D25B9">
        <w:rPr>
          <w:rFonts w:asciiTheme="minorHAnsi" w:hAnsiTheme="minorHAnsi" w:cstheme="minorHAnsi"/>
          <w:sz w:val="22"/>
          <w:szCs w:val="22"/>
        </w:rPr>
        <w:t>…………………….</w:t>
      </w:r>
      <w:r w:rsidR="006D25B9">
        <w:rPr>
          <w:rFonts w:asciiTheme="minorHAnsi" w:hAnsiTheme="minorHAnsi" w:cstheme="minorHAnsi"/>
          <w:sz w:val="22"/>
          <w:szCs w:val="22"/>
        </w:rPr>
        <w:tab/>
      </w:r>
      <w:r w:rsidR="00057342">
        <w:rPr>
          <w:rFonts w:asciiTheme="minorHAnsi" w:hAnsiTheme="minorHAnsi" w:cstheme="minorHAnsi"/>
          <w:sz w:val="22"/>
          <w:szCs w:val="22"/>
        </w:rPr>
        <w:tab/>
      </w:r>
      <w:r w:rsidR="00360388">
        <w:rPr>
          <w:rFonts w:asciiTheme="minorHAnsi" w:hAnsiTheme="minorHAnsi" w:cstheme="minorHAnsi"/>
          <w:sz w:val="22"/>
          <w:szCs w:val="22"/>
        </w:rPr>
        <w:t xml:space="preserve">                    </w:t>
      </w:r>
      <w:r w:rsidR="006D25B9" w:rsidRPr="00D233F5">
        <w:rPr>
          <w:rFonts w:asciiTheme="minorHAnsi" w:hAnsiTheme="minorHAnsi" w:cstheme="minorHAnsi"/>
          <w:sz w:val="22"/>
          <w:szCs w:val="22"/>
        </w:rPr>
        <w:t>V</w:t>
      </w:r>
      <w:r w:rsidR="00000772">
        <w:rPr>
          <w:rFonts w:asciiTheme="minorHAnsi" w:hAnsiTheme="minorHAnsi" w:cstheme="minorHAnsi"/>
          <w:sz w:val="22"/>
          <w:szCs w:val="22"/>
        </w:rPr>
        <w:t> </w:t>
      </w:r>
      <w:r w:rsidR="006D25B9">
        <w:rPr>
          <w:rFonts w:asciiTheme="minorHAnsi" w:hAnsiTheme="minorHAnsi" w:cstheme="minorHAnsi"/>
          <w:sz w:val="22"/>
          <w:szCs w:val="22"/>
        </w:rPr>
        <w:t>Louňovicích</w:t>
      </w:r>
      <w:r w:rsidR="00000772">
        <w:rPr>
          <w:rFonts w:asciiTheme="minorHAnsi" w:hAnsiTheme="minorHAnsi" w:cstheme="minorHAnsi"/>
          <w:sz w:val="22"/>
          <w:szCs w:val="22"/>
        </w:rPr>
        <w:t xml:space="preserve"> pod Blaníkem dne ……</w:t>
      </w:r>
      <w:r w:rsidR="00D45CD7">
        <w:rPr>
          <w:rFonts w:asciiTheme="minorHAnsi" w:hAnsiTheme="minorHAnsi" w:cstheme="minorHAnsi"/>
          <w:sz w:val="22"/>
          <w:szCs w:val="22"/>
        </w:rPr>
        <w:t>…………….</w:t>
      </w:r>
    </w:p>
    <w:p w14:paraId="05DC0A23" w14:textId="305D6A2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1CBEB3BE"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092A379D" w:rsidR="00D233F5" w:rsidRPr="00575AA1" w:rsidRDefault="00BC5E8E" w:rsidP="00BC5E8E">
      <w:pPr>
        <w:jc w:val="both"/>
        <w:rPr>
          <w:rFonts w:asciiTheme="minorHAnsi" w:hAnsiTheme="minorHAnsi" w:cstheme="minorHAnsi"/>
          <w:sz w:val="22"/>
          <w:szCs w:val="22"/>
        </w:rPr>
      </w:pPr>
      <w:r>
        <w:rPr>
          <w:rFonts w:asciiTheme="minorHAnsi" w:hAnsiTheme="minorHAnsi" w:cstheme="minorHAnsi"/>
          <w:sz w:val="22"/>
          <w:szCs w:val="22"/>
        </w:rPr>
        <w:t xml:space="preserve">          Štěpánka Šťastná</w:t>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C530E6">
        <w:rPr>
          <w:rFonts w:asciiTheme="minorHAnsi" w:hAnsiTheme="minorHAnsi" w:cstheme="minorHAnsi"/>
          <w:sz w:val="22"/>
          <w:szCs w:val="22"/>
        </w:rPr>
        <w:tab/>
      </w:r>
      <w:r>
        <w:rPr>
          <w:rFonts w:asciiTheme="minorHAnsi" w:hAnsiTheme="minorHAnsi" w:cstheme="minorHAnsi"/>
          <w:sz w:val="22"/>
          <w:szCs w:val="22"/>
        </w:rPr>
        <w:t xml:space="preserve">           </w:t>
      </w:r>
      <w:r w:rsidR="00D233F5">
        <w:rPr>
          <w:rFonts w:asciiTheme="minorHAnsi" w:hAnsiTheme="minorHAnsi" w:cstheme="minorHAnsi"/>
          <w:sz w:val="22"/>
          <w:szCs w:val="22"/>
        </w:rPr>
        <w:t xml:space="preserve">David </w:t>
      </w:r>
      <w:proofErr w:type="spellStart"/>
      <w:r w:rsidR="00D233F5">
        <w:rPr>
          <w:rFonts w:asciiTheme="minorHAnsi" w:hAnsiTheme="minorHAnsi" w:cstheme="minorHAnsi"/>
          <w:sz w:val="22"/>
          <w:szCs w:val="22"/>
        </w:rPr>
        <w:t>Chyna</w:t>
      </w:r>
      <w:proofErr w:type="spellEnd"/>
    </w:p>
    <w:p w14:paraId="2346FA2C" w14:textId="391A858C" w:rsidR="00C530E6" w:rsidRDefault="00D233F5" w:rsidP="00C530E6">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69169D">
        <w:rPr>
          <w:rFonts w:asciiTheme="minorHAnsi" w:hAnsiTheme="minorHAnsi" w:cstheme="minorHAnsi"/>
          <w:sz w:val="22"/>
          <w:szCs w:val="22"/>
        </w:rPr>
        <w:t xml:space="preserve"> </w:t>
      </w:r>
      <w:r>
        <w:rPr>
          <w:rFonts w:asciiTheme="minorHAnsi" w:hAnsiTheme="minorHAnsi" w:cstheme="minorHAnsi"/>
          <w:sz w:val="22"/>
          <w:szCs w:val="22"/>
        </w:rPr>
        <w:t xml:space="preserve"> </w:t>
      </w:r>
      <w:r w:rsidR="00C530E6">
        <w:rPr>
          <w:rFonts w:asciiTheme="minorHAnsi" w:hAnsiTheme="minorHAnsi" w:cstheme="minorHAnsi"/>
          <w:sz w:val="22"/>
          <w:szCs w:val="22"/>
        </w:rPr>
        <w:t>ř</w:t>
      </w:r>
      <w:r>
        <w:rPr>
          <w:rFonts w:asciiTheme="minorHAnsi" w:hAnsiTheme="minorHAnsi" w:cstheme="minorHAnsi"/>
          <w:sz w:val="22"/>
          <w:szCs w:val="22"/>
        </w:rPr>
        <w:t>editel</w:t>
      </w:r>
      <w:r w:rsidR="00BC5E8E">
        <w:rPr>
          <w:rFonts w:asciiTheme="minorHAnsi" w:hAnsiTheme="minorHAnsi" w:cstheme="minorHAnsi"/>
          <w:sz w:val="22"/>
          <w:szCs w:val="22"/>
        </w:rPr>
        <w:t>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7337F">
        <w:rPr>
          <w:rFonts w:asciiTheme="minorHAnsi" w:hAnsiTheme="minorHAnsi" w:cstheme="minorHAnsi"/>
          <w:sz w:val="22"/>
          <w:szCs w:val="22"/>
        </w:rPr>
        <w:tab/>
      </w:r>
      <w:r>
        <w:rPr>
          <w:rFonts w:asciiTheme="minorHAnsi" w:hAnsiTheme="minorHAnsi" w:cstheme="minorHAnsi"/>
          <w:sz w:val="22"/>
          <w:szCs w:val="22"/>
        </w:rPr>
        <w:t xml:space="preserve"> jednatel</w:t>
      </w:r>
    </w:p>
    <w:p w14:paraId="0F9CCEDA" w14:textId="3328A3A3" w:rsidR="00174E73" w:rsidRPr="0069169D" w:rsidRDefault="0069169D" w:rsidP="0069169D">
      <w:pPr>
        <w:autoSpaceDE/>
        <w:rPr>
          <w:rFonts w:asciiTheme="minorHAnsi" w:hAnsiTheme="minorHAnsi" w:cstheme="minorHAnsi"/>
          <w:bCs/>
          <w:sz w:val="22"/>
          <w:szCs w:val="22"/>
        </w:rPr>
      </w:pPr>
      <w:r>
        <w:rPr>
          <w:rFonts w:asciiTheme="minorHAnsi" w:hAnsiTheme="minorHAnsi" w:cstheme="minorHAnsi"/>
          <w:bCs/>
          <w:sz w:val="22"/>
          <w:szCs w:val="22"/>
        </w:rPr>
        <w:t xml:space="preserve">    </w:t>
      </w:r>
      <w:r w:rsidRPr="0069169D">
        <w:rPr>
          <w:rFonts w:asciiTheme="minorHAnsi" w:hAnsiTheme="minorHAnsi" w:cstheme="minorHAnsi"/>
          <w:bCs/>
          <w:sz w:val="22"/>
          <w:szCs w:val="22"/>
        </w:rPr>
        <w:t>Školní jídelny Kutná Hora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D233F5">
        <w:rPr>
          <w:rFonts w:asciiTheme="minorHAnsi" w:hAnsiTheme="minorHAnsi" w:cstheme="minorHAnsi"/>
          <w:sz w:val="22"/>
          <w:szCs w:val="22"/>
        </w:rPr>
        <w:t>Gastro Blaník CZ spol. s r.o.</w:t>
      </w:r>
    </w:p>
    <w:sectPr w:rsidR="00174E73" w:rsidRPr="0069169D"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6291" w14:textId="77777777" w:rsidR="00601DD9" w:rsidRDefault="00601DD9">
      <w:r>
        <w:separator/>
      </w:r>
    </w:p>
  </w:endnote>
  <w:endnote w:type="continuationSeparator" w:id="0">
    <w:p w14:paraId="020454B0" w14:textId="77777777" w:rsidR="00601DD9" w:rsidRDefault="0060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457C" w14:textId="0B418270" w:rsidR="004639D0" w:rsidRDefault="004639D0" w:rsidP="004639D0">
    <w:pPr>
      <w:pStyle w:val="Zpat"/>
    </w:pPr>
  </w:p>
  <w:p w14:paraId="0459AF71" w14:textId="2D149FC1" w:rsidR="004639D0" w:rsidRDefault="004639D0" w:rsidP="004639D0">
    <w:pPr>
      <w:pStyle w:val="Zpat"/>
      <w:jc w:val="left"/>
    </w:pPr>
    <w:r w:rsidRPr="003250D1">
      <w:rPr>
        <w:rFonts w:ascii="Arial" w:hAnsi="Arial" w:cs="Arial"/>
        <w:color w:val="7F7F7F" w:themeColor="text1" w:themeTint="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B10B" w14:textId="77777777" w:rsidR="00F00BAC" w:rsidRDefault="00F00BAC" w:rsidP="00575AA1">
    <w:pPr>
      <w:pStyle w:val="Zpat"/>
      <w:tabs>
        <w:tab w:val="left" w:pos="37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071C" w14:textId="65D3AA1B" w:rsidR="00F00BAC" w:rsidRPr="003250D1" w:rsidRDefault="00994D3B"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48A6" w14:textId="77777777" w:rsidR="00601DD9" w:rsidRDefault="00601DD9">
      <w:bookmarkStart w:id="0" w:name="_Hlk480110762"/>
      <w:bookmarkEnd w:id="0"/>
      <w:r>
        <w:separator/>
      </w:r>
    </w:p>
  </w:footnote>
  <w:footnote w:type="continuationSeparator" w:id="0">
    <w:p w14:paraId="25C2BE9E" w14:textId="77777777" w:rsidR="00601DD9" w:rsidRDefault="0060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4740122">
    <w:abstractNumId w:val="6"/>
  </w:num>
  <w:num w:numId="2" w16cid:durableId="1522621153">
    <w:abstractNumId w:val="1"/>
  </w:num>
  <w:num w:numId="3" w16cid:durableId="998459384">
    <w:abstractNumId w:val="2"/>
  </w:num>
  <w:num w:numId="4" w16cid:durableId="74980250">
    <w:abstractNumId w:val="7"/>
  </w:num>
  <w:num w:numId="5" w16cid:durableId="780301380">
    <w:abstractNumId w:val="5"/>
  </w:num>
  <w:num w:numId="6" w16cid:durableId="1722821234">
    <w:abstractNumId w:val="4"/>
  </w:num>
  <w:num w:numId="7" w16cid:durableId="929316124">
    <w:abstractNumId w:val="0"/>
    <w:lvlOverride w:ilvl="0">
      <w:startOverride w:val="1"/>
    </w:lvlOverride>
  </w:num>
  <w:num w:numId="8" w16cid:durableId="182296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00772"/>
    <w:rsid w:val="00007D15"/>
    <w:rsid w:val="00032ED8"/>
    <w:rsid w:val="00036948"/>
    <w:rsid w:val="00056A88"/>
    <w:rsid w:val="00057342"/>
    <w:rsid w:val="000623AF"/>
    <w:rsid w:val="000E0F51"/>
    <w:rsid w:val="001054CD"/>
    <w:rsid w:val="001174CB"/>
    <w:rsid w:val="0017337F"/>
    <w:rsid w:val="00174E73"/>
    <w:rsid w:val="00175D48"/>
    <w:rsid w:val="00184CFA"/>
    <w:rsid w:val="001B6D89"/>
    <w:rsid w:val="001B7F35"/>
    <w:rsid w:val="001D135E"/>
    <w:rsid w:val="00203A9E"/>
    <w:rsid w:val="002041BB"/>
    <w:rsid w:val="002317F4"/>
    <w:rsid w:val="002344D4"/>
    <w:rsid w:val="00254899"/>
    <w:rsid w:val="00266A37"/>
    <w:rsid w:val="00271FB9"/>
    <w:rsid w:val="0029174B"/>
    <w:rsid w:val="002D7DAC"/>
    <w:rsid w:val="002F1545"/>
    <w:rsid w:val="003250D1"/>
    <w:rsid w:val="00325EF7"/>
    <w:rsid w:val="00360388"/>
    <w:rsid w:val="0037328B"/>
    <w:rsid w:val="00380A33"/>
    <w:rsid w:val="00395980"/>
    <w:rsid w:val="003A6C38"/>
    <w:rsid w:val="003D2F0A"/>
    <w:rsid w:val="003E3B00"/>
    <w:rsid w:val="003E51F6"/>
    <w:rsid w:val="00462A9C"/>
    <w:rsid w:val="004639D0"/>
    <w:rsid w:val="004D16D8"/>
    <w:rsid w:val="004E40FF"/>
    <w:rsid w:val="00537B10"/>
    <w:rsid w:val="00554108"/>
    <w:rsid w:val="00557645"/>
    <w:rsid w:val="00575AA1"/>
    <w:rsid w:val="0058142A"/>
    <w:rsid w:val="005A3DB3"/>
    <w:rsid w:val="00601DD9"/>
    <w:rsid w:val="0069169D"/>
    <w:rsid w:val="006A6C4E"/>
    <w:rsid w:val="006D25B9"/>
    <w:rsid w:val="006D3CCF"/>
    <w:rsid w:val="006E6701"/>
    <w:rsid w:val="006F41C5"/>
    <w:rsid w:val="00706C5C"/>
    <w:rsid w:val="007405F1"/>
    <w:rsid w:val="00765868"/>
    <w:rsid w:val="0082753B"/>
    <w:rsid w:val="00831A10"/>
    <w:rsid w:val="00873894"/>
    <w:rsid w:val="00873E93"/>
    <w:rsid w:val="00895C83"/>
    <w:rsid w:val="00897231"/>
    <w:rsid w:val="008B461A"/>
    <w:rsid w:val="008C0B83"/>
    <w:rsid w:val="008D6278"/>
    <w:rsid w:val="008F6C94"/>
    <w:rsid w:val="008F764B"/>
    <w:rsid w:val="00945ED8"/>
    <w:rsid w:val="00974FCE"/>
    <w:rsid w:val="00994D3B"/>
    <w:rsid w:val="009A5523"/>
    <w:rsid w:val="009E372A"/>
    <w:rsid w:val="00A01EF7"/>
    <w:rsid w:val="00A36CB5"/>
    <w:rsid w:val="00A4285C"/>
    <w:rsid w:val="00A5072E"/>
    <w:rsid w:val="00B107D0"/>
    <w:rsid w:val="00B1531F"/>
    <w:rsid w:val="00B166A0"/>
    <w:rsid w:val="00B1726F"/>
    <w:rsid w:val="00B226F6"/>
    <w:rsid w:val="00B75579"/>
    <w:rsid w:val="00BC5E8E"/>
    <w:rsid w:val="00BE02C3"/>
    <w:rsid w:val="00C51FA1"/>
    <w:rsid w:val="00C530E6"/>
    <w:rsid w:val="00CA155F"/>
    <w:rsid w:val="00D108B6"/>
    <w:rsid w:val="00D233F5"/>
    <w:rsid w:val="00D32248"/>
    <w:rsid w:val="00D4119C"/>
    <w:rsid w:val="00D45CD7"/>
    <w:rsid w:val="00D62941"/>
    <w:rsid w:val="00DD3050"/>
    <w:rsid w:val="00DD7352"/>
    <w:rsid w:val="00DE17AA"/>
    <w:rsid w:val="00DF6C89"/>
    <w:rsid w:val="00E0598D"/>
    <w:rsid w:val="00E15C66"/>
    <w:rsid w:val="00E43441"/>
    <w:rsid w:val="00E50074"/>
    <w:rsid w:val="00E605FC"/>
    <w:rsid w:val="00E657FA"/>
    <w:rsid w:val="00E7076D"/>
    <w:rsid w:val="00E7713E"/>
    <w:rsid w:val="00E90C92"/>
    <w:rsid w:val="00EA60EE"/>
    <w:rsid w:val="00EE7E01"/>
    <w:rsid w:val="00F00BAC"/>
    <w:rsid w:val="00F02B41"/>
    <w:rsid w:val="00F21949"/>
    <w:rsid w:val="00F40457"/>
    <w:rsid w:val="00F4725E"/>
    <w:rsid w:val="00F734FE"/>
    <w:rsid w:val="00F82E13"/>
    <w:rsid w:val="00FA2560"/>
    <w:rsid w:val="00FA6A6F"/>
    <w:rsid w:val="00FC2EC7"/>
    <w:rsid w:val="00FD74E2"/>
    <w:rsid w:val="00FF0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paragraph" w:customStyle="1" w:styleId="Default">
    <w:name w:val="Default"/>
    <w:rsid w:val="00537B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5</TotalTime>
  <Pages>1</Pages>
  <Words>974</Words>
  <Characters>5750</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Uzivatel</cp:lastModifiedBy>
  <cp:revision>7</cp:revision>
  <cp:lastPrinted>2024-05-16T07:18:00Z</cp:lastPrinted>
  <dcterms:created xsi:type="dcterms:W3CDTF">2024-05-13T09:09:00Z</dcterms:created>
  <dcterms:modified xsi:type="dcterms:W3CDTF">2024-05-28T08:30:00Z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