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ČESTNÉ PROHLÁŠENÍ K FINANČNÍM SANKCÍM</w:t>
      </w:r>
    </w:p>
    <w:p>
      <w:pPr>
        <w:pStyle w:val="Style8"/>
        <w:keepNext w:val="0"/>
        <w:keepLines w:val="0"/>
        <w:widowControl w:val="0"/>
        <w:shd w:val="clear" w:color="auto" w:fill="auto"/>
        <w:tabs>
          <w:tab w:pos="1411" w:val="left"/>
        </w:tabs>
        <w:bidi w:val="0"/>
        <w:spacing w:before="0" w:after="200" w:line="240" w:lineRule="auto"/>
        <w:ind w:left="0" w:right="0" w:firstLine="0"/>
        <w:jc w:val="left"/>
      </w:pPr>
      <w:r>
        <w:rPr>
          <w:color w:val="000000"/>
          <w:spacing w:val="0"/>
          <w:w w:val="100"/>
          <w:position w:val="0"/>
          <w:sz w:val="24"/>
          <w:szCs w:val="24"/>
          <w:shd w:val="clear" w:color="auto" w:fill="auto"/>
          <w:lang w:val="cs-CZ" w:eastAsia="cs-CZ" w:bidi="cs-CZ"/>
        </w:rPr>
        <w:t>Zakázka:</w:t>
        <w:tab/>
      </w:r>
      <w:r>
        <w:rPr>
          <w:b/>
          <w:bCs/>
          <w:color w:val="000000"/>
          <w:spacing w:val="0"/>
          <w:w w:val="100"/>
          <w:position w:val="0"/>
          <w:shd w:val="clear" w:color="auto" w:fill="auto"/>
          <w:lang w:val="cs-CZ" w:eastAsia="cs-CZ" w:bidi="cs-CZ"/>
        </w:rPr>
        <w:t>Evaňský potok v Poplzích – sekání travních porostů v roce 2024</w:t>
      </w:r>
    </w:p>
    <w:p>
      <w:pPr>
        <w:pStyle w:val="Style8"/>
        <w:keepNext w:val="0"/>
        <w:keepLines w:val="0"/>
        <w:widowControl w:val="0"/>
        <w:shd w:val="clear" w:color="auto" w:fill="auto"/>
        <w:tabs>
          <w:tab w:pos="2117" w:val="left"/>
        </w:tabs>
        <w:bidi w:val="0"/>
        <w:spacing w:before="0" w:after="20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Objednatel:</w:t>
        <w:tab/>
        <w:t>Povodí Ohře, státní podnik, Bezručova 4219, 430 03 Chomutov</w:t>
      </w:r>
    </w:p>
    <w:p>
      <w:pPr>
        <w:pStyle w:val="Style8"/>
        <w:keepNext w:val="0"/>
        <w:keepLines w:val="0"/>
        <w:widowControl w:val="0"/>
        <w:shd w:val="clear" w:color="auto" w:fill="auto"/>
        <w:bidi w:val="0"/>
        <w:spacing w:before="0" w:after="200" w:line="221"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ČESTNÉ PROHLÁŠENÍ</w:t>
      </w:r>
    </w:p>
    <w:p>
      <w:pPr>
        <w:pStyle w:val="Style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Zhotovitel </w:t>
      </w:r>
      <w:r>
        <w:rPr>
          <w:color w:val="000000"/>
          <w:spacing w:val="0"/>
          <w:w w:val="100"/>
          <w:position w:val="0"/>
          <w:shd w:val="clear" w:color="auto" w:fill="auto"/>
          <w:lang w:val="cs-CZ" w:eastAsia="cs-CZ" w:bidi="cs-CZ"/>
        </w:rPr>
        <w:t>veřejné zakázky:</w:t>
      </w:r>
    </w:p>
    <w:p>
      <w:pPr>
        <w:pStyle w:val="Style8"/>
        <w:keepNext w:val="0"/>
        <w:keepLines w:val="0"/>
        <w:widowControl w:val="0"/>
        <w:shd w:val="clear" w:color="auto" w:fill="auto"/>
        <w:bidi w:val="0"/>
        <w:spacing w:before="0" w:after="0" w:line="480" w:lineRule="auto"/>
        <w:ind w:left="0" w:right="0" w:firstLine="0"/>
        <w:jc w:val="left"/>
      </w:pPr>
      <w:r>
        <w:rPr>
          <w:b/>
          <w:bCs/>
          <w:color w:val="000000"/>
          <w:spacing w:val="0"/>
          <w:w w:val="100"/>
          <w:position w:val="0"/>
          <w:shd w:val="clear" w:color="auto" w:fill="auto"/>
          <w:lang w:val="cs-CZ" w:eastAsia="cs-CZ" w:bidi="cs-CZ"/>
        </w:rPr>
        <w:t xml:space="preserve">Evaňský potok v Poplzích – sekání travních porostů v roce 2024 </w:t>
      </w:r>
      <w:r>
        <w:rPr>
          <w:color w:val="000000"/>
          <w:spacing w:val="0"/>
          <w:w w:val="100"/>
          <w:position w:val="0"/>
          <w:shd w:val="clear" w:color="auto" w:fill="auto"/>
          <w:lang w:val="cs-CZ" w:eastAsia="cs-CZ" w:bidi="cs-CZ"/>
        </w:rPr>
        <w:t>Zhotovitel – společnost</w:t>
      </w:r>
    </w:p>
    <w:p>
      <w:pPr>
        <w:pStyle w:val="Style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LESORS s.r.o.</w:t>
      </w:r>
    </w:p>
    <w:p>
      <w:pPr>
        <w:pStyle w:val="Style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IČO: 28692403</w:t>
      </w:r>
      <w:r>
        <w:rPr>
          <w:color w:val="000000"/>
          <w:spacing w:val="0"/>
          <w:w w:val="100"/>
          <w:position w:val="0"/>
          <w:shd w:val="clear" w:color="auto" w:fill="auto"/>
          <w:lang w:val="cs-CZ" w:eastAsia="cs-CZ" w:bidi="cs-CZ"/>
        </w:rPr>
        <w:t>, jednající prostřednictvím</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p>
    <w:p>
      <w:pPr>
        <w:pStyle w:val="Style8"/>
        <w:keepNext w:val="0"/>
        <w:keepLines w:val="0"/>
        <w:widowControl w:val="0"/>
        <w:shd w:val="clear" w:color="auto" w:fill="auto"/>
        <w:bidi w:val="0"/>
        <w:spacing w:before="0" w:after="320" w:line="240" w:lineRule="auto"/>
        <w:ind w:left="0" w:right="0" w:firstLine="0"/>
        <w:jc w:val="both"/>
      </w:pPr>
      <w:r>
        <w:rPr>
          <w:color w:val="000000"/>
          <w:spacing w:val="0"/>
          <w:w w:val="100"/>
          <w:position w:val="0"/>
          <w:shd w:val="clear" w:color="auto" w:fill="auto"/>
          <w:lang w:val="cs-CZ" w:eastAsia="cs-CZ" w:bidi="cs-CZ"/>
        </w:rPr>
        <w:t>(dále jen „zhotovitel“),</w:t>
      </w:r>
    </w:p>
    <w:p>
      <w:pPr>
        <w:pStyle w:val="Style8"/>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Zhotovitel čestně prohlašuje, že</w:t>
      </w:r>
    </w:p>
    <w:p>
      <w:pPr>
        <w:pStyle w:val="Style8"/>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0" w:name="bookmark0"/>
      <w:bookmarkEnd w:id="0"/>
      <w:r>
        <w:rPr>
          <w:color w:val="000000"/>
          <w:spacing w:val="0"/>
          <w:w w:val="100"/>
          <w:position w:val="0"/>
          <w:shd w:val="clear" w:color="auto" w:fill="auto"/>
          <w:lang w:val="cs-CZ" w:eastAsia="cs-CZ" w:bidi="cs-CZ"/>
        </w:rPr>
        <w:t>proti němu, jeho přímým či nepřímým vlastníkům, ani jeho podzhotovitelům (včetně jejich přímých nebo nepřímých vlastníků), kteří mu jsou ke dni podání nabídky známi, nejsou uvaleny</w:t>
      </w:r>
    </w:p>
    <w:p>
      <w:pPr>
        <w:pStyle w:val="Style8"/>
        <w:keepNext w:val="0"/>
        <w:keepLines w:val="0"/>
        <w:widowControl w:val="0"/>
        <w:numPr>
          <w:ilvl w:val="0"/>
          <w:numId w:val="3"/>
        </w:numPr>
        <w:shd w:val="clear" w:color="auto" w:fill="auto"/>
        <w:tabs>
          <w:tab w:pos="306" w:val="left"/>
        </w:tabs>
        <w:bidi w:val="0"/>
        <w:spacing w:before="0" w:line="240" w:lineRule="auto"/>
        <w:ind w:left="300" w:right="0" w:hanging="300"/>
        <w:jc w:val="both"/>
      </w:pPr>
      <w:bookmarkStart w:id="1" w:name="bookmark1"/>
      <w:bookmarkEnd w:id="1"/>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8"/>
        <w:keepNext w:val="0"/>
        <w:keepLines w:val="0"/>
        <w:widowControl w:val="0"/>
        <w:numPr>
          <w:ilvl w:val="0"/>
          <w:numId w:val="3"/>
        </w:numPr>
        <w:shd w:val="clear" w:color="auto" w:fill="auto"/>
        <w:tabs>
          <w:tab w:pos="354" w:val="left"/>
        </w:tabs>
        <w:bidi w:val="0"/>
        <w:spacing w:before="0" w:line="240" w:lineRule="auto"/>
        <w:ind w:left="300" w:right="0" w:hanging="300"/>
        <w:jc w:val="both"/>
      </w:pPr>
      <w:bookmarkStart w:id="2" w:name="bookmark2"/>
      <w:bookmarkEnd w:id="2"/>
      <w:r>
        <w:rPr>
          <w:color w:val="000000"/>
          <w:spacing w:val="0"/>
          <w:w w:val="100"/>
          <w:position w:val="0"/>
          <w:shd w:val="clear" w:color="auto" w:fill="auto"/>
          <w:lang w:val="cs-CZ" w:eastAsia="cs-CZ" w:bidi="cs-CZ"/>
        </w:rPr>
        <w:t>jiné aplikovatelné sankce platné v České republice nebo zemi sídla zhotovitele, kterými je sledován stejný účel jako těmi ze Základních nařízení;</w:t>
      </w:r>
    </w:p>
    <w:p>
      <w:pPr>
        <w:pStyle w:val="Style8"/>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a</w:t>
      </w:r>
    </w:p>
    <w:p>
      <w:pPr>
        <w:pStyle w:val="Style8"/>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3" w:name="bookmark3"/>
      <w:bookmarkEnd w:id="3"/>
      <w:r>
        <w:rPr>
          <w:color w:val="000000"/>
          <w:spacing w:val="0"/>
          <w:w w:val="100"/>
          <w:position w:val="0"/>
          <w:shd w:val="clear" w:color="auto" w:fill="auto"/>
          <w:lang w:val="cs-CZ" w:eastAsia="cs-CZ" w:bidi="cs-CZ"/>
        </w:rPr>
        <w:t>bude-li s ním uzavřena smlouva na veřejnou zakázku, zajistí po celou dobu plnění veřejné zakázky, že</w:t>
      </w:r>
    </w:p>
    <w:p>
      <w:pPr>
        <w:pStyle w:val="Style8"/>
        <w:keepNext w:val="0"/>
        <w:keepLines w:val="0"/>
        <w:widowControl w:val="0"/>
        <w:numPr>
          <w:ilvl w:val="0"/>
          <w:numId w:val="5"/>
        </w:numPr>
        <w:shd w:val="clear" w:color="auto" w:fill="auto"/>
        <w:tabs>
          <w:tab w:pos="306" w:val="left"/>
        </w:tabs>
        <w:bidi w:val="0"/>
        <w:spacing w:before="0" w:line="240" w:lineRule="auto"/>
        <w:ind w:left="300" w:right="0" w:hanging="300"/>
        <w:jc w:val="both"/>
      </w:pPr>
      <w:bookmarkStart w:id="4" w:name="bookmark4"/>
      <w:bookmarkEnd w:id="4"/>
      <w:r>
        <w:rPr>
          <w:color w:val="000000"/>
          <w:spacing w:val="0"/>
          <w:w w:val="100"/>
          <w:position w:val="0"/>
          <w:shd w:val="clear" w:color="auto" w:fill="auto"/>
          <w:lang w:val="cs-CZ" w:eastAsia="cs-CZ" w:bidi="cs-CZ"/>
        </w:rPr>
        <w:t>k jejímu plnění nevyužije podzhotovitele, na nějž byly takové sankce uvaleny, a to ať už se budou týkat přímo osoby podzhotovitele nebo jeho přímých nebo nepřímých vlastníků, a</w:t>
      </w:r>
    </w:p>
    <w:p>
      <w:pPr>
        <w:pStyle w:val="Style8"/>
        <w:keepNext w:val="0"/>
        <w:keepLines w:val="0"/>
        <w:widowControl w:val="0"/>
        <w:numPr>
          <w:ilvl w:val="0"/>
          <w:numId w:val="5"/>
        </w:numPr>
        <w:shd w:val="clear" w:color="auto" w:fill="auto"/>
        <w:tabs>
          <w:tab w:pos="354" w:val="left"/>
        </w:tabs>
        <w:bidi w:val="0"/>
        <w:spacing w:before="0" w:line="240" w:lineRule="auto"/>
        <w:ind w:left="300" w:right="0" w:hanging="300"/>
        <w:jc w:val="both"/>
      </w:pPr>
      <w:bookmarkStart w:id="5" w:name="bookmark5"/>
      <w:bookmarkEnd w:id="5"/>
      <w:r>
        <w:rPr>
          <w:color w:val="000000"/>
          <w:spacing w:val="0"/>
          <w:w w:val="100"/>
          <w:position w:val="0"/>
          <w:shd w:val="clear" w:color="auto" w:fill="auto"/>
          <w:lang w:val="cs-CZ" w:eastAsia="cs-CZ" w:bidi="cs-CZ"/>
        </w:rPr>
        <w:t>v případě uvalení sankcí na kteréhokoliv svého podzhotovitele nebo jeho přímého nebo nepřímého vlastníka v průběhu jeho poskytování plnění veřejné zakázky takového podzhotovitele bez zbytečného odkladu nahradí v souladu se zněním smlouvy na veřejnou zakázku.</w:t>
      </w:r>
    </w:p>
    <w:p>
      <w:pPr>
        <w:pStyle w:val="Style8"/>
        <w:keepNext w:val="0"/>
        <w:keepLines w:val="0"/>
        <w:widowControl w:val="0"/>
        <w:shd w:val="clear" w:color="auto" w:fill="auto"/>
        <w:bidi w:val="0"/>
        <w:spacing w:before="0" w:after="0" w:line="240" w:lineRule="auto"/>
        <w:ind w:left="0" w:right="0" w:firstLine="0"/>
        <w:jc w:val="both"/>
        <w:sectPr>
          <w:footerReference w:type="default" r:id="rId5"/>
          <w:footnotePr>
            <w:pos w:val="pageBottom"/>
            <w:numFmt w:val="decimal"/>
            <w:numRestart w:val="continuous"/>
          </w:footnotePr>
          <w:pgSz w:w="11909" w:h="16838"/>
          <w:pgMar w:top="782" w:left="1111" w:right="1101" w:bottom="2008" w:header="354" w:footer="3" w:gutter="0"/>
          <w:pgNumType w:start="1"/>
          <w:cols w:space="720"/>
          <w:noEndnote/>
          <w:rtlGutter w:val="0"/>
          <w:docGrid w:linePitch="360"/>
        </w:sectPr>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89" w:after="89" w:line="240" w:lineRule="exact"/>
        <w:rPr>
          <w:sz w:val="19"/>
          <w:szCs w:val="19"/>
        </w:rPr>
      </w:pPr>
    </w:p>
    <w:p>
      <w:pPr>
        <w:widowControl w:val="0"/>
        <w:spacing w:line="1" w:lineRule="exact"/>
        <w:sectPr>
          <w:footnotePr>
            <w:pos w:val="pageBottom"/>
            <w:numFmt w:val="decimal"/>
            <w:numRestart w:val="continuous"/>
          </w:footnotePr>
          <w:type w:val="continuous"/>
          <w:pgSz w:w="11909" w:h="16838"/>
          <w:pgMar w:top="782" w:left="0" w:right="0" w:bottom="1191" w:header="0" w:footer="3" w:gutter="0"/>
          <w:cols w:space="720"/>
          <w:noEndnote/>
          <w:rtlGutter w:val="0"/>
          <w:docGrid w:linePitch="360"/>
        </w:sectPr>
      </w:pPr>
    </w:p>
    <w:p>
      <w:pPr>
        <w:pStyle w:val="Style8"/>
        <w:keepNext w:val="0"/>
        <w:keepLines w:val="0"/>
        <w:framePr w:w="2218" w:h="355" w:wrap="none" w:vAnchor="text" w:hAnchor="page" w:x="1112" w:y="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Jméno: ……………….</w:t>
      </w:r>
    </w:p>
    <w:p>
      <w:pPr>
        <w:pStyle w:val="Style8"/>
        <w:keepNext w:val="0"/>
        <w:keepLines w:val="0"/>
        <w:framePr w:w="3653" w:h="355" w:wrap="none" w:vAnchor="text" w:hAnchor="page" w:x="6329" w:y="21"/>
        <w:widowControl w:val="0"/>
        <w:shd w:val="clear" w:color="auto" w:fill="auto"/>
        <w:tabs>
          <w:tab w:pos="3595" w:val="left"/>
        </w:tabs>
        <w:bidi w:val="0"/>
        <w:spacing w:before="0" w:after="0" w:line="240" w:lineRule="auto"/>
        <w:ind w:left="0" w:right="0" w:firstLine="0"/>
        <w:jc w:val="right"/>
      </w:pPr>
      <w:r>
        <w:rPr>
          <w:color w:val="000000"/>
          <w:spacing w:val="0"/>
          <w:w w:val="100"/>
          <w:position w:val="0"/>
          <w:shd w:val="clear" w:color="auto" w:fill="auto"/>
          <w:lang w:val="cs-CZ" w:eastAsia="cs-CZ" w:bidi="cs-CZ"/>
        </w:rPr>
        <w:t xml:space="preserve">El. podpis: </w:t>
      </w:r>
      <w:r>
        <w:rPr>
          <w:u w:val="single"/>
        </w:rPr>
        <w:t xml:space="preserve"> </w:t>
        <w:tab/>
      </w:r>
    </w:p>
    <w:p>
      <w:pPr>
        <w:widowControl w:val="0"/>
        <w:spacing w:after="354" w:line="1" w:lineRule="exact"/>
      </w:pPr>
    </w:p>
    <w:p>
      <w:pPr>
        <w:widowControl w:val="0"/>
        <w:spacing w:line="1" w:lineRule="exact"/>
      </w:pPr>
    </w:p>
    <w:sectPr>
      <w:footnotePr>
        <w:pos w:val="pageBottom"/>
        <w:numFmt w:val="decimal"/>
        <w:numRestart w:val="continuous"/>
      </w:footnotePr>
      <w:type w:val="continuous"/>
      <w:pgSz w:w="11909" w:h="16838"/>
      <w:pgMar w:top="782" w:left="1111" w:right="1101" w:bottom="1191"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6045200</wp:posOffset>
              </wp:positionH>
              <wp:positionV relativeFrom="page">
                <wp:posOffset>9872345</wp:posOffset>
              </wp:positionV>
              <wp:extent cx="798830" cy="210185"/>
              <wp:wrapNone/>
              <wp:docPr id="1" name="Shape 1"/>
              <a:graphic xmlns:a="http://schemas.openxmlformats.org/drawingml/2006/main">
                <a:graphicData uri="http://schemas.microsoft.com/office/word/2010/wordprocessingShape">
                  <wps:wsp>
                    <wps:cNvSpPr txBox="1"/>
                    <wps:spPr>
                      <a:xfrm>
                        <a:ext cx="798830" cy="21018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1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1</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76.pt;margin-top:777.35000000000002pt;width:62.899999999999999pt;height:16.550000000000001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1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28"/>
      <w:szCs w:val="28"/>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9">
    <w:name w:val="Char Style 9"/>
    <w:basedOn w:val="DefaultParagraphFont"/>
    <w:link w:val="Style8"/>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200"/>
      <w:jc w:val="center"/>
    </w:pPr>
    <w:rPr>
      <w:rFonts w:ascii="Arial" w:eastAsia="Arial" w:hAnsi="Arial" w:cs="Arial"/>
      <w:b/>
      <w:bCs/>
      <w:i w:val="0"/>
      <w:iCs w:val="0"/>
      <w:smallCaps w:val="0"/>
      <w:strike w:val="0"/>
      <w:sz w:val="28"/>
      <w:szCs w:val="28"/>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8">
    <w:name w:val="Style 8"/>
    <w:basedOn w:val="Normal"/>
    <w:link w:val="CharStyle9"/>
    <w:pPr>
      <w:widowControl w:val="0"/>
      <w:shd w:val="clear" w:color="auto" w:fill="FFFFFF"/>
      <w:spacing w:after="6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