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0C58A9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KK01679/2024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5C67E8E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0306C0">
        <w:rPr>
          <w:rFonts w:eastAsia="Times New Roman"/>
          <w:b/>
          <w:bCs/>
          <w:lang w:eastAsia="cs-CZ"/>
        </w:rPr>
        <w:t>Obec Mnichov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225491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č.p. 1, 35301 Mnichov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2CD8D117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254096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7098B04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CZ00254096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421DBE4B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Jiří Křenčil,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5D83D0B1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4D773FC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4828331/0100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32F7892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527BD22C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wb7b5hc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2539057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306C0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5858533E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306C0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6B3B20EA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306C0">
        <w:rPr>
          <w:sz w:val="22"/>
          <w:szCs w:val="22"/>
        </w:rPr>
        <w:t>Podprogram 1 - Dětská hřiště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ABEDCBA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0306C0">
        <w:rPr>
          <w:sz w:val="22"/>
          <w:szCs w:val="22"/>
        </w:rPr>
        <w:t>2490695063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61779765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3003B392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a) Herní prvky 18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22BDD9F7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0DFE4C2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="000306C0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</w:t>
      </w:r>
      <w:r w:rsidRPr="0096502F">
        <w:rPr>
          <w:rFonts w:eastAsia="Arial Unicode MS"/>
          <w:lang w:eastAsia="cs-CZ"/>
        </w:rPr>
        <w:lastRenderedPageBreak/>
        <w:t>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společným trhem v případě, že by se jednalo o veřejnou podporu, je toliko Komise (ES). Komise (ES) je oprávněna </w:t>
      </w:r>
      <w:r w:rsidRPr="00A56375">
        <w:rPr>
          <w:rFonts w:eastAsia="Times New Roman"/>
          <w:lang w:eastAsia="cs-CZ"/>
        </w:rPr>
        <w:lastRenderedPageBreak/>
        <w:t>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2CDF6D2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0306C0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9150BF0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0306C0">
              <w:rPr>
                <w:rFonts w:eastAsia="Times New Roman"/>
                <w:lang w:eastAsia="cs-CZ"/>
              </w:rPr>
              <w:t>Jiří Křenčil,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06C0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A75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4137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6623-0659-4A86-9075-18818BC3C232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5A3E5-600F-49F3-932E-B88F429D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2024-05-23T07:55:00Z</dcterms:created>
  <dcterms:modified xsi:type="dcterms:W3CDTF">2024-05-23T07:55:00Z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