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0ABBF10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B80970">
        <w:rPr>
          <w:rFonts w:asciiTheme="minorHAnsi" w:hAnsiTheme="minorHAnsi"/>
          <w:b/>
          <w:sz w:val="28"/>
          <w:szCs w:val="28"/>
        </w:rPr>
        <w:t>281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7D1DB7">
        <w:rPr>
          <w:rFonts w:asciiTheme="minorHAnsi" w:hAnsiTheme="minorHAnsi"/>
          <w:b/>
          <w:sz w:val="28"/>
          <w:szCs w:val="28"/>
        </w:rPr>
        <w:t>2</w:t>
      </w:r>
      <w:r w:rsidR="00E447CB" w:rsidRPr="007D1DB7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97584B" w14:textId="77777777" w:rsidR="00067AC4" w:rsidRPr="00634164" w:rsidRDefault="00067AC4" w:rsidP="00067AC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8231A79" w14:textId="77777777" w:rsidR="00067AC4" w:rsidRPr="002D3074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D3074">
        <w:rPr>
          <w:rFonts w:ascii="Calibri" w:hAnsi="Calibri"/>
          <w:color w:val="000000" w:themeColor="text1"/>
          <w:sz w:val="22"/>
          <w:szCs w:val="22"/>
        </w:rPr>
        <w:t xml:space="preserve">Dragons Pardubice z. s., </w:t>
      </w:r>
    </w:p>
    <w:p w14:paraId="55BB7D01" w14:textId="77777777" w:rsidR="00067AC4" w:rsidRPr="002D3074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D3074">
        <w:rPr>
          <w:rFonts w:ascii="Calibri" w:hAnsi="Calibri"/>
          <w:color w:val="000000" w:themeColor="text1"/>
          <w:sz w:val="22"/>
          <w:szCs w:val="22"/>
        </w:rPr>
        <w:t>sídlo: Štrossova 1339, Bílé Předměstí, 530 03 Pardubice,</w:t>
      </w:r>
    </w:p>
    <w:p w14:paraId="14B78288" w14:textId="77777777" w:rsidR="00067AC4" w:rsidRPr="002D3074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D3074">
        <w:rPr>
          <w:rFonts w:ascii="Calibri" w:hAnsi="Calibri"/>
          <w:color w:val="000000" w:themeColor="text1"/>
          <w:sz w:val="22"/>
          <w:szCs w:val="22"/>
        </w:rPr>
        <w:t>IČO: 03612694,</w:t>
      </w:r>
      <w:r w:rsidRPr="002D3074">
        <w:rPr>
          <w:rFonts w:ascii="Calibri" w:hAnsi="Calibri"/>
          <w:color w:val="000000" w:themeColor="text1"/>
          <w:sz w:val="22"/>
          <w:szCs w:val="22"/>
        </w:rPr>
        <w:tab/>
      </w:r>
    </w:p>
    <w:p w14:paraId="5F1755D9" w14:textId="77777777" w:rsidR="00067AC4" w:rsidRPr="002D3074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D3074">
        <w:rPr>
          <w:rFonts w:ascii="Calibri" w:hAnsi="Calibri"/>
          <w:color w:val="000000" w:themeColor="text1"/>
          <w:sz w:val="22"/>
          <w:szCs w:val="22"/>
        </w:rPr>
        <w:t>číslo bankovního účtu: 2500986987/2010,</w:t>
      </w:r>
    </w:p>
    <w:p w14:paraId="1D4559C0" w14:textId="77777777" w:rsidR="00067AC4" w:rsidRPr="00320AC5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D307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Kristýnou Coufalovou</w:t>
      </w:r>
      <w:r w:rsidRPr="002D3074">
        <w:rPr>
          <w:rFonts w:ascii="Calibri" w:hAnsi="Calibri"/>
          <w:color w:val="000000" w:themeColor="text1"/>
          <w:sz w:val="22"/>
          <w:szCs w:val="22"/>
        </w:rPr>
        <w:t>,</w:t>
      </w:r>
      <w:r>
        <w:rPr>
          <w:rFonts w:ascii="Calibri" w:hAnsi="Calibri"/>
          <w:color w:val="000000" w:themeColor="text1"/>
          <w:sz w:val="22"/>
          <w:szCs w:val="22"/>
        </w:rPr>
        <w:t xml:space="preserve"> DiS.,</w:t>
      </w:r>
      <w:r w:rsidRPr="002D3074">
        <w:rPr>
          <w:rFonts w:ascii="Calibri" w:hAnsi="Calibri"/>
          <w:color w:val="000000" w:themeColor="text1"/>
          <w:sz w:val="22"/>
          <w:szCs w:val="22"/>
        </w:rPr>
        <w:t xml:space="preserve"> předsedkyní</w:t>
      </w:r>
    </w:p>
    <w:p w14:paraId="0890CE28" w14:textId="77777777" w:rsidR="00067AC4" w:rsidRPr="000F7E7A" w:rsidRDefault="00067AC4" w:rsidP="00067A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62B32BDE" w:rsidR="00CD3B0A" w:rsidRPr="007D1DB7" w:rsidRDefault="00E447CB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2024 schválená Zastupitelstvem města Pardubic na jednání dne 18.12.2023 usnesením č. Z/893/2023 (dále jen „Pravidla“) a Zásady pro poskytování dotací z rozpočtu statutárního města Pardubice přijaté Zastupitelstvem města Pardubic dne 18.12.2023 usnesením č. Z/888/2023</w:t>
      </w:r>
      <w:r w:rsidRPr="007D1DB7" w:rsidDel="008D2316">
        <w:rPr>
          <w:rFonts w:asciiTheme="minorHAnsi" w:hAnsiTheme="minorHAnsi"/>
          <w:sz w:val="22"/>
          <w:szCs w:val="22"/>
        </w:rPr>
        <w:t xml:space="preserve"> </w:t>
      </w:r>
      <w:r w:rsidRPr="007D1DB7">
        <w:rPr>
          <w:rFonts w:asciiTheme="minorHAnsi" w:hAnsiTheme="minorHAnsi"/>
          <w:sz w:val="22"/>
          <w:szCs w:val="22"/>
        </w:rPr>
        <w:t>(Směrnice č. 8/2023 – dále jen „Zásady“). Pravidla a Zásady jsou zveřejněny na webových stránkách statutárního města Pardubice (</w:t>
      </w:r>
      <w:hyperlink r:id="rId12" w:history="1">
        <w:r w:rsidRPr="007D1DB7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7D1DB7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0FE10B2B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281070" w14:textId="4FF6C1DF" w:rsidR="007D1DB7" w:rsidRPr="002E3288" w:rsidRDefault="007D1DB7" w:rsidP="007D1DB7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Pr="0058205F">
        <w:rPr>
          <w:rFonts w:asciiTheme="minorHAnsi" w:hAnsiTheme="minorHAnsi"/>
          <w:sz w:val="22"/>
          <w:szCs w:val="22"/>
        </w:rPr>
        <w:t>Poskytovatel touto smlouvou poskytuje</w:t>
      </w:r>
      <w:r w:rsidRPr="002E3288">
        <w:rPr>
          <w:rFonts w:asciiTheme="minorHAnsi" w:hAnsiTheme="minorHAnsi"/>
          <w:sz w:val="22"/>
          <w:szCs w:val="22"/>
        </w:rPr>
        <w:t xml:space="preserve">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2A014D">
        <w:rPr>
          <w:rFonts w:asciiTheme="minorHAnsi" w:hAnsiTheme="minorHAnsi"/>
          <w:sz w:val="22"/>
          <w:szCs w:val="22"/>
        </w:rPr>
        <w:t>4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067AC4">
        <w:rPr>
          <w:rFonts w:asciiTheme="minorHAnsi" w:hAnsiTheme="minorHAnsi"/>
          <w:b/>
          <w:sz w:val="22"/>
          <w:szCs w:val="22"/>
        </w:rPr>
        <w:t>300.700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067AC4">
        <w:rPr>
          <w:rFonts w:asciiTheme="minorHAnsi" w:hAnsiTheme="minorHAnsi"/>
          <w:sz w:val="22"/>
          <w:szCs w:val="22"/>
        </w:rPr>
        <w:t>tři sta tisíc sedm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90B535A" w14:textId="23091D30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067AC4">
        <w:rPr>
          <w:rFonts w:asciiTheme="minorHAnsi" w:hAnsiTheme="minorHAnsi"/>
          <w:b/>
          <w:sz w:val="22"/>
          <w:szCs w:val="22"/>
        </w:rPr>
        <w:t>20.900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067AC4">
        <w:rPr>
          <w:rFonts w:asciiTheme="minorHAnsi" w:hAnsiTheme="minorHAnsi"/>
          <w:sz w:val="22"/>
          <w:szCs w:val="22"/>
        </w:rPr>
        <w:t>dvacet tisíc devět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36AC1CE5" w14:textId="1E16918A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067AC4">
        <w:rPr>
          <w:rFonts w:asciiTheme="minorHAnsi" w:hAnsiTheme="minorHAnsi"/>
          <w:b/>
          <w:sz w:val="22"/>
          <w:szCs w:val="22"/>
        </w:rPr>
        <w:t>279.800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067AC4">
        <w:rPr>
          <w:rFonts w:asciiTheme="minorHAnsi" w:hAnsiTheme="minorHAnsi"/>
          <w:sz w:val="22"/>
          <w:szCs w:val="22"/>
        </w:rPr>
        <w:t>dvě stě sedmdesát devět tisíc osm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5A2B3600" w14:textId="77777777" w:rsidR="007D1DB7" w:rsidRPr="00811AF4" w:rsidRDefault="007D1DB7" w:rsidP="007D1DB7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4DCBEC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Účelu dotace</w:t>
      </w:r>
      <w:r w:rsidR="00177473" w:rsidRPr="007D1DB7">
        <w:rPr>
          <w:rFonts w:asciiTheme="minorHAnsi" w:hAnsiTheme="minorHAnsi"/>
          <w:sz w:val="22"/>
          <w:szCs w:val="22"/>
        </w:rPr>
        <w:t xml:space="preserve"> a realizace projektu</w:t>
      </w:r>
      <w:r w:rsidRPr="007D1DB7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7D1DB7">
        <w:rPr>
          <w:rFonts w:asciiTheme="minorHAnsi" w:hAnsiTheme="minorHAnsi"/>
          <w:b/>
          <w:sz w:val="22"/>
          <w:szCs w:val="22"/>
        </w:rPr>
        <w:t>31.12.</w:t>
      </w:r>
      <w:r w:rsidR="009973F1" w:rsidRPr="007D1DB7">
        <w:rPr>
          <w:rFonts w:asciiTheme="minorHAnsi" w:hAnsiTheme="minorHAnsi"/>
          <w:b/>
          <w:sz w:val="22"/>
          <w:szCs w:val="22"/>
        </w:rPr>
        <w:t>202</w:t>
      </w:r>
      <w:r w:rsidR="00E447CB" w:rsidRPr="007D1DB7">
        <w:rPr>
          <w:rFonts w:asciiTheme="minorHAnsi" w:hAnsiTheme="minorHAnsi"/>
          <w:b/>
          <w:sz w:val="22"/>
          <w:szCs w:val="22"/>
        </w:rPr>
        <w:t>4</w:t>
      </w:r>
      <w:r w:rsidRPr="007D1DB7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43C458B8" w:rsidR="006D6794" w:rsidRPr="00235531" w:rsidRDefault="007D1DB7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067AC4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067AC4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067AC4">
        <w:rPr>
          <w:rFonts w:asciiTheme="minorHAnsi" w:hAnsiTheme="minorHAnsi"/>
          <w:sz w:val="22"/>
          <w:szCs w:val="22"/>
        </w:rPr>
        <w:t>07.02.2024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067AC4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067AC4">
        <w:rPr>
          <w:rFonts w:asciiTheme="minorHAnsi" w:hAnsiTheme="minorHAnsi"/>
          <w:sz w:val="22"/>
          <w:szCs w:val="22"/>
        </w:rPr>
        <w:t>19465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067AC4">
        <w:rPr>
          <w:rFonts w:asciiTheme="minorHAnsi" w:hAnsiTheme="minorHAnsi"/>
          <w:sz w:val="22"/>
          <w:szCs w:val="22"/>
        </w:rPr>
        <w:t xml:space="preserve"> a</w:t>
      </w:r>
      <w:r w:rsidRPr="00235531">
        <w:rPr>
          <w:rFonts w:asciiTheme="minorHAnsi" w:hAnsiTheme="minorHAnsi"/>
          <w:sz w:val="22"/>
          <w:szCs w:val="22"/>
        </w:rPr>
        <w:t xml:space="preserve"> MmP </w:t>
      </w:r>
      <w:r w:rsidR="00067AC4">
        <w:rPr>
          <w:rFonts w:asciiTheme="minorHAnsi" w:hAnsiTheme="minorHAnsi"/>
          <w:sz w:val="22"/>
          <w:szCs w:val="22"/>
        </w:rPr>
        <w:t>18991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6D6794" w:rsidRPr="00B744D8">
        <w:rPr>
          <w:rFonts w:asciiTheme="minorHAnsi" w:hAnsiTheme="minorHAnsi"/>
          <w:sz w:val="22"/>
          <w:szCs w:val="22"/>
        </w:rPr>
        <w:t>,</w:t>
      </w:r>
      <w:r w:rsidR="006D6794"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3217AFD3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D1DB7">
        <w:rPr>
          <w:rFonts w:ascii="Calibri" w:hAnsi="Calibri"/>
          <w:sz w:val="22"/>
          <w:szCs w:val="22"/>
        </w:rPr>
        <w:t>doručit</w:t>
      </w:r>
      <w:r w:rsidR="00CD3B0A" w:rsidRPr="007D1DB7">
        <w:rPr>
          <w:rFonts w:ascii="Calibri" w:hAnsi="Calibri"/>
          <w:sz w:val="22"/>
          <w:szCs w:val="22"/>
        </w:rPr>
        <w:t xml:space="preserve"> poskytovateli </w:t>
      </w:r>
      <w:r w:rsidR="00CD3B0A" w:rsidRPr="007D1DB7">
        <w:rPr>
          <w:rFonts w:ascii="Calibri" w:hAnsi="Calibri"/>
          <w:b/>
          <w:sz w:val="22"/>
          <w:szCs w:val="22"/>
        </w:rPr>
        <w:t>nejpozději do </w:t>
      </w:r>
      <w:r w:rsidR="00235531" w:rsidRPr="007D1DB7">
        <w:rPr>
          <w:rFonts w:ascii="Calibri" w:hAnsi="Calibri"/>
          <w:b/>
          <w:sz w:val="22"/>
          <w:szCs w:val="22"/>
        </w:rPr>
        <w:t>15.01.202</w:t>
      </w:r>
      <w:r w:rsidR="00E447CB" w:rsidRPr="007D1DB7">
        <w:rPr>
          <w:rFonts w:ascii="Calibri" w:hAnsi="Calibri"/>
          <w:b/>
          <w:sz w:val="22"/>
          <w:szCs w:val="22"/>
        </w:rPr>
        <w:t>5</w:t>
      </w:r>
      <w:r w:rsidR="00177473" w:rsidRPr="007D1DB7">
        <w:rPr>
          <w:rFonts w:ascii="Calibri" w:hAnsi="Calibri"/>
          <w:sz w:val="22"/>
          <w:szCs w:val="22"/>
        </w:rPr>
        <w:t xml:space="preserve"> </w:t>
      </w:r>
      <w:r w:rsidRPr="007D1DB7">
        <w:rPr>
          <w:rFonts w:ascii="Calibri" w:hAnsi="Calibri"/>
          <w:sz w:val="22"/>
          <w:szCs w:val="22"/>
        </w:rPr>
        <w:t>vyúčtování dotace, včetně čestného</w:t>
      </w:r>
      <w:r w:rsidRPr="00FE1D4E">
        <w:rPr>
          <w:rFonts w:ascii="Calibri" w:hAnsi="Calibri"/>
          <w:sz w:val="22"/>
          <w:szCs w:val="22"/>
        </w:rPr>
        <w:t xml:space="preserve">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5307A76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D2042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9D2042">
        <w:rPr>
          <w:rFonts w:asciiTheme="minorHAnsi" w:hAnsiTheme="minorHAnsi"/>
          <w:b/>
          <w:sz w:val="22"/>
          <w:szCs w:val="22"/>
        </w:rPr>
        <w:t>15.01.202</w:t>
      </w:r>
      <w:r w:rsidR="00E447CB" w:rsidRPr="009D2042">
        <w:rPr>
          <w:rFonts w:asciiTheme="minorHAnsi" w:hAnsiTheme="minorHAnsi"/>
          <w:b/>
          <w:sz w:val="22"/>
          <w:szCs w:val="22"/>
        </w:rPr>
        <w:t>5</w:t>
      </w:r>
      <w:r w:rsidRPr="009D2042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6729D6BF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</w:t>
      </w:r>
      <w:r w:rsidRPr="009D2042">
        <w:rPr>
          <w:rFonts w:asciiTheme="minorHAnsi" w:hAnsiTheme="minorHAnsi"/>
          <w:sz w:val="22"/>
          <w:szCs w:val="22"/>
        </w:rPr>
        <w:t xml:space="preserve"> </w:t>
      </w:r>
      <w:r w:rsidRPr="009D2042">
        <w:rPr>
          <w:rFonts w:asciiTheme="minorHAnsi" w:hAnsiTheme="minorHAnsi"/>
          <w:b/>
          <w:sz w:val="22"/>
          <w:szCs w:val="22"/>
        </w:rPr>
        <w:t>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</w:t>
      </w:r>
      <w:r w:rsidRPr="009D2042">
        <w:rPr>
          <w:rFonts w:asciiTheme="minorHAnsi" w:hAnsiTheme="minorHAnsi"/>
          <w:b/>
          <w:sz w:val="22"/>
          <w:szCs w:val="22"/>
        </w:rPr>
        <w:t>.</w:t>
      </w:r>
      <w:r w:rsidRPr="009D2042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6F8E09C5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 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Pr="009D2042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</w:t>
      </w:r>
      <w:r w:rsidRPr="00F03365">
        <w:rPr>
          <w:rFonts w:asciiTheme="minorHAnsi" w:hAnsiTheme="minorHAnsi"/>
          <w:sz w:val="22"/>
          <w:szCs w:val="22"/>
        </w:rPr>
        <w:t xml:space="preserve">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66679158" w14:textId="77777777" w:rsidR="00E627D0" w:rsidRPr="00EE45FD" w:rsidRDefault="00E627D0" w:rsidP="00E627D0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2E3FD2E8" w14:textId="77777777" w:rsidR="00E627D0" w:rsidRPr="00EE45FD" w:rsidRDefault="00E627D0" w:rsidP="00E627D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18AE45F" w14:textId="77777777" w:rsidR="00E627D0" w:rsidRPr="00EE45FD" w:rsidRDefault="00E627D0" w:rsidP="00E627D0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spravovaném Digitální a informační agenturou, 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v souladu se zákonem č. 340/2015 Sb., o zvláštních podmínkách účinnosti některých smluv, uveřejňování těchto smluv a o registru smluv (zákon o registru smluv), v platném znění. </w:t>
      </w:r>
    </w:p>
    <w:p w14:paraId="28680567" w14:textId="77777777" w:rsidR="00E627D0" w:rsidRPr="00EE45FD" w:rsidRDefault="00E627D0" w:rsidP="00E627D0">
      <w:pPr>
        <w:ind w:left="426" w:hanging="426"/>
      </w:pPr>
    </w:p>
    <w:p w14:paraId="39A401A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3E15211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16388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2D848C62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0A5B8D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56702CC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BE30608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F6B240B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528A3F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8E5AF7" w14:textId="77777777" w:rsidR="00E627D0" w:rsidRPr="00EE45FD" w:rsidRDefault="00E627D0" w:rsidP="00E627D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44ABE4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528334D3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6B2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B2861A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F4460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17EE1CF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967E3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2D035751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399A5C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27F283D2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CB031F">
        <w:rPr>
          <w:rFonts w:asciiTheme="minorHAnsi" w:hAnsiTheme="minorHAnsi"/>
          <w:sz w:val="22"/>
          <w:szCs w:val="22"/>
        </w:rPr>
        <w:t xml:space="preserve"> 27.05.2024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050F0A">
        <w:rPr>
          <w:rFonts w:asciiTheme="minorHAnsi" w:hAnsiTheme="minorHAnsi"/>
          <w:sz w:val="22"/>
          <w:szCs w:val="22"/>
        </w:rPr>
        <w:t xml:space="preserve"> </w:t>
      </w:r>
      <w:r w:rsidR="00CB031F">
        <w:rPr>
          <w:rFonts w:asciiTheme="minorHAnsi" w:hAnsiTheme="minorHAnsi"/>
          <w:sz w:val="22"/>
          <w:szCs w:val="22"/>
        </w:rPr>
        <w:t>16.05.2024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7F59B164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67AC4">
        <w:rPr>
          <w:rFonts w:asciiTheme="minorHAnsi" w:hAnsiTheme="minorHAnsi"/>
          <w:sz w:val="22"/>
          <w:szCs w:val="22"/>
        </w:rPr>
        <w:t>Kristýna Coufalová, DiS.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47F17A66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B80970">
        <w:rPr>
          <w:rFonts w:asciiTheme="minorHAnsi" w:hAnsiTheme="minorHAnsi"/>
          <w:sz w:val="20"/>
          <w:szCs w:val="20"/>
        </w:rPr>
        <w:t>1244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E447CB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2</w:t>
      </w:r>
      <w:r w:rsidR="00EE45FD" w:rsidRPr="009D2042">
        <w:rPr>
          <w:rFonts w:asciiTheme="minorHAnsi" w:hAnsiTheme="minorHAnsi"/>
          <w:sz w:val="20"/>
          <w:szCs w:val="20"/>
        </w:rPr>
        <w:t>.04.</w:t>
      </w:r>
      <w:r w:rsidRPr="009D2042">
        <w:rPr>
          <w:rFonts w:asciiTheme="minorHAnsi" w:hAnsiTheme="minorHAnsi"/>
          <w:sz w:val="20"/>
          <w:szCs w:val="20"/>
        </w:rPr>
        <w:t>20</w:t>
      </w:r>
      <w:r w:rsidR="006917AC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99A30" w14:textId="77777777" w:rsidR="00E447CB" w:rsidRPr="006D3C48" w:rsidRDefault="00E447CB" w:rsidP="00E447CB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2EFD0D63" w14:textId="77777777" w:rsidR="00E447CB" w:rsidRPr="006D3C48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3CF762A9" w14:textId="77777777" w:rsidR="00E447CB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7990C31C" w14:textId="77777777" w:rsidR="00E447CB" w:rsidRPr="009D2042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9D2042">
        <w:rPr>
          <w:rFonts w:asciiTheme="minorHAnsi" w:hAnsiTheme="minorHAnsi" w:cstheme="minorHAnsi"/>
        </w:rPr>
        <w:t xml:space="preserve">není vůči němu vedeno exekuční řízení.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2BEFF1AA" w:rsidR="00E447CB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E447CB" w:rsidRDefault="00E447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E447CB" w:rsidRDefault="00E447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DB14" w14:textId="73C77BE3" w:rsidR="007D43BC" w:rsidRDefault="007D43BC">
    <w:pPr>
      <w:pStyle w:val="Zpat"/>
      <w:jc w:val="center"/>
    </w:pPr>
  </w:p>
  <w:p w14:paraId="4F366DE0" w14:textId="77777777" w:rsidR="007D43BC" w:rsidRDefault="007D4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449CB"/>
    <w:rsid w:val="00050899"/>
    <w:rsid w:val="00050F0A"/>
    <w:rsid w:val="0005457C"/>
    <w:rsid w:val="00055ABD"/>
    <w:rsid w:val="00067AC4"/>
    <w:rsid w:val="00080349"/>
    <w:rsid w:val="00094CFE"/>
    <w:rsid w:val="000A0147"/>
    <w:rsid w:val="000B79C0"/>
    <w:rsid w:val="000C5054"/>
    <w:rsid w:val="000C6607"/>
    <w:rsid w:val="000C7287"/>
    <w:rsid w:val="000F7E22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479F"/>
    <w:rsid w:val="0027527A"/>
    <w:rsid w:val="002806CD"/>
    <w:rsid w:val="00283DB5"/>
    <w:rsid w:val="00290BB3"/>
    <w:rsid w:val="0029228B"/>
    <w:rsid w:val="002A014D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1683D"/>
    <w:rsid w:val="00320AC5"/>
    <w:rsid w:val="00322DD6"/>
    <w:rsid w:val="003345B8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5FD6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D5EA3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1DB7"/>
    <w:rsid w:val="007D43BC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A4FE9"/>
    <w:rsid w:val="008B131C"/>
    <w:rsid w:val="008B3F83"/>
    <w:rsid w:val="008B4E4C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2042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4D8"/>
    <w:rsid w:val="00B74A17"/>
    <w:rsid w:val="00B7536D"/>
    <w:rsid w:val="00B77170"/>
    <w:rsid w:val="00B809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B031F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47CB"/>
    <w:rsid w:val="00E477A5"/>
    <w:rsid w:val="00E522E8"/>
    <w:rsid w:val="00E57D96"/>
    <w:rsid w:val="00E627D0"/>
    <w:rsid w:val="00E67506"/>
    <w:rsid w:val="00E70037"/>
    <w:rsid w:val="00E71A13"/>
    <w:rsid w:val="00E77A44"/>
    <w:rsid w:val="00E80632"/>
    <w:rsid w:val="00E85EBF"/>
    <w:rsid w:val="00EA598B"/>
    <w:rsid w:val="00EB5D17"/>
    <w:rsid w:val="00EB5E74"/>
    <w:rsid w:val="00EC36C7"/>
    <w:rsid w:val="00EC510D"/>
    <w:rsid w:val="00ED2D4B"/>
    <w:rsid w:val="00EE1818"/>
    <w:rsid w:val="00EE45FD"/>
    <w:rsid w:val="00EF353F"/>
    <w:rsid w:val="00EF4294"/>
    <w:rsid w:val="00EF4BE6"/>
    <w:rsid w:val="00F032F8"/>
    <w:rsid w:val="00F03365"/>
    <w:rsid w:val="00F0535E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purl.org/dc/dcmitype/"/>
    <ds:schemaRef ds:uri="f94004b3-5c85-4b6f-b2cb-b6e165aced0d"/>
    <ds:schemaRef ds:uri="http://www.w3.org/XML/1998/namespace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2024-05-16T08:57:00Z</cp:lastPrinted>
  <dcterms:created xsi:type="dcterms:W3CDTF">2024-04-09T15:06:00Z</dcterms:created>
  <dcterms:modified xsi:type="dcterms:W3CDTF">2024-05-27T13:45:00Z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