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2C837D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8F3176">
        <w:rPr>
          <w:rFonts w:asciiTheme="minorHAnsi" w:hAnsiTheme="minorHAnsi"/>
          <w:b/>
          <w:sz w:val="28"/>
          <w:szCs w:val="28"/>
        </w:rPr>
        <w:t>202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17CED48" w14:textId="77777777" w:rsidR="00BB3887" w:rsidRPr="00634164" w:rsidRDefault="00BB3887" w:rsidP="00BB388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0A7B222" w14:textId="77777777" w:rsidR="00BB3887" w:rsidRPr="003A0FFC" w:rsidRDefault="00BB3887" w:rsidP="00BB388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OK Lokomotiva Pardubice, spolek,</w:t>
      </w:r>
    </w:p>
    <w:p w14:paraId="5C699290" w14:textId="77777777" w:rsidR="00BB3887" w:rsidRPr="003A0FFC" w:rsidRDefault="00BB3887" w:rsidP="00BB388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sídlo: Palackého třída 2547, Zelené Předměstí, 530 02 Pardubice,</w:t>
      </w:r>
    </w:p>
    <w:p w14:paraId="59287617" w14:textId="77777777" w:rsidR="00BB3887" w:rsidRPr="003A0FFC" w:rsidRDefault="00BB3887" w:rsidP="00BB388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IČO: 26606747,</w:t>
      </w:r>
      <w:r w:rsidRPr="003A0FFC">
        <w:rPr>
          <w:rFonts w:ascii="Calibri" w:hAnsi="Calibri"/>
          <w:color w:val="000000" w:themeColor="text1"/>
          <w:sz w:val="22"/>
          <w:szCs w:val="22"/>
        </w:rPr>
        <w:tab/>
      </w:r>
    </w:p>
    <w:p w14:paraId="0047355D" w14:textId="77777777" w:rsidR="00BB3887" w:rsidRPr="003A0FFC" w:rsidRDefault="00BB3887" w:rsidP="00BB388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číslo bankovního účtu: 1069724001/5500,</w:t>
      </w:r>
    </w:p>
    <w:p w14:paraId="46D6DE91" w14:textId="77777777" w:rsidR="00BB3887" w:rsidRPr="00320AC5" w:rsidRDefault="00BB3887" w:rsidP="00BB388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zastoupený: Ing. Petrem Klimplem, předsedou</w:t>
      </w:r>
    </w:p>
    <w:p w14:paraId="3C2539D8" w14:textId="77777777" w:rsidR="00BB3887" w:rsidRPr="000F7E7A" w:rsidRDefault="00BB3887" w:rsidP="00BB388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1C1203BB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BB3887">
        <w:rPr>
          <w:rFonts w:asciiTheme="minorHAnsi" w:hAnsiTheme="minorHAnsi"/>
          <w:b/>
          <w:sz w:val="22"/>
          <w:szCs w:val="22"/>
        </w:rPr>
        <w:t>719.100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BB3887">
        <w:rPr>
          <w:rFonts w:asciiTheme="minorHAnsi" w:hAnsiTheme="minorHAnsi"/>
          <w:sz w:val="22"/>
          <w:szCs w:val="22"/>
        </w:rPr>
        <w:t>sedm set devatenáct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6949A36F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BB3887">
        <w:rPr>
          <w:rFonts w:asciiTheme="minorHAnsi" w:hAnsiTheme="minorHAnsi"/>
          <w:b/>
          <w:sz w:val="22"/>
          <w:szCs w:val="22"/>
        </w:rPr>
        <w:t>183.900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BB3887">
        <w:rPr>
          <w:rFonts w:asciiTheme="minorHAnsi" w:hAnsiTheme="minorHAnsi"/>
          <w:sz w:val="22"/>
          <w:szCs w:val="22"/>
        </w:rPr>
        <w:t>jedno sto osmdesát tři tisíce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18F234C7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BB3887">
        <w:rPr>
          <w:rFonts w:asciiTheme="minorHAnsi" w:hAnsiTheme="minorHAnsi"/>
          <w:b/>
          <w:sz w:val="22"/>
          <w:szCs w:val="22"/>
        </w:rPr>
        <w:t>459.700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BB3887">
        <w:rPr>
          <w:rFonts w:asciiTheme="minorHAnsi" w:hAnsiTheme="minorHAnsi"/>
          <w:sz w:val="22"/>
          <w:szCs w:val="22"/>
        </w:rPr>
        <w:t>čtyři sta padesát devět tisíc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54B2478F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BB3887">
        <w:rPr>
          <w:rFonts w:asciiTheme="minorHAnsi" w:hAnsiTheme="minorHAnsi"/>
          <w:b/>
          <w:sz w:val="22"/>
          <w:szCs w:val="22"/>
        </w:rPr>
        <w:t>75.500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BB3887">
        <w:rPr>
          <w:rFonts w:asciiTheme="minorHAnsi" w:hAnsiTheme="minorHAnsi"/>
          <w:sz w:val="22"/>
          <w:szCs w:val="22"/>
        </w:rPr>
        <w:t>sedmdesát pět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5FCE2C3D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BB3887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BB388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BB3887">
        <w:rPr>
          <w:rFonts w:asciiTheme="minorHAnsi" w:hAnsiTheme="minorHAnsi"/>
          <w:sz w:val="22"/>
          <w:szCs w:val="22"/>
        </w:rPr>
        <w:t>19.01.2024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BB3887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BB3887">
        <w:rPr>
          <w:rFonts w:asciiTheme="minorHAnsi" w:hAnsiTheme="minorHAnsi"/>
          <w:sz w:val="22"/>
          <w:szCs w:val="22"/>
        </w:rPr>
        <w:t>10059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, MmP </w:t>
      </w:r>
      <w:r w:rsidR="00BB3887">
        <w:rPr>
          <w:rFonts w:asciiTheme="minorHAnsi" w:hAnsiTheme="minorHAnsi"/>
          <w:sz w:val="22"/>
          <w:szCs w:val="22"/>
        </w:rPr>
        <w:t>10061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 a MmP </w:t>
      </w:r>
      <w:r w:rsidR="00BB3887">
        <w:rPr>
          <w:rFonts w:asciiTheme="minorHAnsi" w:hAnsiTheme="minorHAnsi"/>
          <w:sz w:val="22"/>
          <w:szCs w:val="22"/>
        </w:rPr>
        <w:t>10012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2EC2C3" w14:textId="77777777" w:rsidR="00BB3887" w:rsidRDefault="00BB3887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8274F05" w14:textId="77777777" w:rsidR="00BB3887" w:rsidRDefault="00BB3887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0CB685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A41985">
        <w:rPr>
          <w:rFonts w:asciiTheme="minorHAnsi" w:hAnsiTheme="minorHAnsi"/>
          <w:sz w:val="22"/>
          <w:szCs w:val="22"/>
        </w:rPr>
        <w:t>27.05.2024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BC22ABE" w14:textId="7E67B353" w:rsidR="00CD3B0A" w:rsidRDefault="00577DE3" w:rsidP="00BB3887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BB3887">
        <w:rPr>
          <w:rFonts w:asciiTheme="minorHAnsi" w:hAnsiTheme="minorHAnsi"/>
          <w:sz w:val="22"/>
          <w:szCs w:val="22"/>
        </w:rPr>
        <w:t>Ing. Petr Klimpl</w:t>
      </w: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C6A5220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8F3176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479F"/>
    <w:rsid w:val="0027527A"/>
    <w:rsid w:val="0027563B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004A"/>
    <w:rsid w:val="00340E07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41E2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A4FE9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8F3176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1985"/>
    <w:rsid w:val="00A434C6"/>
    <w:rsid w:val="00A505FC"/>
    <w:rsid w:val="00A525D4"/>
    <w:rsid w:val="00A57B05"/>
    <w:rsid w:val="00A60F23"/>
    <w:rsid w:val="00A7301F"/>
    <w:rsid w:val="00A838EE"/>
    <w:rsid w:val="00A91B0C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3887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f94004b3-5c85-4b6f-b2cb-b6e165aced0d"/>
    <ds:schemaRef ds:uri="http://schemas.microsoft.com/office/2006/metadata/properties"/>
    <ds:schemaRef ds:uri="http://schemas.microsoft.com/office/2006/documentManagement/types"/>
    <ds:schemaRef ds:uri="df30a891-99dc-44a0-9782-3a4c8c525d86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2435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2024-05-13T09:04:00Z</cp:lastPrinted>
  <dcterms:created xsi:type="dcterms:W3CDTF">2024-04-10T06:14:00Z</dcterms:created>
  <dcterms:modified xsi:type="dcterms:W3CDTF">2024-05-27T13:45:00Z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