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A7" w:rsidRPr="001D7A19" w:rsidRDefault="00E743A7" w:rsidP="00E743A7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E743A7" w:rsidRPr="001D7A19" w:rsidRDefault="00E743A7" w:rsidP="00E743A7">
      <w:pPr>
        <w:ind w:left="4248" w:hanging="1416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E743A7" w:rsidRDefault="00E743A7" w:rsidP="00E743A7">
      <w:pPr>
        <w:ind w:left="2832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592/2017 </w:t>
      </w:r>
    </w:p>
    <w:p w:rsidR="00E743A7" w:rsidRPr="001D7A19" w:rsidRDefault="00E743A7" w:rsidP="00E743A7">
      <w:pPr>
        <w:jc w:val="center"/>
        <w:rPr>
          <w:rFonts w:ascii="Arial CE" w:hAnsi="Arial CE" w:cs="Arial"/>
          <w:b/>
          <w:sz w:val="22"/>
          <w:szCs w:val="22"/>
        </w:rPr>
      </w:pPr>
    </w:p>
    <w:p w:rsidR="00E743A7" w:rsidRPr="001D7A19" w:rsidRDefault="00E743A7" w:rsidP="00E743A7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743A7" w:rsidRPr="00E47395" w:rsidRDefault="00E743A7" w:rsidP="00E743A7">
      <w:pPr>
        <w:jc w:val="center"/>
        <w:rPr>
          <w:rFonts w:ascii="Arial CE" w:hAnsi="Arial CE" w:cs="Arial"/>
          <w:b/>
          <w:highlight w:val="yellow"/>
        </w:rPr>
      </w:pPr>
    </w:p>
    <w:p w:rsidR="00E743A7" w:rsidRPr="001D7A19" w:rsidRDefault="00E743A7" w:rsidP="00E743A7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6B614F">
        <w:rPr>
          <w:rFonts w:ascii="Arial CE" w:hAnsi="Arial CE" w:cs="Arial"/>
          <w:b/>
          <w:sz w:val="28"/>
          <w:szCs w:val="28"/>
        </w:rPr>
        <w:t>Bílina,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ř.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km. 1,065-1,158 - rekonstrukce u ČD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743A7" w:rsidRPr="00A21A8F" w:rsidRDefault="00E743A7" w:rsidP="00E743A7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:rsidR="00E743A7" w:rsidRPr="001D7A19" w:rsidRDefault="00E743A7" w:rsidP="00E743A7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E743A7" w:rsidRDefault="00E743A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743A7" w:rsidRPr="001D7A19" w:rsidRDefault="00E743A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743A7" w:rsidRPr="001D7A19" w:rsidRDefault="00E743A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743A7" w:rsidRPr="001D7A19" w:rsidRDefault="00E743A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743A7" w:rsidRPr="001D7A19" w:rsidRDefault="00E743A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743A7" w:rsidRPr="001D7A19" w:rsidRDefault="00E743A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743A7" w:rsidRDefault="00E743A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743A7" w:rsidRPr="001D7A19" w:rsidRDefault="00E743A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743A7" w:rsidRDefault="00E743A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743A7" w:rsidRDefault="00E743A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743A7" w:rsidRDefault="00E743A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743A7" w:rsidRDefault="00E743A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743A7" w:rsidRPr="001D7A19" w:rsidRDefault="00E743A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743A7" w:rsidRDefault="00E743A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743A7" w:rsidRDefault="00E743A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743A7" w:rsidRPr="001D7A19" w:rsidRDefault="00E743A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743A7" w:rsidRDefault="00E743A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743A7" w:rsidRDefault="00E743A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743A7" w:rsidRDefault="00E743A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743A7" w:rsidRDefault="00E743A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743A7" w:rsidRPr="001D7A19" w:rsidRDefault="00E743A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743A7" w:rsidRDefault="00E743A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743A7" w:rsidRDefault="00E743A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743A7" w:rsidRDefault="00E743A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743A7" w:rsidRPr="001D7A19" w:rsidRDefault="00E743A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743A7" w:rsidRDefault="00E743A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743A7" w:rsidRDefault="00E743A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743A7" w:rsidRDefault="00E743A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743A7" w:rsidRDefault="00E743A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F1A85" w:rsidRPr="00C04505" w:rsidRDefault="003F1A85" w:rsidP="003F1A85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</w:t>
      </w:r>
      <w:r w:rsidRPr="000A7F35">
        <w:rPr>
          <w:rFonts w:ascii="Arial" w:hAnsi="Arial" w:cs="Arial"/>
          <w:b/>
          <w:bCs/>
          <w:sz w:val="22"/>
          <w:szCs w:val="22"/>
        </w:rPr>
        <w:t>tel: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a.s.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F1A85" w:rsidRPr="00F24B2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adresa: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Táborská 940/31, 140 16 Praha 4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3F1A85" w:rsidRPr="00F24B2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3F1A85" w:rsidRPr="00F24B2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3F1A85" w:rsidRDefault="003F1A85" w:rsidP="003F1A85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 xml:space="preserve">Milan Moravec, Ph.D., předseda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předst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Vladimír </w:t>
      </w:r>
      <w:proofErr w:type="spellStart"/>
      <w:r w:rsidRPr="00755B32">
        <w:rPr>
          <w:rFonts w:ascii="Arial" w:hAnsi="Arial" w:cs="Arial"/>
          <w:color w:val="000000"/>
          <w:sz w:val="22"/>
          <w:szCs w:val="22"/>
        </w:rPr>
        <w:t>Mikule</w:t>
      </w:r>
      <w:proofErr w:type="spellEnd"/>
      <w:r w:rsidRPr="00755B32">
        <w:rPr>
          <w:rFonts w:ascii="Arial" w:hAnsi="Arial" w:cs="Arial"/>
          <w:color w:val="000000"/>
          <w:sz w:val="22"/>
          <w:szCs w:val="22"/>
        </w:rPr>
        <w:t>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Marika Mocková, členka představenstva</w:t>
      </w:r>
    </w:p>
    <w:p w:rsidR="003F1A85" w:rsidRPr="00755B32" w:rsidRDefault="003F1A85" w:rsidP="003F1A85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Aleš Mucha, MBA, člen představenstva</w:t>
      </w:r>
    </w:p>
    <w:p w:rsidR="003F1A85" w:rsidRPr="00755B32" w:rsidRDefault="003F1A85" w:rsidP="003F1A85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Smluvně oprávněn jednat:</w:t>
      </w:r>
      <w:r w:rsidRPr="00755B32">
        <w:rPr>
          <w:rFonts w:ascii="Arial" w:hAnsi="Arial" w:cs="Arial"/>
          <w:color w:val="000000"/>
          <w:sz w:val="22"/>
          <w:szCs w:val="22"/>
        </w:rPr>
        <w:tab/>
        <w:t>z</w:t>
      </w:r>
      <w:r w:rsidRPr="00755B32">
        <w:rPr>
          <w:rFonts w:ascii="Arial" w:hAnsi="Arial"/>
          <w:color w:val="000000"/>
          <w:sz w:val="22"/>
          <w:szCs w:val="22"/>
        </w:rPr>
        <w:t>a společnost podepisují dva členové představenstva společně</w:t>
      </w:r>
    </w:p>
    <w:p w:rsidR="003F1A85" w:rsidRPr="001D7A19" w:rsidRDefault="003F1A85" w:rsidP="003F1A8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3F1A85" w:rsidRPr="00C3509A" w:rsidRDefault="003F1A85" w:rsidP="003F1A8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AC0CDA">
        <w:rPr>
          <w:rFonts w:ascii="Arial CE" w:hAnsi="Arial CE" w:cs="Arial"/>
          <w:b/>
          <w:sz w:val="22"/>
          <w:szCs w:val="22"/>
        </w:rPr>
        <w:t>e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3F1A85" w:rsidRDefault="003F1A85" w:rsidP="003F1A85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3F1A85" w:rsidRPr="00755B3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Bankovní spojení: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3F1A85" w:rsidRPr="00755B3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číslo účtu: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3F1A85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ab/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3F1A85" w:rsidRPr="00755B32" w:rsidRDefault="003F1A85" w:rsidP="003F1A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 xml:space="preserve">Společnost </w:t>
      </w:r>
      <w:proofErr w:type="spellStart"/>
      <w:r w:rsidRPr="00755B32">
        <w:rPr>
          <w:rFonts w:ascii="Arial" w:hAnsi="Arial" w:cs="Arial"/>
          <w:bCs/>
          <w:color w:val="000000"/>
          <w:sz w:val="22"/>
          <w:szCs w:val="22"/>
        </w:rPr>
        <w:t>Sweco</w:t>
      </w:r>
      <w:proofErr w:type="spellEnd"/>
      <w:r w:rsidRPr="00755B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755B32">
        <w:rPr>
          <w:rFonts w:ascii="Arial" w:hAnsi="Arial" w:cs="Arial"/>
          <w:bCs/>
          <w:color w:val="000000"/>
          <w:sz w:val="22"/>
          <w:szCs w:val="22"/>
        </w:rPr>
        <w:t>Hydroprojekt</w:t>
      </w:r>
      <w:proofErr w:type="spellEnd"/>
      <w:r w:rsidRPr="00755B32">
        <w:rPr>
          <w:rFonts w:ascii="Arial" w:hAnsi="Arial" w:cs="Arial"/>
          <w:bCs/>
          <w:color w:val="000000"/>
          <w:sz w:val="22"/>
          <w:szCs w:val="22"/>
        </w:rPr>
        <w:t xml:space="preserve"> a.s.</w:t>
      </w:r>
      <w:r w:rsidRPr="00755B3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755B32">
        <w:rPr>
          <w:rFonts w:ascii="Arial" w:hAnsi="Arial" w:cs="Arial"/>
          <w:color w:val="000000"/>
          <w:sz w:val="22"/>
          <w:szCs w:val="22"/>
        </w:rPr>
        <w:t>zapsána v obchodním rejstříku vedeným Městským soudem v Praze, oddíl B, vložka 7326</w:t>
      </w:r>
    </w:p>
    <w:p w:rsidR="003F1A85" w:rsidRPr="001D7A19" w:rsidRDefault="003F1A85" w:rsidP="003F1A85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ab/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3F1A85" w:rsidRPr="001D7A19" w:rsidRDefault="003F1A85" w:rsidP="003F1A85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F1A85" w:rsidRDefault="003F1A85" w:rsidP="003F1A8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21A8F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3F1A85" w:rsidRDefault="003F1A85" w:rsidP="003F1A85"/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462561" w:rsidRDefault="00462561" w:rsidP="0046256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3C290B" w:rsidRPr="003C290B" w:rsidRDefault="003C290B" w:rsidP="003C290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62561" w:rsidRPr="001F65FE" w:rsidRDefault="00462561" w:rsidP="0046256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návrhu povodňového a havarijního plánu (dále jen PP a HP), vyhodnocení </w:t>
      </w:r>
      <w:r w:rsidRPr="001F65FE">
        <w:rPr>
          <w:rFonts w:ascii="Arial CE" w:hAnsi="Arial CE" w:cs="Arial"/>
          <w:b/>
          <w:sz w:val="22"/>
          <w:szCs w:val="22"/>
        </w:rPr>
        <w:lastRenderedPageBreak/>
        <w:t>potřeby zajištění koordinátora BOZP v přípravě a realizaci stavby nebo zpracování plánu BOZP</w:t>
      </w:r>
    </w:p>
    <w:p w:rsidR="00E47395" w:rsidRDefault="00E47395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5286E" w:rsidRPr="0055286E" w:rsidRDefault="0055286E" w:rsidP="0055286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55286E">
        <w:rPr>
          <w:rFonts w:ascii="Arial CE" w:hAnsi="Arial CE" w:cs="Arial"/>
          <w:sz w:val="22"/>
          <w:szCs w:val="22"/>
          <w:u w:val="single"/>
        </w:rPr>
        <w:t>Návrh povodňového a havarijního plánu, (PP, HP)</w:t>
      </w:r>
    </w:p>
    <w:p w:rsidR="0055286E" w:rsidRPr="001D7A19" w:rsidRDefault="0055286E" w:rsidP="0055286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55286E" w:rsidRDefault="0055286E" w:rsidP="0055286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5286E" w:rsidRPr="0038627B" w:rsidRDefault="0055286E" w:rsidP="0055286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bude předán MPR v 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55286E" w:rsidRDefault="0055286E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A1709" w:rsidRPr="002E7734" w:rsidRDefault="00FA1709" w:rsidP="0046256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 xml:space="preserve">Autorský dozor (AD) </w:t>
      </w:r>
    </w:p>
    <w:p w:rsidR="00FA1709" w:rsidRDefault="00FA1709" w:rsidP="00FA170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 v souladu s §152 zákona č. </w:t>
      </w:r>
      <w:r>
        <w:rPr>
          <w:rFonts w:ascii="Arial CE" w:hAnsi="Arial CE" w:cs="Arial"/>
          <w:sz w:val="22"/>
          <w:szCs w:val="22"/>
        </w:rPr>
        <w:t>183/2006</w:t>
      </w:r>
      <w:r w:rsidRPr="001D7A19">
        <w:rPr>
          <w:rFonts w:ascii="Arial CE" w:hAnsi="Arial CE" w:cs="Arial"/>
          <w:sz w:val="22"/>
          <w:szCs w:val="22"/>
        </w:rPr>
        <w:t xml:space="preserve"> Sb.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 platném znění zajistit pro objednatele výkon autorského dozoru (AD)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FA1709" w:rsidRDefault="00FA1709" w:rsidP="00FA170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1709" w:rsidRPr="001D7A19" w:rsidRDefault="00FA1709" w:rsidP="00FA170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Pr="005E150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Autorský dozor bude prováděn v souladu s přílohou č. 9 Sazebníku pro navrhování nabídkových cen projektových prací a inženýrských činností (UNIKA, v aktuálním znění) na stavební či technologickou část realizace předmětné stavby provedené na základě projektové dokumentace zpracované</w:t>
      </w:r>
      <w:r>
        <w:rPr>
          <w:rFonts w:ascii="Arial CE" w:hAnsi="Arial CE" w:cs="Arial"/>
          <w:sz w:val="22"/>
          <w:szCs w:val="22"/>
        </w:rPr>
        <w:t xml:space="preserve"> </w:t>
      </w:r>
      <w:r w:rsidRPr="00043803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. </w:t>
      </w:r>
    </w:p>
    <w:p w:rsidR="00FA1709" w:rsidRDefault="00FA1709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 xml:space="preserve">projektového řešení stavby, a to ve </w:t>
      </w:r>
      <w:r w:rsidRPr="001D7A19">
        <w:rPr>
          <w:rFonts w:ascii="Arial CE" w:hAnsi="Arial CE" w:cs="Arial"/>
          <w:sz w:val="22"/>
          <w:szCs w:val="22"/>
        </w:rPr>
        <w:lastRenderedPageBreak/>
        <w:t>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55286E" w:rsidRPr="0055286E">
        <w:rPr>
          <w:rFonts w:ascii="Arial CE" w:hAnsi="Arial CE" w:cs="Arial"/>
          <w:b/>
          <w:sz w:val="22"/>
          <w:szCs w:val="22"/>
        </w:rPr>
        <w:t>25</w:t>
      </w:r>
      <w:r w:rsidR="00067F4D" w:rsidRPr="0055286E">
        <w:rPr>
          <w:rFonts w:ascii="Arial CE" w:hAnsi="Arial CE" w:cs="Arial"/>
          <w:b/>
          <w:sz w:val="22"/>
          <w:szCs w:val="22"/>
        </w:rPr>
        <w:t>.</w:t>
      </w:r>
      <w:r w:rsidR="0057498B" w:rsidRPr="0055286E">
        <w:rPr>
          <w:rFonts w:ascii="Arial CE" w:hAnsi="Arial CE" w:cs="Arial"/>
          <w:b/>
          <w:sz w:val="22"/>
          <w:szCs w:val="22"/>
        </w:rPr>
        <w:t>0</w:t>
      </w:r>
      <w:r w:rsidR="00EF63F9" w:rsidRPr="0055286E">
        <w:rPr>
          <w:rFonts w:ascii="Arial CE" w:hAnsi="Arial CE" w:cs="Arial"/>
          <w:b/>
          <w:sz w:val="22"/>
          <w:szCs w:val="22"/>
        </w:rPr>
        <w:t>6</w:t>
      </w:r>
      <w:r w:rsidR="00067F4D" w:rsidRPr="0055286E">
        <w:rPr>
          <w:rFonts w:ascii="Arial CE" w:hAnsi="Arial CE" w:cs="Arial"/>
          <w:b/>
          <w:sz w:val="22"/>
          <w:szCs w:val="22"/>
        </w:rPr>
        <w:t>.2017</w:t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C800A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r w:rsidR="003C290B">
        <w:rPr>
          <w:rFonts w:ascii="Arial CE" w:hAnsi="Arial CE" w:cs="Arial"/>
          <w:b/>
          <w:sz w:val="22"/>
          <w:szCs w:val="22"/>
        </w:rPr>
        <w:t>29</w:t>
      </w:r>
      <w:r w:rsidR="0057498B">
        <w:rPr>
          <w:rFonts w:ascii="Arial CE" w:hAnsi="Arial CE" w:cs="Arial"/>
          <w:b/>
          <w:sz w:val="22"/>
          <w:szCs w:val="22"/>
        </w:rPr>
        <w:t>.0</w:t>
      </w:r>
      <w:r w:rsidR="00410D35">
        <w:rPr>
          <w:rFonts w:ascii="Arial CE" w:hAnsi="Arial CE" w:cs="Arial"/>
          <w:b/>
          <w:sz w:val="22"/>
          <w:szCs w:val="22"/>
        </w:rPr>
        <w:t>9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IK</w:t>
      </w:r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30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410D35" w:rsidRPr="00410D35">
        <w:rPr>
          <w:rFonts w:ascii="Arial CE" w:hAnsi="Arial CE" w:cs="Arial"/>
          <w:b/>
          <w:sz w:val="22"/>
          <w:szCs w:val="22"/>
        </w:rPr>
        <w:t>10</w:t>
      </w:r>
      <w:r w:rsidR="0057498B" w:rsidRPr="00410D35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0D60DF" w:rsidRDefault="000D60DF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C527CF" w:rsidRPr="001D7A19" w:rsidRDefault="00C527CF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>1</w:t>
      </w:r>
      <w:r w:rsidR="0055286E">
        <w:rPr>
          <w:rFonts w:ascii="Arial CE" w:hAnsi="Arial CE" w:cs="Arial"/>
          <w:b/>
          <w:color w:val="000000"/>
          <w:sz w:val="22"/>
          <w:szCs w:val="22"/>
        </w:rPr>
        <w:t>3</w:t>
      </w:r>
      <w:r w:rsidR="00410D35">
        <w:rPr>
          <w:rFonts w:ascii="Arial CE" w:hAnsi="Arial CE" w:cs="Arial"/>
          <w:b/>
          <w:color w:val="000000"/>
          <w:sz w:val="22"/>
          <w:szCs w:val="22"/>
        </w:rPr>
        <w:t>9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EF63F9">
        <w:rPr>
          <w:rFonts w:ascii="Arial CE" w:hAnsi="Arial CE" w:cs="Arial"/>
          <w:b/>
          <w:color w:val="000000"/>
          <w:sz w:val="22"/>
          <w:szCs w:val="22"/>
        </w:rPr>
        <w:t>840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55286E" w:rsidRPr="0055286E" w:rsidRDefault="0055286E" w:rsidP="002741F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55286E">
        <w:rPr>
          <w:rFonts w:ascii="Arial CE" w:hAnsi="Arial CE" w:cs="Arial"/>
          <w:color w:val="000000"/>
          <w:sz w:val="22"/>
          <w:szCs w:val="22"/>
        </w:rPr>
        <w:lastRenderedPageBreak/>
        <w:t>DSJ</w:t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  <w:t>129 840,00 Kč bez DPH</w:t>
      </w:r>
    </w:p>
    <w:p w:rsidR="0055286E" w:rsidRPr="0055286E" w:rsidRDefault="0055286E" w:rsidP="002741F8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55286E" w:rsidRPr="0055286E" w:rsidRDefault="0055286E" w:rsidP="002741F8">
      <w:pPr>
        <w:jc w:val="both"/>
        <w:rPr>
          <w:rFonts w:ascii="Arial CE" w:hAnsi="Arial CE" w:cs="Arial"/>
          <w:sz w:val="22"/>
          <w:szCs w:val="22"/>
        </w:rPr>
      </w:pPr>
      <w:r w:rsidRPr="0055286E">
        <w:rPr>
          <w:rFonts w:ascii="Arial CE" w:hAnsi="Arial CE" w:cs="Arial"/>
          <w:color w:val="000000"/>
          <w:sz w:val="22"/>
          <w:szCs w:val="22"/>
        </w:rPr>
        <w:t>HP, PP</w:t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  <w:t xml:space="preserve">  10 000,00 Kč bez DPH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EF63F9" w:rsidRPr="00EF63F9">
        <w:rPr>
          <w:rFonts w:ascii="Arial CE" w:hAnsi="Arial CE" w:cs="Arial"/>
          <w:b/>
          <w:sz w:val="22"/>
          <w:szCs w:val="22"/>
        </w:rPr>
        <w:t>1</w:t>
      </w:r>
      <w:r w:rsidR="0055286E">
        <w:rPr>
          <w:rFonts w:ascii="Arial CE" w:hAnsi="Arial CE" w:cs="Arial"/>
          <w:b/>
          <w:sz w:val="22"/>
          <w:szCs w:val="22"/>
        </w:rPr>
        <w:t>11</w:t>
      </w:r>
      <w:r w:rsidR="00EF63F9" w:rsidRPr="00EF63F9">
        <w:rPr>
          <w:rFonts w:ascii="Arial CE" w:hAnsi="Arial CE" w:cs="Arial"/>
          <w:b/>
          <w:sz w:val="22"/>
          <w:szCs w:val="22"/>
        </w:rPr>
        <w:t xml:space="preserve"> 872</w:t>
      </w:r>
      <w:r w:rsidR="00FA3625" w:rsidRPr="00EF63F9">
        <w:rPr>
          <w:rFonts w:ascii="Arial CE" w:hAnsi="Arial CE" w:cs="Arial"/>
          <w:b/>
          <w:sz w:val="22"/>
          <w:szCs w:val="22"/>
        </w:rPr>
        <w:t>,00 bez</w:t>
      </w:r>
      <w:r w:rsidR="004F6F82">
        <w:rPr>
          <w:rFonts w:ascii="Arial CE" w:hAnsi="Arial CE" w:cs="Arial"/>
          <w:b/>
          <w:sz w:val="22"/>
          <w:szCs w:val="22"/>
        </w:rPr>
        <w:t xml:space="preserve"> Kč</w:t>
      </w:r>
      <w:r w:rsidR="00FA3625" w:rsidRPr="00EF63F9">
        <w:rPr>
          <w:rFonts w:ascii="Arial CE" w:hAnsi="Arial CE" w:cs="Arial"/>
          <w:b/>
          <w:sz w:val="22"/>
          <w:szCs w:val="22"/>
        </w:rPr>
        <w:t xml:space="preserve">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FA3625" w:rsidRPr="00FA3625">
        <w:rPr>
          <w:rFonts w:ascii="Arial CE" w:hAnsi="Arial CE" w:cs="Arial"/>
          <w:b/>
          <w:sz w:val="22"/>
          <w:szCs w:val="22"/>
        </w:rPr>
        <w:t>2</w:t>
      </w:r>
      <w:r w:rsidR="0055286E">
        <w:rPr>
          <w:rFonts w:ascii="Arial CE" w:hAnsi="Arial CE" w:cs="Arial"/>
          <w:b/>
          <w:sz w:val="22"/>
          <w:szCs w:val="22"/>
        </w:rPr>
        <w:t>7</w:t>
      </w:r>
      <w:r w:rsidR="00FA3625" w:rsidRPr="00FA3625">
        <w:rPr>
          <w:rFonts w:ascii="Arial CE" w:hAnsi="Arial CE" w:cs="Arial"/>
          <w:b/>
          <w:sz w:val="22"/>
          <w:szCs w:val="22"/>
        </w:rPr>
        <w:t xml:space="preserve"> </w:t>
      </w:r>
      <w:r w:rsidR="00EF63F9">
        <w:rPr>
          <w:rFonts w:ascii="Arial CE" w:hAnsi="Arial CE" w:cs="Arial"/>
          <w:b/>
          <w:sz w:val="22"/>
          <w:szCs w:val="22"/>
        </w:rPr>
        <w:t>96</w:t>
      </w:r>
      <w:r w:rsidR="000D60DF">
        <w:rPr>
          <w:rFonts w:ascii="Arial CE" w:hAnsi="Arial CE" w:cs="Arial"/>
          <w:b/>
          <w:sz w:val="22"/>
          <w:szCs w:val="22"/>
        </w:rPr>
        <w:t>8</w:t>
      </w:r>
      <w:r w:rsidR="00FA3625" w:rsidRPr="00FA3625">
        <w:rPr>
          <w:rFonts w:ascii="Arial CE" w:hAnsi="Arial CE" w:cs="Arial"/>
          <w:b/>
          <w:sz w:val="22"/>
          <w:szCs w:val="22"/>
        </w:rPr>
        <w:t>,00 bez</w:t>
      </w:r>
      <w:r w:rsidR="004F6F82">
        <w:rPr>
          <w:rFonts w:ascii="Arial CE" w:hAnsi="Arial CE" w:cs="Arial"/>
          <w:b/>
          <w:sz w:val="22"/>
          <w:szCs w:val="22"/>
        </w:rPr>
        <w:t xml:space="preserve"> Kč</w:t>
      </w:r>
      <w:r w:rsidR="00FA3625" w:rsidRPr="00FA3625">
        <w:rPr>
          <w:rFonts w:ascii="Arial CE" w:hAnsi="Arial CE" w:cs="Arial"/>
          <w:b/>
          <w:sz w:val="22"/>
          <w:szCs w:val="22"/>
        </w:rPr>
        <w:t xml:space="preserve">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</w:t>
      </w:r>
      <w:r w:rsidRPr="00715BB0">
        <w:rPr>
          <w:rFonts w:ascii="Arial CE" w:hAnsi="Arial CE" w:cs="Arial"/>
          <w:sz w:val="22"/>
          <w:szCs w:val="22"/>
        </w:rPr>
        <w:lastRenderedPageBreak/>
        <w:t>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0D60DF" w:rsidRDefault="000D60DF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lastRenderedPageBreak/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0D60DF" w:rsidRPr="002E50A9" w:rsidRDefault="000D60DF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D60DF" w:rsidRDefault="000D60DF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0D60DF" w:rsidRDefault="000D60DF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E47395" w:rsidRDefault="00E47395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lastRenderedPageBreak/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EF63F9" w:rsidRDefault="00EF63F9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Praze d</w:t>
      </w:r>
      <w:r w:rsidRPr="00550FE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F63F9" w:rsidRDefault="00EF63F9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63F9" w:rsidRDefault="00EF63F9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527CF" w:rsidRDefault="00C527CF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527CF" w:rsidRDefault="00C527CF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63F9" w:rsidRDefault="00EF63F9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63F9" w:rsidRPr="00550FE6" w:rsidRDefault="00EF63F9" w:rsidP="00EF63F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F63F9" w:rsidRPr="00241C08" w:rsidRDefault="00EF63F9" w:rsidP="00EF63F9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F63F9" w:rsidRPr="00550FE6" w:rsidRDefault="00EF63F9" w:rsidP="00EF63F9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</w:p>
    <w:p w:rsidR="00EF63F9" w:rsidRPr="00550FE6" w:rsidRDefault="00EF63F9" w:rsidP="00EF63F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550FE6">
        <w:rPr>
          <w:rFonts w:ascii="Arial" w:hAnsi="Arial" w:cs="Arial"/>
          <w:color w:val="000000"/>
          <w:sz w:val="22"/>
          <w:szCs w:val="22"/>
        </w:rPr>
        <w:t>nvestiční ředitel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EF63F9" w:rsidRPr="00550FE6" w:rsidRDefault="00EF63F9" w:rsidP="00EF63F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Povodí Ohře, státní podni</w:t>
      </w:r>
      <w:r>
        <w:rPr>
          <w:rFonts w:ascii="Arial" w:hAnsi="Arial" w:cs="Arial"/>
          <w:color w:val="000000"/>
          <w:sz w:val="22"/>
          <w:szCs w:val="22"/>
        </w:rPr>
        <w:t xml:space="preserve">k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EF63F9" w:rsidRDefault="00EF63F9" w:rsidP="00EF63F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3C290B" w:rsidRDefault="003C290B" w:rsidP="00EF63F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D60DF" w:rsidRDefault="000D60DF" w:rsidP="00EF63F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D60DF" w:rsidRPr="00944D0B" w:rsidRDefault="000D60DF" w:rsidP="00EF63F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EF63F9" w:rsidRDefault="003C290B" w:rsidP="00EF63F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>
        <w:rPr>
          <w:rFonts w:ascii="Arial" w:hAnsi="Arial" w:cs="Arial"/>
          <w:color w:val="000000"/>
          <w:sz w:val="22"/>
          <w:szCs w:val="22"/>
        </w:rPr>
        <w:tab/>
      </w:r>
      <w:r w:rsidR="00EF63F9" w:rsidRPr="00241C08">
        <w:rPr>
          <w:rFonts w:ascii="Arial" w:hAnsi="Arial"/>
          <w:sz w:val="22"/>
          <w:szCs w:val="22"/>
        </w:rPr>
        <w:t>…………………………………….</w:t>
      </w:r>
    </w:p>
    <w:p w:rsidR="00EF63F9" w:rsidRDefault="00EF63F9" w:rsidP="00EF63F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člen představenstva</w:t>
      </w:r>
    </w:p>
    <w:p w:rsidR="00EF63F9" w:rsidRDefault="00EF63F9" w:rsidP="00EF63F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sectPr w:rsidR="00EF63F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3D" w:rsidRDefault="00591A3D">
      <w:r>
        <w:separator/>
      </w:r>
    </w:p>
  </w:endnote>
  <w:endnote w:type="continuationSeparator" w:id="0">
    <w:p w:rsidR="00591A3D" w:rsidRDefault="005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A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A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A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A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3D" w:rsidRDefault="00591A3D">
      <w:r>
        <w:separator/>
      </w:r>
    </w:p>
  </w:footnote>
  <w:footnote w:type="continuationSeparator" w:id="0">
    <w:p w:rsidR="00591A3D" w:rsidRDefault="0059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070A35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6"/>
  </w:num>
  <w:num w:numId="20">
    <w:abstractNumId w:val="24"/>
  </w:num>
  <w:num w:numId="21">
    <w:abstractNumId w:val="21"/>
  </w:num>
  <w:num w:numId="22">
    <w:abstractNumId w:val="35"/>
  </w:num>
  <w:num w:numId="23">
    <w:abstractNumId w:val="37"/>
  </w:num>
  <w:num w:numId="24">
    <w:abstractNumId w:val="32"/>
  </w:num>
  <w:num w:numId="25">
    <w:abstractNumId w:val="14"/>
  </w:num>
  <w:num w:numId="26">
    <w:abstractNumId w:val="3"/>
  </w:num>
  <w:num w:numId="27">
    <w:abstractNumId w:val="12"/>
  </w:num>
  <w:num w:numId="28">
    <w:abstractNumId w:val="33"/>
  </w:num>
  <w:num w:numId="29">
    <w:abstractNumId w:val="1"/>
  </w:num>
  <w:num w:numId="30">
    <w:abstractNumId w:val="4"/>
  </w:num>
  <w:num w:numId="31">
    <w:abstractNumId w:val="38"/>
  </w:num>
  <w:num w:numId="32">
    <w:abstractNumId w:val="27"/>
  </w:num>
  <w:num w:numId="33">
    <w:abstractNumId w:val="25"/>
  </w:num>
  <w:num w:numId="34">
    <w:abstractNumId w:val="22"/>
  </w:num>
  <w:num w:numId="35">
    <w:abstractNumId w:val="29"/>
  </w:num>
  <w:num w:numId="36">
    <w:abstractNumId w:val="26"/>
  </w:num>
  <w:num w:numId="37">
    <w:abstractNumId w:val="3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5E4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60DF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0398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290B"/>
    <w:rsid w:val="003C33C4"/>
    <w:rsid w:val="003C51F9"/>
    <w:rsid w:val="003C779D"/>
    <w:rsid w:val="003D062E"/>
    <w:rsid w:val="003D238A"/>
    <w:rsid w:val="003D2D01"/>
    <w:rsid w:val="003D39A5"/>
    <w:rsid w:val="003D423E"/>
    <w:rsid w:val="003D45F6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1A85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D35"/>
    <w:rsid w:val="00410E03"/>
    <w:rsid w:val="0041190D"/>
    <w:rsid w:val="00412F6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0EEC"/>
    <w:rsid w:val="004515AA"/>
    <w:rsid w:val="00454086"/>
    <w:rsid w:val="00456AA0"/>
    <w:rsid w:val="0046116F"/>
    <w:rsid w:val="0046220D"/>
    <w:rsid w:val="00462561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4F6F82"/>
    <w:rsid w:val="005007D6"/>
    <w:rsid w:val="00500ECC"/>
    <w:rsid w:val="005078FD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86E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1A3D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87F4A"/>
    <w:rsid w:val="0069006E"/>
    <w:rsid w:val="006913C4"/>
    <w:rsid w:val="00692EC5"/>
    <w:rsid w:val="00693149"/>
    <w:rsid w:val="00695EA7"/>
    <w:rsid w:val="00695ECE"/>
    <w:rsid w:val="0069784D"/>
    <w:rsid w:val="006A0F51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04C2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2737A"/>
    <w:rsid w:val="00930ED7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952C4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42CF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64C1"/>
    <w:rsid w:val="00B26C83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2BCD"/>
    <w:rsid w:val="00B753F6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69FA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7CF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2FEB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6515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43A7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2D6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3F9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709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E6AA-7377-4111-8F6E-C292C61B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3583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24679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2017-07-10T07:20:00Z</dcterms:created>
  <dcterms:modified xsi:type="dcterms:W3CDTF">2017-07-10T07:20:00Z</dcterms:modified>
</cp:coreProperties>
</file>