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441/2024</w:t>
      </w:r>
      <w:bookmarkEnd w:id="10"/>
      <w:bookmarkEnd w:id="11"/>
      <w:bookmarkEnd w:id="9"/>
    </w:p>
    <w:p>
      <w:pPr>
        <w:pStyle w:val="Style2"/>
        <w:keepNext/>
        <w:keepLines/>
        <w:widowControl w:val="0"/>
        <w:shd w:val="clear" w:color="auto" w:fill="auto"/>
        <w:bidi w:val="0"/>
        <w:spacing w:before="0" w:after="18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z39/23</w:t>
      </w:r>
      <w:bookmarkEnd w:id="12"/>
      <w:bookmarkEnd w:id="13"/>
      <w:bookmarkEnd w:id="14"/>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Doksany (levé jezové pole) – potápěčské práce 2024“</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478" w:left="1394" w:right="1389" w:bottom="1177" w:header="1050" w:footer="3" w:gutter="0"/>
          <w:pgNumType w:start="1"/>
          <w:cols w:space="720"/>
          <w:noEndnote/>
          <w:rtlGutter w:val="0"/>
          <w:docGrid w:linePitch="360"/>
        </w:sectPr>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478" w:left="0" w:right="0" w:bottom="1177"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9"/>
        <w:keepNext w:val="0"/>
        <w:keepLines w:val="0"/>
        <w:widowControl w:val="0"/>
        <w:shd w:val="clear" w:color="auto" w:fill="auto"/>
        <w:bidi w:val="0"/>
        <w:spacing w:before="0" w:after="18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w:t>
      </w:r>
      <w:bookmarkEnd w:id="21"/>
      <w:bookmarkEnd w:id="22"/>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b/>
          <w:bCs/>
          <w:color w:val="000000"/>
          <w:spacing w:val="0"/>
          <w:w w:val="100"/>
          <w:position w:val="0"/>
          <w:shd w:val="clear" w:color="auto" w:fill="auto"/>
          <w:lang w:val="cs-CZ" w:eastAsia="cs-CZ" w:bidi="cs-CZ"/>
        </w:rPr>
        <w:t>Povodí Ohře, státní podnik</w:t>
      </w:r>
      <w:bookmarkEnd w:id="23"/>
      <w:bookmarkEnd w:id="24"/>
      <w:bookmarkEnd w:id="25"/>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78" w:left="1394" w:right="2690" w:bottom="1177" w:header="0" w:footer="3" w:gutter="0"/>
          <w:cols w:num="2" w:space="455"/>
          <w:noEndnote/>
          <w:rtlGutter w:val="0"/>
          <w:docGrid w:linePitch="360"/>
        </w:sectP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Bezručova 4219, 430 03 Chomutov</w:t>
      </w:r>
      <w:bookmarkEnd w:id="26"/>
      <w:bookmarkEnd w:id="27"/>
      <w:bookmarkEnd w:id="28"/>
      <w:bookmarkEnd w:id="29"/>
    </w:p>
    <w:p>
      <w:pPr>
        <w:widowControl w:val="0"/>
        <w:spacing w:line="167" w:lineRule="exact"/>
        <w:rPr>
          <w:sz w:val="13"/>
          <w:szCs w:val="13"/>
        </w:rPr>
      </w:pPr>
    </w:p>
    <w:p>
      <w:pPr>
        <w:widowControl w:val="0"/>
        <w:spacing w:line="1" w:lineRule="exact"/>
        <w:sectPr>
          <w:footnotePr>
            <w:pos w:val="pageBottom"/>
            <w:numFmt w:val="decimal"/>
            <w:numRestart w:val="continuous"/>
          </w:footnotePr>
          <w:type w:val="continuous"/>
          <w:pgSz w:w="11909" w:h="16838"/>
          <w:pgMar w:top="1406" w:left="0" w:right="0" w:bottom="1249"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DIČ:</w:t>
        <w:tab/>
        <w:t>CZ70889988</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bankovní spojení:</w:t>
      </w:r>
      <w:bookmarkEnd w:id="33"/>
      <w:bookmarkEnd w:id="34"/>
      <w:bookmarkEnd w:id="35"/>
    </w:p>
    <w:p>
      <w:pPr>
        <w:pStyle w:val="Style2"/>
        <w:keepNext/>
        <w:keepLines/>
        <w:widowControl w:val="0"/>
        <w:shd w:val="clear" w:color="auto" w:fill="auto"/>
        <w:bidi w:val="0"/>
        <w:spacing w:before="0" w:after="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číslo účtu:</w:t>
      </w:r>
      <w:bookmarkEnd w:id="36"/>
      <w:bookmarkEnd w:id="37"/>
      <w:bookmarkEnd w:id="38"/>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both"/>
      </w:pPr>
      <w:bookmarkStart w:id="39" w:name="bookmark39"/>
      <w:bookmarkStart w:id="40" w:name="bookmark40"/>
      <w:bookmarkStart w:id="41" w:name="bookmark41"/>
      <w:r>
        <w:rPr>
          <w:color w:val="000000"/>
          <w:spacing w:val="0"/>
          <w:w w:val="100"/>
          <w:position w:val="0"/>
          <w:shd w:val="clear" w:color="auto" w:fill="auto"/>
          <w:lang w:val="cs-CZ" w:eastAsia="cs-CZ" w:bidi="cs-CZ"/>
        </w:rPr>
        <w:t>(dále jen „objednatel“)</w:t>
      </w:r>
      <w:bookmarkEnd w:id="39"/>
      <w:bookmarkEnd w:id="40"/>
      <w:bookmarkEnd w:id="41"/>
    </w:p>
    <w:p>
      <w:pPr>
        <w:pStyle w:val="Style2"/>
        <w:keepNext/>
        <w:keepLines/>
        <w:widowControl w:val="0"/>
        <w:shd w:val="clear" w:color="auto" w:fill="auto"/>
        <w:bidi w:val="0"/>
        <w:spacing w:before="0" w:after="180" w:line="240" w:lineRule="auto"/>
        <w:ind w:left="0" w:right="0" w:firstLine="0"/>
        <w:jc w:val="both"/>
      </w:pPr>
      <w:bookmarkStart w:id="42" w:name="bookmark42"/>
      <w:bookmarkStart w:id="43" w:name="bookmark43"/>
      <w:bookmarkStart w:id="44" w:name="bookmark44"/>
      <w:r>
        <w:rPr>
          <w:b/>
          <w:bCs/>
          <w:color w:val="000000"/>
          <w:spacing w:val="0"/>
          <w:w w:val="100"/>
          <w:position w:val="0"/>
          <w:shd w:val="clear" w:color="auto" w:fill="auto"/>
          <w:lang w:val="cs-CZ" w:eastAsia="cs-CZ" w:bidi="cs-CZ"/>
        </w:rPr>
        <w:t>a</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both"/>
      </w:pPr>
      <w:bookmarkStart w:id="45" w:name="bookmark45"/>
      <w:bookmarkStart w:id="46" w:name="bookmark46"/>
      <w:bookmarkStart w:id="47" w:name="bookmark47"/>
      <w:r>
        <w:rPr>
          <w:b/>
          <w:bCs/>
          <w:color w:val="000000"/>
          <w:spacing w:val="0"/>
          <w:w w:val="100"/>
          <w:position w:val="0"/>
          <w:shd w:val="clear" w:color="auto" w:fill="auto"/>
          <w:lang w:val="cs-CZ" w:eastAsia="cs-CZ" w:bidi="cs-CZ"/>
        </w:rPr>
        <w:t>zhotovitel:</w:t>
        <w:tab/>
        <w:t>Potápěčská stanice, a.s.</w:t>
      </w:r>
      <w:bookmarkEnd w:id="45"/>
      <w:bookmarkEnd w:id="46"/>
      <w:bookmarkEnd w:id="47"/>
    </w:p>
    <w:p>
      <w:pPr>
        <w:pStyle w:val="Style2"/>
        <w:keepNext/>
        <w:keepLines/>
        <w:widowControl w:val="0"/>
        <w:shd w:val="clear" w:color="auto" w:fill="auto"/>
        <w:tabs>
          <w:tab w:pos="4280" w:val="left"/>
        </w:tabs>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sídlo:</w:t>
        <w:tab/>
        <w:t>Botičská 1936/4, Nové Město, 128 00 Praha 2</w:t>
      </w:r>
      <w:bookmarkEnd w:id="48"/>
      <w:bookmarkEnd w:id="49"/>
      <w:bookmarkEnd w:id="50"/>
    </w:p>
    <w:p>
      <w:pPr>
        <w:pStyle w:val="Style2"/>
        <w:keepNext/>
        <w:keepLines/>
        <w:widowControl w:val="0"/>
        <w:shd w:val="clear" w:color="auto" w:fill="auto"/>
        <w:bidi w:val="0"/>
        <w:spacing w:before="0" w:after="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oprávněn k podpisu smlouvy:</w:t>
      </w:r>
      <w:bookmarkEnd w:id="51"/>
      <w:bookmarkEnd w:id="52"/>
      <w:bookmarkEnd w:id="53"/>
    </w:p>
    <w:p>
      <w:pPr>
        <w:pStyle w:val="Style2"/>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smluvních:</w:t>
      </w:r>
      <w:bookmarkEnd w:id="54"/>
      <w:bookmarkEnd w:id="55"/>
      <w:bookmarkEnd w:id="56"/>
    </w:p>
    <w:p>
      <w:pPr>
        <w:pStyle w:val="Style2"/>
        <w:keepNext/>
        <w:keepLines/>
        <w:widowControl w:val="0"/>
        <w:shd w:val="clear" w:color="auto" w:fill="auto"/>
        <w:bidi w:val="0"/>
        <w:spacing w:before="0" w:after="0" w:line="240" w:lineRule="auto"/>
        <w:ind w:left="0" w:right="0" w:firstLine="0"/>
        <w:jc w:val="both"/>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oprávněn jednat o věcech technických:</w:t>
      </w:r>
      <w:bookmarkEnd w:id="57"/>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stavbyvedoucí:</w:t>
      </w:r>
      <w:bookmarkEnd w:id="61"/>
      <w:bookmarkEnd w:id="62"/>
      <w:bookmarkEnd w:id="63"/>
    </w:p>
    <w:p>
      <w:pPr>
        <w:pStyle w:val="Style2"/>
        <w:keepNext/>
        <w:keepLines/>
        <w:widowControl w:val="0"/>
        <w:shd w:val="clear" w:color="auto" w:fill="auto"/>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manažer stavby:</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IČO:</w:t>
        <w:tab/>
        <w:t>47285532</w:t>
      </w:r>
      <w:bookmarkEnd w:id="67"/>
      <w:bookmarkEnd w:id="68"/>
      <w:bookmarkEnd w:id="69"/>
    </w:p>
    <w:p>
      <w:pPr>
        <w:pStyle w:val="Style2"/>
        <w:keepNext/>
        <w:keepLines/>
        <w:widowControl w:val="0"/>
        <w:shd w:val="clear" w:color="auto" w:fill="auto"/>
        <w:tabs>
          <w:tab w:pos="4280"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DIČ:</w:t>
        <w:tab/>
        <w:t>CZ47285532</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bankovní spojení:</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číslo účtu:</w:t>
      </w:r>
      <w:bookmarkEnd w:id="76"/>
      <w:bookmarkEnd w:id="77"/>
      <w:bookmarkEnd w:id="78"/>
    </w:p>
    <w:p>
      <w:pPr>
        <w:pStyle w:val="Style2"/>
        <w:keepNext/>
        <w:keepLines/>
        <w:widowControl w:val="0"/>
        <w:shd w:val="clear" w:color="auto" w:fill="auto"/>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zápis v obchodním rejstříku: u Městského soudu v Praze v oddílu B, vložce č. 20037</w:t>
      </w:r>
      <w:bookmarkEnd w:id="79"/>
      <w:bookmarkEnd w:id="80"/>
      <w:bookmarkEnd w:id="81"/>
    </w:p>
    <w:p>
      <w:pPr>
        <w:pStyle w:val="Style2"/>
        <w:keepNext/>
        <w:keepLines/>
        <w:widowControl w:val="0"/>
        <w:shd w:val="clear" w:color="auto" w:fill="auto"/>
        <w:tabs>
          <w:tab w:pos="4280" w:val="left"/>
        </w:tabs>
        <w:bidi w:val="0"/>
        <w:spacing w:before="0" w:after="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tel.:</w:t>
        <w:tab/>
        <w:t>e-mail:</w:t>
      </w:r>
      <w:bookmarkEnd w:id="82"/>
      <w:bookmarkEnd w:id="83"/>
      <w:bookmarkEnd w:id="84"/>
    </w:p>
    <w:p>
      <w:pPr>
        <w:pStyle w:val="Style2"/>
        <w:keepNext/>
        <w:keepLines/>
        <w:widowControl w:val="0"/>
        <w:shd w:val="clear" w:color="auto" w:fill="auto"/>
        <w:bidi w:val="0"/>
        <w:spacing w:before="0" w:after="440" w:line="240" w:lineRule="auto"/>
        <w:ind w:left="0" w:right="0" w:firstLine="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(dále jen „zhotovitel“)</w:t>
      </w:r>
      <w:bookmarkEnd w:id="85"/>
      <w:bookmarkEnd w:id="86"/>
      <w:bookmarkEnd w:id="87"/>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8" w:name="bookmark88"/>
      <w:bookmarkEnd w:id="88"/>
      <w:r>
        <w:rPr>
          <w:color w:val="000000"/>
          <w:spacing w:val="0"/>
          <w:w w:val="100"/>
          <w:position w:val="0"/>
          <w:shd w:val="clear" w:color="auto" w:fill="auto"/>
          <w:lang w:val="cs-CZ" w:eastAsia="cs-CZ" w:bidi="cs-CZ"/>
        </w:rPr>
        <w:t>změnu předmětu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30.04.2024,</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Provedení odpočtu neprovedených prací. Tato změna je obsahem Přílohy č. 1 Oceněného soupisu prací změn závazku ze dne 30.04.2024.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účel a předmět smlouvy v rozsahu přílohy tohoto dodatku – Oceněného soupisu prací změn závazku ze dne 30.04.2024, který se tímto stává nedílnou součástí smlouvy,</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2155"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207 112,00 Kč bez DPH,</w:t>
      </w:r>
    </w:p>
    <w:p>
      <w:pPr>
        <w:pStyle w:val="Style9"/>
        <w:keepNext w:val="0"/>
        <w:keepLines w:val="0"/>
        <w:widowControl w:val="0"/>
        <w:shd w:val="clear" w:color="auto" w:fill="auto"/>
        <w:tabs>
          <w:tab w:pos="215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nové znění:</w:t>
        <w:tab/>
        <w:t>204 612,00 Kč bez DPH.</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92"/>
      <w:bookmarkEnd w:id="93"/>
      <w:bookmarkEnd w:id="94"/>
    </w:p>
    <w:p>
      <w:pPr>
        <w:pStyle w:val="Style2"/>
        <w:keepNext/>
        <w:keepLines/>
        <w:widowControl w:val="0"/>
        <w:shd w:val="clear" w:color="auto" w:fill="auto"/>
        <w:bidi w:val="0"/>
        <w:spacing w:before="0" w:after="200" w:line="240" w:lineRule="auto"/>
        <w:ind w:left="0" w:right="0" w:firstLine="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95"/>
      <w:bookmarkEnd w:id="96"/>
      <w:bookmarkEnd w:id="97"/>
    </w:p>
    <w:p>
      <w:pPr>
        <w:pStyle w:val="Style2"/>
        <w:keepNext/>
        <w:keepLines/>
        <w:widowControl w:val="0"/>
        <w:shd w:val="clear" w:color="auto" w:fill="auto"/>
        <w:bidi w:val="0"/>
        <w:spacing w:before="0" w:after="0" w:line="240" w:lineRule="auto"/>
        <w:ind w:left="0" w:right="0" w:firstLine="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Nedílnou součástí tohoto dodatku je:</w:t>
      </w:r>
      <w:bookmarkEnd w:id="100"/>
      <w:bookmarkEnd w:id="98"/>
      <w:bookmarkEnd w:id="99"/>
    </w:p>
    <w:p>
      <w:pPr>
        <w:pStyle w:val="Style2"/>
        <w:keepNext/>
        <w:keepLines/>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406" w:left="1394" w:right="1389" w:bottom="1249" w:header="978" w:footer="3" w:gutter="0"/>
          <w:cols w:space="720"/>
          <w:noEndnote/>
          <w:rtlGutter w:val="0"/>
          <w:docGrid w:linePitch="360"/>
        </w:sectPr>
      </w:pPr>
      <w:bookmarkStart w:id="101" w:name="bookmark101"/>
      <w:bookmarkStart w:id="102" w:name="bookmark102"/>
      <w:bookmarkStart w:id="103" w:name="bookmark103"/>
      <w:r>
        <w:rPr>
          <w:color w:val="000000"/>
          <w:spacing w:val="0"/>
          <w:w w:val="100"/>
          <w:position w:val="0"/>
          <w:shd w:val="clear" w:color="auto" w:fill="auto"/>
          <w:lang w:val="cs-CZ" w:eastAsia="cs-CZ" w:bidi="cs-CZ"/>
        </w:rPr>
        <w:t>Příloha č. 1: Oceněný soupis prací změn závazku ze dne 30.04.2024</w:t>
      </w:r>
      <w:bookmarkEnd w:id="101"/>
      <w:bookmarkEnd w:id="102"/>
      <w:bookmarkEnd w:id="103"/>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334" w:left="1394" w:right="3036" w:bottom="1334"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9963785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4.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