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13981" w14:textId="77777777" w:rsidR="00F8082A" w:rsidRDefault="000D2DEA">
      <w:pPr>
        <w:pStyle w:val="Bezmezer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1</w:t>
      </w:r>
      <w:r w:rsidR="002237D1">
        <w:rPr>
          <w:rFonts w:ascii="Arial" w:hAnsi="Arial" w:cs="Arial"/>
          <w:sz w:val="24"/>
          <w:szCs w:val="24"/>
        </w:rPr>
        <w:tab/>
      </w:r>
      <w:r w:rsidR="002237D1">
        <w:rPr>
          <w:rFonts w:ascii="Arial" w:eastAsia="Calibri" w:hAnsi="Arial" w:cs="Arial"/>
          <w:sz w:val="24"/>
          <w:szCs w:val="24"/>
        </w:rPr>
        <w:t>Čestné prohlášení o splnění požadovaných technických parametrů</w:t>
      </w:r>
    </w:p>
    <w:p w14:paraId="18C7D552" w14:textId="77777777" w:rsidR="00F8082A" w:rsidRDefault="00F8082A">
      <w:pPr>
        <w:pStyle w:val="Zhlav"/>
        <w:rPr>
          <w:rFonts w:ascii="Arial" w:hAnsi="Arial" w:cs="Arial"/>
        </w:rPr>
      </w:pPr>
    </w:p>
    <w:p w14:paraId="454F5AE5" w14:textId="79C4608C" w:rsidR="00F8082A" w:rsidRDefault="002237D1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Ke dni podání nabídky na veřejnou</w:t>
      </w:r>
      <w:r w:rsidR="000D2DEA">
        <w:rPr>
          <w:rFonts w:ascii="Arial" w:hAnsi="Arial" w:cs="Arial"/>
        </w:rPr>
        <w:t xml:space="preserve"> </w:t>
      </w:r>
      <w:r w:rsidR="000D2DEA" w:rsidRPr="00A72273">
        <w:rPr>
          <w:rFonts w:ascii="Arial" w:hAnsi="Arial" w:cs="Arial"/>
        </w:rPr>
        <w:t>zakázku</w:t>
      </w:r>
      <w:r w:rsidRPr="00A72273">
        <w:rPr>
          <w:rFonts w:ascii="Arial" w:hAnsi="Arial" w:cs="Arial"/>
        </w:rPr>
        <w:t xml:space="preserve"> </w:t>
      </w:r>
      <w:r w:rsidR="007B0495">
        <w:rPr>
          <w:rFonts w:ascii="Arial" w:hAnsi="Arial" w:cs="Arial"/>
        </w:rPr>
        <w:t>„</w:t>
      </w:r>
      <w:r w:rsidR="00F2723A" w:rsidRPr="00BF7D68">
        <w:rPr>
          <w:rFonts w:ascii="Arial" w:hAnsi="Arial" w:cs="Arial"/>
          <w:b/>
        </w:rPr>
        <w:t>Nákup míchacího kotle do ŠJ</w:t>
      </w:r>
      <w:r w:rsidR="007B0495">
        <w:rPr>
          <w:rFonts w:ascii="Arial" w:hAnsi="Arial" w:cs="Arial"/>
          <w:b/>
        </w:rPr>
        <w:t>“</w:t>
      </w:r>
      <w:r w:rsidRPr="00A72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čestně prohlašujeme, že společnost </w:t>
      </w:r>
      <w:r w:rsidR="00C0403F">
        <w:rPr>
          <w:rFonts w:ascii="ArialMT" w:hAnsi="ArialMT" w:cs="ArialMT"/>
        </w:rPr>
        <w:t xml:space="preserve">Finezza facility s.r.o. </w:t>
      </w:r>
      <w:r w:rsidR="000D2DEA">
        <w:rPr>
          <w:rFonts w:ascii="Arial" w:hAnsi="Arial" w:cs="Arial"/>
        </w:rPr>
        <w:t xml:space="preserve">dodá </w:t>
      </w:r>
      <w:r w:rsidR="00F2723A">
        <w:rPr>
          <w:rFonts w:ascii="Arial" w:hAnsi="Arial" w:cs="Arial"/>
        </w:rPr>
        <w:t>míchací kotel zn</w:t>
      </w:r>
      <w:r w:rsidR="00C0403F">
        <w:rPr>
          <w:rFonts w:ascii="Arial" w:hAnsi="Arial" w:cs="Arial"/>
        </w:rPr>
        <w:t xml:space="preserve">. SOUPER 200L FS GAS, </w:t>
      </w:r>
      <w:r w:rsidR="00F2723A">
        <w:rPr>
          <w:rFonts w:ascii="Arial" w:hAnsi="Arial" w:cs="Arial"/>
        </w:rPr>
        <w:t>výrobce</w:t>
      </w:r>
      <w:r w:rsidR="00C0403F">
        <w:rPr>
          <w:rFonts w:ascii="Arial" w:hAnsi="Arial" w:cs="Arial"/>
        </w:rPr>
        <w:t xml:space="preserve"> Dieta </w:t>
      </w:r>
      <w:r w:rsidR="000D2DEA">
        <w:rPr>
          <w:rFonts w:ascii="Arial" w:hAnsi="Arial" w:cs="Arial"/>
        </w:rPr>
        <w:t>splňující níže definované technické parametry:</w:t>
      </w:r>
    </w:p>
    <w:p w14:paraId="105ECE33" w14:textId="77777777" w:rsidR="000D2DEA" w:rsidRDefault="000D2DEA">
      <w:pPr>
        <w:pStyle w:val="Zhlav"/>
        <w:rPr>
          <w:rFonts w:ascii="Arial" w:hAnsi="Arial" w:cs="Arial"/>
        </w:rPr>
      </w:pPr>
    </w:p>
    <w:p w14:paraId="20192730" w14:textId="77777777" w:rsidR="00F8082A" w:rsidRDefault="002237D1">
      <w:pPr>
        <w:spacing w:line="254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Technická specifikace </w:t>
      </w:r>
      <w:r w:rsidR="00F2723A">
        <w:rPr>
          <w:rFonts w:ascii="Arial" w:hAnsi="Arial" w:cs="Arial"/>
          <w:b/>
          <w:sz w:val="24"/>
          <w:szCs w:val="24"/>
        </w:rPr>
        <w:t>míchacího kotle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789" w:type="dxa"/>
        <w:tblInd w:w="29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ED7F8E" w14:paraId="4547C49C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000119CF" w14:textId="38F29F20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užitný objem 195 – 205 l/celkový objem 210 – 230 l</w:t>
            </w:r>
          </w:p>
        </w:tc>
      </w:tr>
      <w:tr w:rsidR="00ED7F8E" w14:paraId="73D8C3CB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6D4E672B" w14:textId="4ECF5043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příkon plynový minimální 38 kW, maximálně však 44 kW</w:t>
            </w:r>
          </w:p>
        </w:tc>
      </w:tr>
      <w:tr w:rsidR="00ED7F8E" w14:paraId="66B36E01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5DDC4798" w14:textId="0246F8AE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 xml:space="preserve">míchací rychlost plynule regulovatelná v rozpětí 10 - 160 otáček za minutu </w:t>
            </w:r>
          </w:p>
        </w:tc>
      </w:tr>
      <w:tr w:rsidR="00ED7F8E" w14:paraId="0CD338D0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0C9009C3" w14:textId="77BED29F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 xml:space="preserve">tlak v plášti max. 1.5 bar </w:t>
            </w:r>
          </w:p>
        </w:tc>
      </w:tr>
      <w:tr w:rsidR="00ED7F8E" w14:paraId="46FF6F8A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1E37352B" w14:textId="6EA30C6E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minimálně 6 míchacích režimů</w:t>
            </w:r>
          </w:p>
        </w:tc>
      </w:tr>
      <w:tr w:rsidR="00ED7F8E" w14:paraId="130B49BB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5066CE75" w14:textId="0020D3AC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automatická změna směru míchání</w:t>
            </w:r>
          </w:p>
        </w:tc>
      </w:tr>
      <w:tr w:rsidR="00ED7F8E" w14:paraId="43B4B89A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33183BA3" w14:textId="06651CC5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automatické dopouštění pláště</w:t>
            </w:r>
          </w:p>
        </w:tc>
      </w:tr>
      <w:tr w:rsidR="00ED7F8E" w14:paraId="28EBE426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071AC45D" w14:textId="700D5648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automatické měření a napouštění vody pomocí ovládacího panelu</w:t>
            </w:r>
          </w:p>
        </w:tc>
      </w:tr>
      <w:tr w:rsidR="00ED7F8E" w14:paraId="16392CAD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7C9C60C4" w14:textId="4AB3F084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 xml:space="preserve">provedení nerez s led displayem zabudovaným v noze kotle </w:t>
            </w:r>
            <w:r w:rsidRPr="00ED7F8E">
              <w:rPr>
                <w:rFonts w:ascii="Arial" w:hAnsi="Arial" w:cs="Arial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D7F8E" w14:paraId="326E94BC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2A73AADC" w14:textId="741EE246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měření teploty s přesností na 1°C</w:t>
            </w:r>
          </w:p>
        </w:tc>
      </w:tr>
      <w:tr w:rsidR="00ED7F8E" w14:paraId="38CDE88F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574CCFD4" w14:textId="5FDB8DF7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nastavení teploty 0 - 125 °C</w:t>
            </w:r>
          </w:p>
        </w:tc>
      </w:tr>
      <w:tr w:rsidR="00ED7F8E" w14:paraId="421955B2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4E5F890B" w14:textId="04E2245C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rozměry: šířka 1380 mm, hloubka 1180 mm, výška 1010 mm, tolerance +/- 15 mm</w:t>
            </w:r>
            <w:r w:rsidRPr="00ED7F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7F8E" w14:paraId="590AA84C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60F95A50" w14:textId="729998EA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 xml:space="preserve">váha v rozmezí 330 - 350 kg </w:t>
            </w:r>
          </w:p>
        </w:tc>
      </w:tr>
      <w:tr w:rsidR="00ED7F8E" w14:paraId="2AC4E56F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08E74168" w14:textId="098C2B64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 xml:space="preserve">sklápěcí výška minimálně 400mm maximálně 425 mm </w:t>
            </w:r>
          </w:p>
        </w:tc>
      </w:tr>
      <w:tr w:rsidR="00ED7F8E" w14:paraId="20A383E6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5EA2A512" w14:textId="616961D5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ergonomicky tvarované vnitřní stěny pro lepší vyprázdnění kotle</w:t>
            </w:r>
          </w:p>
        </w:tc>
      </w:tr>
      <w:tr w:rsidR="00ED7F8E" w14:paraId="140F9786" w14:textId="77777777" w:rsidTr="007E6208">
        <w:trPr>
          <w:trHeight w:val="44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3C07D8A9" w14:textId="22DB25A9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dodání kotle včetně cedícího síta a ruční sprchy</w:t>
            </w:r>
          </w:p>
        </w:tc>
      </w:tr>
      <w:tr w:rsidR="00ED7F8E" w14:paraId="4288E2FE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3534B823" w14:textId="4C4092D8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příslušenství: míchací demontovatelné rameno, míchací metly, mycí kartáče, šlehací metly (vše rozmontovatelné a možné vložit do koše na nádobí 500 x 500 mm</w:t>
            </w:r>
          </w:p>
        </w:tc>
      </w:tr>
      <w:tr w:rsidR="00ED7F8E" w14:paraId="751B6427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187900AB" w14:textId="644E4920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středový sloup pro uchycení míchacích nástrojů je vyšší než hladina jídla i při plném využití kapacity</w:t>
            </w:r>
          </w:p>
        </w:tc>
      </w:tr>
      <w:tr w:rsidR="00ED7F8E" w14:paraId="03F18EEB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36DE29AC" w14:textId="2A58369B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plášť min. z nerez oceli AISI 304</w:t>
            </w:r>
            <w:r w:rsidRPr="00ED7F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7F8E" w14:paraId="7906740B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65048245" w14:textId="153393F4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 xml:space="preserve">vnitřní část kotle min. z nerez oceli AISI 316 </w:t>
            </w:r>
          </w:p>
        </w:tc>
      </w:tr>
      <w:tr w:rsidR="00ED7F8E" w14:paraId="71723BB0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079EC82E" w14:textId="76BFC198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bezpečnostní vypínač</w:t>
            </w:r>
          </w:p>
        </w:tc>
      </w:tr>
      <w:tr w:rsidR="00ED7F8E" w14:paraId="3D3B9146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668CADE" w14:textId="3572C8C6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nahřívání 200 l vody o teplotě 20°C na 90°C za min.</w:t>
            </w:r>
            <w:r w:rsidRPr="00ED7F8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D7F8E">
              <w:rPr>
                <w:rFonts w:ascii="Arial" w:hAnsi="Arial" w:cs="Arial"/>
                <w:sz w:val="24"/>
                <w:szCs w:val="24"/>
              </w:rPr>
              <w:t>35 minut</w:t>
            </w:r>
          </w:p>
        </w:tc>
      </w:tr>
      <w:tr w:rsidR="00ED7F8E" w14:paraId="23485F87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40F01D" w14:textId="0F8D24C8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kotel musí odpovídat elektrické bezpečnostní normě EN 60335-2-47: 2002 pro míchací kotle</w:t>
            </w:r>
          </w:p>
        </w:tc>
      </w:tr>
      <w:tr w:rsidR="00ED7F8E" w14:paraId="6176F267" w14:textId="77777777" w:rsidTr="00F2723A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A859376" w14:textId="34C8BFC2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t>kotel musí vyhovovat směrnici o strojních zařízeních MD2006/42/EG a být vyroben v továrně s certifikací ISO-9001</w:t>
            </w:r>
          </w:p>
        </w:tc>
      </w:tr>
      <w:tr w:rsidR="00ED7F8E" w14:paraId="0E21470E" w14:textId="77777777" w:rsidTr="007E6208">
        <w:trPr>
          <w:trHeight w:val="46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D9D9D9"/>
          </w:tcPr>
          <w:p w14:paraId="2B3E3FC6" w14:textId="3C716167" w:rsidR="00ED7F8E" w:rsidRPr="00ED7F8E" w:rsidRDefault="00ED7F8E" w:rsidP="00ED7F8E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F8E">
              <w:rPr>
                <w:rFonts w:ascii="Arial" w:hAnsi="Arial" w:cs="Arial"/>
                <w:sz w:val="24"/>
                <w:szCs w:val="24"/>
              </w:rPr>
              <w:lastRenderedPageBreak/>
              <w:t>instalace na nastavitelných nožičkách.</w:t>
            </w:r>
          </w:p>
        </w:tc>
      </w:tr>
    </w:tbl>
    <w:p w14:paraId="1F96ED0F" w14:textId="77777777" w:rsidR="0097412A" w:rsidRDefault="0097412A">
      <w:pPr>
        <w:rPr>
          <w:rFonts w:ascii="Arial" w:hAnsi="Arial" w:cs="Arial"/>
          <w:sz w:val="24"/>
          <w:szCs w:val="24"/>
        </w:rPr>
      </w:pPr>
    </w:p>
    <w:p w14:paraId="7C1128D8" w14:textId="77777777" w:rsidR="0097412A" w:rsidRDefault="0097412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7412A" w:rsidSect="000D2DE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F5A98" w14:textId="77777777" w:rsidR="0023755C" w:rsidRDefault="0023755C">
      <w:pPr>
        <w:spacing w:after="0" w:line="240" w:lineRule="auto"/>
      </w:pPr>
      <w:r>
        <w:separator/>
      </w:r>
    </w:p>
  </w:endnote>
  <w:endnote w:type="continuationSeparator" w:id="0">
    <w:p w14:paraId="0F2D2689" w14:textId="77777777" w:rsidR="0023755C" w:rsidRDefault="0023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2503C" w14:textId="77777777" w:rsidR="0023755C" w:rsidRDefault="0023755C">
      <w:pPr>
        <w:spacing w:after="0" w:line="240" w:lineRule="auto"/>
      </w:pPr>
      <w:r>
        <w:separator/>
      </w:r>
    </w:p>
  </w:footnote>
  <w:footnote w:type="continuationSeparator" w:id="0">
    <w:p w14:paraId="528AA95E" w14:textId="77777777" w:rsidR="0023755C" w:rsidRDefault="0023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37990"/>
    <w:multiLevelType w:val="multilevel"/>
    <w:tmpl w:val="4C70E110"/>
    <w:lvl w:ilvl="0">
      <w:start w:val="1"/>
      <w:numFmt w:val="decimal"/>
      <w:pStyle w:val="Nadpis1"/>
      <w:suff w:val="space"/>
      <w:lvlText w:val="%1. 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  <w:szCs w:val="32"/>
      </w:rPr>
    </w:lvl>
    <w:lvl w:ilvl="1">
      <w:start w:val="1"/>
      <w:numFmt w:val="decimal"/>
      <w:pStyle w:val="Nadpis2"/>
      <w:suff w:val="space"/>
      <w:lvlText w:val="%1.%2. 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  <w:szCs w:val="28"/>
      </w:rPr>
    </w:lvl>
    <w:lvl w:ilvl="2">
      <w:start w:val="1"/>
      <w:numFmt w:val="decimal"/>
      <w:pStyle w:val="Nadpis3"/>
      <w:suff w:val="space"/>
      <w:lvlText w:val="%1.%2.%3. "/>
      <w:lvlJc w:val="left"/>
      <w:pPr>
        <w:ind w:left="567" w:hanging="567"/>
      </w:pPr>
      <w:rPr>
        <w:rFonts w:ascii="Times New Roman" w:hAnsi="Times New Roman" w:hint="default"/>
        <w:b/>
        <w:i w:val="0"/>
        <w:sz w:val="22"/>
        <w:szCs w:val="24"/>
        <w:u w:val="none"/>
      </w:rPr>
    </w:lvl>
    <w:lvl w:ilvl="3">
      <w:start w:val="1"/>
      <w:numFmt w:val="decimal"/>
      <w:pStyle w:val="Nadpis4"/>
      <w:suff w:val="nothing"/>
      <w:lvlText w:val="%1.%2.%3.%4. "/>
      <w:lvlJc w:val="left"/>
      <w:pPr>
        <w:ind w:left="567" w:hanging="567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pStyle w:val="Nadpis5"/>
      <w:suff w:val="nothing"/>
      <w:lvlText w:val="%1.%2.%3.%4.%5 "/>
      <w:lvlJc w:val="left"/>
      <w:pPr>
        <w:ind w:left="567" w:hanging="567"/>
      </w:pPr>
      <w:rPr>
        <w:rFonts w:ascii="Arial" w:hAnsi="Arial" w:hint="default"/>
        <w:b/>
        <w:i/>
        <w:sz w:val="24"/>
        <w:szCs w:val="24"/>
        <w:u w:val="none"/>
      </w:rPr>
    </w:lvl>
    <w:lvl w:ilvl="5">
      <w:start w:val="1"/>
      <w:numFmt w:val="lowerLetter"/>
      <w:pStyle w:val="Nadpis6"/>
      <w:suff w:val="nothing"/>
      <w:lvlText w:val="%6) 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pStyle w:val="Nadpis7"/>
      <w:suff w:val="nothing"/>
      <w:lvlText w:val="Priorita %7 :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single"/>
      </w:rPr>
    </w:lvl>
    <w:lvl w:ilvl="7">
      <w:start w:val="1"/>
      <w:numFmt w:val="decimal"/>
      <w:pStyle w:val="Nadpis8"/>
      <w:suff w:val="nothing"/>
      <w:lvlText w:val="Opatření %7.%8  :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8">
      <w:start w:val="1"/>
      <w:numFmt w:val="decimal"/>
      <w:pStyle w:val="StylNadpis9TunKurzva"/>
      <w:suff w:val="nothing"/>
      <w:lvlText w:val="Podopatření %7.%8.%9 :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</w:abstractNum>
  <w:abstractNum w:abstractNumId="1" w15:restartNumberingAfterBreak="0">
    <w:nsid w:val="387C218E"/>
    <w:multiLevelType w:val="hybridMultilevel"/>
    <w:tmpl w:val="F1A88344"/>
    <w:lvl w:ilvl="0" w:tplc="3620F9F6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8E6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E7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E9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23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45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C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5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717FF"/>
    <w:multiLevelType w:val="hybridMultilevel"/>
    <w:tmpl w:val="A5D8CCFC"/>
    <w:lvl w:ilvl="0" w:tplc="05421CF6">
      <w:numFmt w:val="bullet"/>
      <w:lvlText w:val="•"/>
      <w:lvlJc w:val="left"/>
      <w:pPr>
        <w:ind w:left="1428" w:hanging="708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54A36"/>
    <w:multiLevelType w:val="multilevel"/>
    <w:tmpl w:val="93B87CBC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469F6"/>
    <w:multiLevelType w:val="multilevel"/>
    <w:tmpl w:val="8D56AC3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C3D77"/>
    <w:multiLevelType w:val="hybridMultilevel"/>
    <w:tmpl w:val="A1FA934E"/>
    <w:lvl w:ilvl="0" w:tplc="B2ECB13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90217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9C96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5A82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A4F0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5E7C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1A9E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E2E1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B838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350123"/>
    <w:multiLevelType w:val="hybridMultilevel"/>
    <w:tmpl w:val="9EA24C14"/>
    <w:lvl w:ilvl="0" w:tplc="13EA44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E1C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0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E4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2B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62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D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A3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C4739"/>
    <w:multiLevelType w:val="hybridMultilevel"/>
    <w:tmpl w:val="4DB8E764"/>
    <w:lvl w:ilvl="0" w:tplc="7C32061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0967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EB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E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C05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AB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4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4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EE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17A06"/>
    <w:multiLevelType w:val="hybridMultilevel"/>
    <w:tmpl w:val="11BA7884"/>
    <w:lvl w:ilvl="0" w:tplc="CE869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89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2B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C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6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67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4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4B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C9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2A"/>
    <w:rsid w:val="00065244"/>
    <w:rsid w:val="000D2DEA"/>
    <w:rsid w:val="00112198"/>
    <w:rsid w:val="001132DA"/>
    <w:rsid w:val="002237D1"/>
    <w:rsid w:val="0023755C"/>
    <w:rsid w:val="00267451"/>
    <w:rsid w:val="002C469A"/>
    <w:rsid w:val="00313C1C"/>
    <w:rsid w:val="003208FB"/>
    <w:rsid w:val="003B0F12"/>
    <w:rsid w:val="0046053D"/>
    <w:rsid w:val="004D13B6"/>
    <w:rsid w:val="004D5194"/>
    <w:rsid w:val="005C43DE"/>
    <w:rsid w:val="005E3EBD"/>
    <w:rsid w:val="00600135"/>
    <w:rsid w:val="00604683"/>
    <w:rsid w:val="006A71CA"/>
    <w:rsid w:val="00725F8B"/>
    <w:rsid w:val="007B0495"/>
    <w:rsid w:val="007E08E4"/>
    <w:rsid w:val="00915CCC"/>
    <w:rsid w:val="0097412A"/>
    <w:rsid w:val="00A24B00"/>
    <w:rsid w:val="00A72273"/>
    <w:rsid w:val="00C0403F"/>
    <w:rsid w:val="00C21F82"/>
    <w:rsid w:val="00CE1F7F"/>
    <w:rsid w:val="00D330BB"/>
    <w:rsid w:val="00E81D10"/>
    <w:rsid w:val="00EA743E"/>
    <w:rsid w:val="00ED7F8E"/>
    <w:rsid w:val="00F2723A"/>
    <w:rsid w:val="00F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1896"/>
  <w15:docId w15:val="{AE393148-8624-4E46-941F-E0EA895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99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StylNadpis9TunKurzva">
    <w:name w:val="Styl Nadpis 9 + Tučné Kurzíva"/>
    <w:basedOn w:val="Normln"/>
    <w:pPr>
      <w:numPr>
        <w:ilvl w:val="8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Odkaznakoment">
    <w:name w:val="annotation reference"/>
    <w:semiHidden/>
    <w:rsid w:val="00F272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Zagorská</dc:creator>
  <cp:lastModifiedBy>Alena Seibertová</cp:lastModifiedBy>
  <cp:revision>2</cp:revision>
  <dcterms:created xsi:type="dcterms:W3CDTF">2024-05-23T08:14:00Z</dcterms:created>
  <dcterms:modified xsi:type="dcterms:W3CDTF">2024-05-23T08:14:00Z</dcterms:modified>
</cp:coreProperties>
</file>