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8296" type="#_x0000_t202" filled="false" stroked="false">
            <v:textbox inset="0,0,0,0">
              <w:txbxContent>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7"/>
                    <w:rPr>
                      <w:rFonts w:ascii="Times New Roman"/>
                      <w:sz w:val="35"/>
                    </w:rPr>
                  </w:pPr>
                </w:p>
                <w:p>
                  <w:pPr>
                    <w:spacing w:before="0"/>
                    <w:ind w:left="4449" w:right="4560" w:firstLine="0"/>
                    <w:jc w:val="center"/>
                    <w:rPr>
                      <w:b/>
                      <w:sz w:val="28"/>
                    </w:rPr>
                  </w:pPr>
                  <w:r>
                    <w:rPr>
                      <w:b/>
                      <w:sz w:val="28"/>
                    </w:rPr>
                    <w:t>SMLOUVA  O</w:t>
                  </w:r>
                  <w:r>
                    <w:rPr>
                      <w:b/>
                      <w:spacing w:val="61"/>
                      <w:sz w:val="28"/>
                    </w:rPr>
                    <w:t> </w:t>
                  </w:r>
                  <w:r>
                    <w:rPr>
                      <w:b/>
                      <w:sz w:val="28"/>
                    </w:rPr>
                    <w:t>DÍLO</w:t>
                  </w:r>
                </w:p>
                <w:p>
                  <w:pPr>
                    <w:spacing w:line="376" w:lineRule="auto" w:before="12"/>
                    <w:ind w:left="4449" w:right="4585" w:firstLine="0"/>
                    <w:jc w:val="center"/>
                    <w:rPr>
                      <w:b/>
                      <w:sz w:val="20"/>
                    </w:rPr>
                  </w:pPr>
                  <w:r>
                    <w:rPr>
                      <w:b/>
                      <w:sz w:val="20"/>
                    </w:rPr>
                    <w:t>zrestaurování maleb na plátně č.    SMLDEU-51-20/2024</w:t>
                  </w:r>
                </w:p>
                <w:p>
                  <w:pPr>
                    <w:pStyle w:val="BodyText"/>
                    <w:rPr>
                      <w:rFonts w:ascii="Times New Roman"/>
                      <w:sz w:val="22"/>
                    </w:rPr>
                  </w:pPr>
                </w:p>
                <w:p>
                  <w:pPr>
                    <w:spacing w:line="224" w:lineRule="exact" w:before="140"/>
                    <w:ind w:left="5003" w:right="4714" w:firstLine="482"/>
                    <w:jc w:val="left"/>
                    <w:rPr>
                      <w:b/>
                      <w:sz w:val="20"/>
                    </w:rPr>
                  </w:pPr>
                  <w:r>
                    <w:rPr>
                      <w:b/>
                      <w:sz w:val="20"/>
                    </w:rPr>
                    <w:t>Článek I. SMLUVNÍ STRANY</w:t>
                  </w:r>
                </w:p>
                <w:p>
                  <w:pPr>
                    <w:pStyle w:val="BodyText"/>
                    <w:spacing w:before="9"/>
                    <w:rPr>
                      <w:rFonts w:ascii="Times New Roman"/>
                    </w:rPr>
                  </w:pPr>
                </w:p>
                <w:p>
                  <w:pPr>
                    <w:tabs>
                      <w:tab w:pos="4463" w:val="left" w:leader="none"/>
                    </w:tabs>
                    <w:spacing w:line="235" w:lineRule="exact" w:before="0"/>
                    <w:ind w:left="1354" w:right="0" w:firstLine="0"/>
                    <w:jc w:val="left"/>
                    <w:rPr>
                      <w:b/>
                      <w:sz w:val="20"/>
                    </w:rPr>
                  </w:pPr>
                  <w:r>
                    <w:rPr>
                      <w:position w:val="1"/>
                      <w:sz w:val="20"/>
                    </w:rPr>
                    <w:t>1.</w:t>
                  </w:r>
                  <w:r>
                    <w:rPr>
                      <w:spacing w:val="30"/>
                      <w:position w:val="1"/>
                      <w:sz w:val="20"/>
                    </w:rPr>
                    <w:t> </w:t>
                  </w:r>
                  <w:r>
                    <w:rPr>
                      <w:position w:val="1"/>
                      <w:sz w:val="20"/>
                    </w:rPr>
                    <w:t>Objednatel:</w:t>
                    <w:tab/>
                  </w:r>
                  <w:r>
                    <w:rPr>
                      <w:b/>
                      <w:sz w:val="20"/>
                    </w:rPr>
                    <w:t>Správa Krkonošského národního</w:t>
                  </w:r>
                  <w:r>
                    <w:rPr>
                      <w:b/>
                      <w:spacing w:val="-4"/>
                      <w:sz w:val="20"/>
                    </w:rPr>
                    <w:t> </w:t>
                  </w:r>
                  <w:r>
                    <w:rPr>
                      <w:b/>
                      <w:sz w:val="20"/>
                    </w:rPr>
                    <w:t>parku</w:t>
                  </w:r>
                </w:p>
                <w:p>
                  <w:pPr>
                    <w:pStyle w:val="BodyText"/>
                    <w:tabs>
                      <w:tab w:pos="4477" w:val="left" w:leader="none"/>
                    </w:tabs>
                    <w:spacing w:line="231" w:lineRule="exact"/>
                    <w:ind w:left="1626"/>
                    <w:jc w:val="both"/>
                  </w:pPr>
                  <w:r>
                    <w:rPr>
                      <w:position w:val="1"/>
                    </w:rPr>
                    <w:t>se</w:t>
                  </w:r>
                  <w:r>
                    <w:rPr>
                      <w:spacing w:val="-5"/>
                      <w:position w:val="1"/>
                    </w:rPr>
                    <w:t> </w:t>
                  </w:r>
                  <w:r>
                    <w:rPr>
                      <w:position w:val="1"/>
                    </w:rPr>
                    <w:t>sídlem:</w:t>
                    <w:tab/>
                  </w:r>
                  <w:r>
                    <w:rPr/>
                    <w:t>Dobrovského 3, 543 01</w:t>
                  </w:r>
                  <w:r>
                    <w:rPr>
                      <w:spacing w:val="-38"/>
                    </w:rPr>
                    <w:t> </w:t>
                  </w:r>
                  <w:r>
                    <w:rPr/>
                    <w:t>Vrchlabí</w:t>
                  </w:r>
                </w:p>
                <w:p>
                  <w:pPr>
                    <w:pStyle w:val="BodyText"/>
                    <w:tabs>
                      <w:tab w:pos="4470" w:val="left" w:leader="none"/>
                    </w:tabs>
                    <w:spacing w:line="231" w:lineRule="exact"/>
                    <w:ind w:left="1634"/>
                    <w:jc w:val="both"/>
                  </w:pPr>
                  <w:r>
                    <w:rPr>
                      <w:position w:val="1"/>
                    </w:rPr>
                    <w:t>IČO:</w:t>
                    <w:tab/>
                  </w:r>
                  <w:r>
                    <w:rPr/>
                    <w:t>00088455</w:t>
                  </w:r>
                </w:p>
                <w:p>
                  <w:pPr>
                    <w:pStyle w:val="BodyText"/>
                    <w:tabs>
                      <w:tab w:pos="4470" w:val="left" w:leader="none"/>
                    </w:tabs>
                    <w:spacing w:line="228" w:lineRule="exact"/>
                    <w:ind w:left="1634"/>
                    <w:jc w:val="both"/>
                  </w:pPr>
                  <w:r>
                    <w:rPr>
                      <w:position w:val="1"/>
                    </w:rPr>
                    <w:t>DIČ:</w:t>
                    <w:tab/>
                  </w:r>
                  <w:r>
                    <w:rPr/>
                    <w:t>CZ00088455</w:t>
                  </w:r>
                </w:p>
                <w:p>
                  <w:pPr>
                    <w:pStyle w:val="BodyText"/>
                    <w:spacing w:line="223" w:lineRule="exact"/>
                    <w:ind w:left="1626"/>
                    <w:jc w:val="both"/>
                  </w:pPr>
                  <w:r>
                    <w:rPr/>
                    <w:t>bankovní spojení:</w:t>
                  </w:r>
                </w:p>
                <w:p>
                  <w:pPr>
                    <w:pStyle w:val="BodyText"/>
                    <w:tabs>
                      <w:tab w:pos="4477" w:val="left" w:leader="none"/>
                    </w:tabs>
                    <w:spacing w:line="352" w:lineRule="auto" w:before="4"/>
                    <w:ind w:left="1626" w:right="3985" w:hanging="7"/>
                  </w:pPr>
                  <w:r>
                    <w:rPr>
                      <w:position w:val="1"/>
                    </w:rPr>
                    <w:t>zastoupená:</w:t>
                    <w:tab/>
                  </w:r>
                  <w:r>
                    <w:rPr/>
                    <w:t>PhDr. Robinem</w:t>
                  </w:r>
                  <w:r>
                    <w:rPr>
                      <w:spacing w:val="-18"/>
                    </w:rPr>
                    <w:t> </w:t>
                  </w:r>
                  <w:r>
                    <w:rPr/>
                    <w:t>Bóhnischem,</w:t>
                  </w:r>
                  <w:r>
                    <w:rPr>
                      <w:spacing w:val="-10"/>
                    </w:rPr>
                    <w:t> </w:t>
                  </w:r>
                  <w:r>
                    <w:rPr/>
                    <w:t>ředitelem</w:t>
                  </w:r>
                  <w:r>
                    <w:rPr>
                      <w:w w:val="96"/>
                    </w:rPr>
                    <w:t> </w:t>
                  </w:r>
                  <w:r>
                    <w:rPr/>
                    <w:t>kontaktní</w:t>
                  </w:r>
                  <w:r>
                    <w:rPr>
                      <w:spacing w:val="-21"/>
                    </w:rPr>
                    <w:t> </w:t>
                  </w:r>
                  <w:r>
                    <w:rPr/>
                    <w:t>osoba:</w:t>
                  </w:r>
                </w:p>
                <w:p>
                  <w:pPr>
                    <w:pStyle w:val="BodyText"/>
                    <w:spacing w:before="2"/>
                    <w:rPr>
                      <w:rFonts w:ascii="Times New Roman"/>
                      <w:sz w:val="22"/>
                    </w:rPr>
                  </w:pPr>
                </w:p>
                <w:p>
                  <w:pPr>
                    <w:spacing w:before="0"/>
                    <w:ind w:left="1620" w:right="0" w:firstLine="0"/>
                    <w:jc w:val="both"/>
                    <w:rPr>
                      <w:b/>
                      <w:sz w:val="20"/>
                    </w:rPr>
                  </w:pPr>
                  <w:r>
                    <w:rPr>
                      <w:w w:val="95"/>
                      <w:sz w:val="20"/>
                    </w:rPr>
                    <w:t>(dále jen </w:t>
                  </w:r>
                  <w:r>
                    <w:rPr>
                      <w:b/>
                      <w:w w:val="95"/>
                      <w:sz w:val="20"/>
                    </w:rPr>
                    <w:t>„Objednatel")</w:t>
                  </w:r>
                </w:p>
                <w:p>
                  <w:pPr>
                    <w:pStyle w:val="BodyText"/>
                    <w:spacing w:before="2"/>
                    <w:rPr>
                      <w:rFonts w:ascii="Times New Roman"/>
                      <w:sz w:val="21"/>
                    </w:rPr>
                  </w:pPr>
                </w:p>
                <w:p>
                  <w:pPr>
                    <w:pStyle w:val="BodyText"/>
                    <w:spacing w:before="1"/>
                    <w:ind w:left="1620"/>
                    <w:jc w:val="both"/>
                  </w:pPr>
                  <w:r>
                    <w:rPr>
                      <w:w w:val="84"/>
                    </w:rPr>
                    <w:t>a</w:t>
                  </w:r>
                </w:p>
                <w:p>
                  <w:pPr>
                    <w:pStyle w:val="BodyText"/>
                    <w:spacing w:before="9"/>
                    <w:rPr>
                      <w:rFonts w:ascii="Times New Roman"/>
                      <w:sz w:val="19"/>
                    </w:rPr>
                  </w:pPr>
                </w:p>
                <w:p>
                  <w:pPr>
                    <w:tabs>
                      <w:tab w:pos="4470" w:val="left" w:leader="none"/>
                    </w:tabs>
                    <w:spacing w:before="0"/>
                    <w:ind w:left="1339" w:right="0" w:firstLine="0"/>
                    <w:jc w:val="left"/>
                    <w:rPr>
                      <w:b/>
                      <w:sz w:val="20"/>
                    </w:rPr>
                  </w:pPr>
                  <w:r>
                    <w:rPr>
                      <w:position w:val="1"/>
                      <w:sz w:val="20"/>
                    </w:rPr>
                    <w:t>2.</w:t>
                  </w:r>
                  <w:r>
                    <w:rPr>
                      <w:spacing w:val="42"/>
                      <w:position w:val="1"/>
                      <w:sz w:val="20"/>
                    </w:rPr>
                    <w:t> </w:t>
                  </w:r>
                  <w:r>
                    <w:rPr>
                      <w:position w:val="1"/>
                      <w:sz w:val="20"/>
                    </w:rPr>
                    <w:t>Zhotovitel:</w:t>
                    <w:tab/>
                  </w:r>
                  <w:r>
                    <w:rPr>
                      <w:b/>
                      <w:sz w:val="20"/>
                    </w:rPr>
                    <w:t>Mgr. art. Veronika</w:t>
                  </w:r>
                  <w:r>
                    <w:rPr>
                      <w:b/>
                      <w:spacing w:val="-16"/>
                      <w:sz w:val="20"/>
                    </w:rPr>
                    <w:t> </w:t>
                  </w:r>
                  <w:r>
                    <w:rPr>
                      <w:b/>
                      <w:sz w:val="20"/>
                    </w:rPr>
                    <w:t>Kopecká.</w:t>
                  </w:r>
                </w:p>
                <w:p>
                  <w:pPr>
                    <w:pStyle w:val="BodyText"/>
                    <w:spacing w:line="222" w:lineRule="exact" w:before="6"/>
                    <w:ind w:left="4471"/>
                  </w:pPr>
                  <w:r>
                    <w:rPr/>
                    <w:t>povolení k restaurování MK č. j.: MK 18057/2007 ze dne 14.3.2008</w:t>
                  </w:r>
                </w:p>
                <w:p>
                  <w:pPr>
                    <w:pStyle w:val="BodyText"/>
                    <w:tabs>
                      <w:tab w:pos="4470" w:val="left" w:leader="none"/>
                    </w:tabs>
                    <w:spacing w:line="227" w:lineRule="exact"/>
                    <w:ind w:left="1620"/>
                    <w:jc w:val="both"/>
                  </w:pPr>
                  <w:r>
                    <w:rPr>
                      <w:position w:val="1"/>
                    </w:rPr>
                    <w:t>se</w:t>
                  </w:r>
                  <w:r>
                    <w:rPr>
                      <w:spacing w:val="-3"/>
                      <w:position w:val="1"/>
                    </w:rPr>
                    <w:t> </w:t>
                  </w:r>
                  <w:r>
                    <w:rPr>
                      <w:position w:val="1"/>
                    </w:rPr>
                    <w:t>sídlem:</w:t>
                    <w:tab/>
                  </w:r>
                  <w:r>
                    <w:rPr/>
                    <w:t>Lažany 3, 570</w:t>
                  </w:r>
                  <w:r>
                    <w:rPr>
                      <w:spacing w:val="-40"/>
                    </w:rPr>
                    <w:t> </w:t>
                  </w:r>
                  <w:r>
                    <w:rPr/>
                    <w:t>01 Morašice</w:t>
                  </w:r>
                </w:p>
                <w:p>
                  <w:pPr>
                    <w:pStyle w:val="BodyText"/>
                    <w:tabs>
                      <w:tab w:pos="4470" w:val="left" w:leader="none"/>
                    </w:tabs>
                    <w:spacing w:line="231" w:lineRule="exact"/>
                    <w:ind w:left="1626"/>
                    <w:jc w:val="both"/>
                  </w:pPr>
                  <w:r>
                    <w:rPr>
                      <w:position w:val="1"/>
                    </w:rPr>
                    <w:t>IČO:</w:t>
                    <w:tab/>
                  </w:r>
                  <w:r>
                    <w:rPr/>
                    <w:t>72717149DIČ:        </w:t>
                  </w:r>
                  <w:r>
                    <w:rPr>
                      <w:spacing w:val="35"/>
                    </w:rPr>
                    <w:t> </w:t>
                  </w:r>
                  <w:r>
                    <w:rPr/>
                    <w:t>C</w:t>
                  </w:r>
                </w:p>
                <w:p>
                  <w:pPr>
                    <w:pStyle w:val="BodyText"/>
                    <w:spacing w:line="367" w:lineRule="auto"/>
                    <w:ind w:left="1620" w:right="7916" w:firstLine="6"/>
                  </w:pPr>
                  <w:r>
                    <w:rPr/>
                    <w:t>bankovní spojení:</w:t>
                  </w:r>
                  <w:r>
                    <w:rPr>
                      <w:w w:val="96"/>
                    </w:rPr>
                    <w:t> </w:t>
                  </w:r>
                  <w:r>
                    <w:rPr/>
                    <w:t>kontaktní údaje:</w:t>
                  </w:r>
                </w:p>
                <w:p>
                  <w:pPr>
                    <w:pStyle w:val="BodyText"/>
                    <w:spacing w:before="1"/>
                    <w:rPr>
                      <w:rFonts w:ascii="Times New Roman"/>
                      <w:sz w:val="30"/>
                    </w:rPr>
                  </w:pPr>
                </w:p>
                <w:p>
                  <w:pPr>
                    <w:spacing w:before="0"/>
                    <w:ind w:left="0" w:right="2150" w:firstLine="0"/>
                    <w:jc w:val="center"/>
                    <w:rPr>
                      <w:b/>
                      <w:sz w:val="20"/>
                    </w:rPr>
                  </w:pPr>
                  <w:r>
                    <w:rPr>
                      <w:sz w:val="20"/>
                    </w:rPr>
                    <w:t>a Zhotovitel společně dále jen </w:t>
                  </w:r>
                  <w:r>
                    <w:rPr>
                      <w:b/>
                      <w:sz w:val="20"/>
                    </w:rPr>
                    <w:t>„Smluvní strany")</w:t>
                  </w:r>
                </w:p>
                <w:p>
                  <w:pPr>
                    <w:pStyle w:val="BodyText"/>
                    <w:rPr>
                      <w:rFonts w:ascii="Times New Roman"/>
                      <w:sz w:val="22"/>
                    </w:rPr>
                  </w:pPr>
                </w:p>
                <w:p>
                  <w:pPr>
                    <w:pStyle w:val="BodyText"/>
                    <w:spacing w:line="222" w:lineRule="exact" w:before="138"/>
                    <w:ind w:left="1613" w:right="1481" w:firstLine="7"/>
                  </w:pPr>
                  <w:r>
                    <w:rPr/>
                    <w:t>uzavírají níže uvedeného  dne,  měsíce a roku v souladu  s  ustanovením  § 2586 a  násl.  zákona č. 89/2012 Sb., občanského zákoníku, v platném znění (dále jen </w:t>
                  </w:r>
                  <w:r>
                    <w:rPr>
                      <w:b/>
                    </w:rPr>
                    <w:t>„Občanský zákoník"), </w:t>
                  </w:r>
                  <w:r>
                    <w:rPr/>
                    <w:t>tuto</w:t>
                  </w:r>
                </w:p>
                <w:p>
                  <w:pPr>
                    <w:pStyle w:val="BodyText"/>
                    <w:spacing w:before="2"/>
                    <w:rPr>
                      <w:rFonts w:ascii="Times New Roman"/>
                      <w:sz w:val="22"/>
                    </w:rPr>
                  </w:pPr>
                </w:p>
                <w:p>
                  <w:pPr>
                    <w:tabs>
                      <w:tab w:pos="1483" w:val="left" w:leader="none"/>
                    </w:tabs>
                    <w:spacing w:before="0"/>
                    <w:ind w:left="0" w:right="148" w:firstLine="0"/>
                    <w:jc w:val="center"/>
                    <w:rPr>
                      <w:b/>
                      <w:sz w:val="21"/>
                    </w:rPr>
                  </w:pPr>
                  <w:r>
                    <w:rPr>
                      <w:b/>
                      <w:w w:val="135"/>
                      <w:sz w:val="21"/>
                    </w:rPr>
                    <w:t>Smlouvu</w:t>
                    <w:tab/>
                  </w:r>
                  <w:r>
                    <w:rPr>
                      <w:b/>
                      <w:w w:val="125"/>
                      <w:sz w:val="21"/>
                    </w:rPr>
                    <w:t>o</w:t>
                  </w:r>
                  <w:r>
                    <w:rPr>
                      <w:b/>
                      <w:spacing w:val="70"/>
                      <w:w w:val="125"/>
                      <w:sz w:val="21"/>
                    </w:rPr>
                    <w:t> </w:t>
                  </w:r>
                  <w:r>
                    <w:rPr>
                      <w:b/>
                      <w:w w:val="135"/>
                      <w:sz w:val="21"/>
                    </w:rPr>
                    <w:t>dílo</w:t>
                  </w:r>
                </w:p>
                <w:p>
                  <w:pPr>
                    <w:spacing w:before="120"/>
                    <w:ind w:left="4431" w:right="4585" w:firstLine="0"/>
                    <w:jc w:val="center"/>
                    <w:rPr>
                      <w:b/>
                      <w:sz w:val="20"/>
                    </w:rPr>
                  </w:pPr>
                  <w:r>
                    <w:rPr>
                      <w:w w:val="95"/>
                      <w:sz w:val="20"/>
                    </w:rPr>
                    <w:t>(dále jen </w:t>
                  </w:r>
                  <w:r>
                    <w:rPr>
                      <w:b/>
                      <w:w w:val="95"/>
                      <w:sz w:val="20"/>
                    </w:rPr>
                    <w:t>„Smlouva")</w:t>
                  </w:r>
                </w:p>
                <w:p>
                  <w:pPr>
                    <w:pStyle w:val="BodyText"/>
                    <w:rPr>
                      <w:rFonts w:ascii="Times New Roman"/>
                      <w:sz w:val="22"/>
                    </w:rPr>
                  </w:pPr>
                </w:p>
                <w:p>
                  <w:pPr>
                    <w:pStyle w:val="BodyText"/>
                    <w:spacing w:before="3"/>
                    <w:rPr>
                      <w:rFonts w:ascii="Times New Roman"/>
                    </w:rPr>
                  </w:pPr>
                </w:p>
                <w:p>
                  <w:pPr>
                    <w:spacing w:line="222" w:lineRule="exact" w:before="0"/>
                    <w:ind w:left="4867" w:right="4714" w:firstLine="575"/>
                    <w:jc w:val="left"/>
                    <w:rPr>
                      <w:b/>
                      <w:sz w:val="20"/>
                    </w:rPr>
                  </w:pPr>
                  <w:r>
                    <w:rPr>
                      <w:b/>
                      <w:sz w:val="20"/>
                    </w:rPr>
                    <w:t>Článek II. PŘEDMĚT SMLOUVY</w:t>
                  </w:r>
                </w:p>
                <w:p>
                  <w:pPr>
                    <w:pStyle w:val="BodyText"/>
                    <w:spacing w:before="2"/>
                    <w:rPr>
                      <w:rFonts w:ascii="Times New Roman"/>
                      <w:sz w:val="21"/>
                    </w:rPr>
                  </w:pPr>
                </w:p>
                <w:p>
                  <w:pPr>
                    <w:spacing w:line="237" w:lineRule="auto" w:before="0"/>
                    <w:ind w:left="1691" w:right="1482" w:hanging="353"/>
                    <w:jc w:val="both"/>
                    <w:rPr>
                      <w:b/>
                      <w:sz w:val="20"/>
                    </w:rPr>
                  </w:pPr>
                  <w:r>
                    <w:rPr>
                      <w:sz w:val="20"/>
                    </w:rPr>
                    <w:t>1. Předmětem této Smlouvy je závazek Zhotovitele provést pro Objednatele, za podmínek stanovených touto Smlouvou, na svůj náklad, nebezpečí a odpovědnost  restaurování  následujících historických předmětů </w:t>
                  </w:r>
                  <w:r>
                    <w:rPr>
                      <w:w w:val="155"/>
                      <w:sz w:val="20"/>
                    </w:rPr>
                    <w:t>- </w:t>
                  </w:r>
                  <w:r>
                    <w:rPr>
                      <w:sz w:val="20"/>
                    </w:rPr>
                    <w:t>souboru </w:t>
                  </w:r>
                  <w:r>
                    <w:rPr>
                      <w:b/>
                      <w:sz w:val="20"/>
                    </w:rPr>
                    <w:t>maleb na plátně s třásněmi </w:t>
                  </w:r>
                  <w:r>
                    <w:rPr>
                      <w:sz w:val="20"/>
                    </w:rPr>
                    <w:t>- </w:t>
                  </w:r>
                  <w:r>
                    <w:rPr>
                      <w:b/>
                      <w:sz w:val="20"/>
                    </w:rPr>
                    <w:t>3 cechovních pohřebních</w:t>
                  </w:r>
                  <w:r>
                    <w:rPr>
                      <w:b/>
                      <w:spacing w:val="-25"/>
                      <w:sz w:val="20"/>
                    </w:rPr>
                    <w:t> </w:t>
                  </w:r>
                  <w:r>
                    <w:rPr>
                      <w:b/>
                      <w:sz w:val="20"/>
                    </w:rPr>
                    <w:t>korouhví:</w:t>
                  </w:r>
                </w:p>
                <w:p>
                  <w:pPr>
                    <w:pStyle w:val="BodyText"/>
                    <w:spacing w:before="123"/>
                    <w:ind w:left="1691"/>
                    <w:jc w:val="both"/>
                  </w:pPr>
                  <w:r>
                    <w:rPr/>
                    <w:t>U1467-1 - štít s atributy pekařského cechu,</w:t>
                  </w:r>
                </w:p>
                <w:p>
                  <w:pPr>
                    <w:pStyle w:val="BodyText"/>
                    <w:spacing w:line="226" w:lineRule="exact"/>
                    <w:ind w:left="1691"/>
                    <w:jc w:val="both"/>
                  </w:pPr>
                  <w:r>
                    <w:rPr/>
                    <w:t>U 1467-2 - Kristus žehnající matce a učedníkům,</w:t>
                  </w:r>
                </w:p>
                <w:p>
                  <w:pPr>
                    <w:pStyle w:val="BodyText"/>
                    <w:spacing w:line="480" w:lineRule="auto"/>
                    <w:ind w:left="1691" w:right="6851"/>
                    <w:rPr>
                      <w:b/>
                    </w:rPr>
                  </w:pPr>
                  <w:r>
                    <w:rPr/>
                    <w:t>U 1467-3 - Poslední večeře Páně </w:t>
                  </w:r>
                  <w:r>
                    <w:rPr>
                      <w:w w:val="95"/>
                    </w:rPr>
                    <w:t>(dále jen </w:t>
                  </w:r>
                  <w:r>
                    <w:rPr>
                      <w:b/>
                      <w:w w:val="95"/>
                    </w:rPr>
                    <w:t>„Dílo").</w:t>
                  </w:r>
                </w:p>
                <w:p>
                  <w:pPr>
                    <w:pStyle w:val="BodyText"/>
                    <w:spacing w:line="235" w:lineRule="auto" w:before="14"/>
                    <w:ind w:left="1684" w:right="1486" w:firstLine="7"/>
                    <w:jc w:val="both"/>
                  </w:pPr>
                  <w:r>
                    <w:rPr/>
                    <w:t>Podrobnější popis shora uvedených předmětů, jejichž restaurování je předmětem díla, a to včetně popisu požadovaných restaurátorských prací, je obsažen ve vztahu ke každému takovémuto předmětu </w:t>
                  </w:r>
                  <w:r>
                    <w:rPr>
                      <w:b/>
                    </w:rPr>
                    <w:t>v příloze č. 1 této Smlouvy </w:t>
                  </w:r>
                  <w:r>
                    <w:rPr>
                      <w:b/>
                      <w:w w:val="155"/>
                    </w:rPr>
                    <w:t>- </w:t>
                  </w:r>
                  <w:r>
                    <w:rPr>
                      <w:b/>
                    </w:rPr>
                    <w:t>Restaurátorský záměr, </w:t>
                  </w:r>
                  <w:r>
                    <w:rPr/>
                    <w:t>který je nedílnou součástí této Smlouvy.</w:t>
                  </w:r>
                </w:p>
                <w:p>
                  <w:pPr>
                    <w:pStyle w:val="BodyText"/>
                    <w:rPr>
                      <w:rFonts w:ascii="Times New Roman"/>
                      <w:sz w:val="22"/>
                    </w:rPr>
                  </w:pPr>
                </w:p>
                <w:p>
                  <w:pPr>
                    <w:pStyle w:val="BodyText"/>
                    <w:rPr>
                      <w:rFonts w:ascii="Times New Roman"/>
                      <w:sz w:val="22"/>
                    </w:rPr>
                  </w:pPr>
                </w:p>
                <w:p>
                  <w:pPr>
                    <w:pStyle w:val="BodyText"/>
                    <w:spacing w:before="8"/>
                    <w:rPr>
                      <w:rFonts w:ascii="Times New Roman"/>
                      <w:sz w:val="24"/>
                    </w:rPr>
                  </w:pPr>
                </w:p>
                <w:p>
                  <w:pPr>
                    <w:spacing w:before="0"/>
                    <w:ind w:left="4414" w:right="4585" w:firstLine="0"/>
                    <w:jc w:val="center"/>
                    <w:rPr>
                      <w:sz w:val="18"/>
                    </w:rPr>
                  </w:pPr>
                  <w:r>
                    <w:rPr>
                      <w:sz w:val="18"/>
                    </w:rPr>
                    <w:t>1/6</w:t>
                  </w:r>
                </w:p>
              </w:txbxContent>
            </v:textbox>
            <w10:wrap type="none"/>
          </v:shape>
        </w:pict>
      </w:r>
      <w:r>
        <w:rPr/>
        <w:pict>
          <v:group style="position:absolute;margin-left:0pt;margin-top:0pt;width:595.1pt;height:841.7pt;mso-position-horizontal-relative:page;mso-position-vertical-relative:page;z-index:-8272" coordorigin="0,0" coordsize="11902,16834">
            <v:shape style="position:absolute;left:0;top:0;width:11902;height:16834" type="#_x0000_t75" stroked="false">
              <v:imagedata r:id="rId5" o:title=""/>
            </v:shape>
            <v:shape style="position:absolute;left:1600;top:4500;width:8927;height:4340" coordorigin="1600,4500" coordsize="8927,4340" path="m2614,8567l1600,8567,1600,8840,2614,8840,2614,8567m6249,4500l4451,4500,4451,4773,6249,4773,6249,4500m8501,7530l7653,7530,7653,7300,6431,7300,6431,7530,4444,7530,4444,7803,8501,7803,8501,7530m9398,7887l4437,7890,4437,8163,9398,8173,9398,7887m10526,4912l4068,4912,4068,5637,10526,5637,10526,4912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ind w:right="-40"/>
        <w:rPr>
          <w:rFonts w:ascii="Times New Roman"/>
        </w:rPr>
      </w:pPr>
      <w:r>
        <w:rPr/>
        <w:pict>
          <v:shape style="position:absolute;margin-left:0pt;margin-top:0pt;width:595.1pt;height:841.7pt;mso-position-horizontal-relative:page;mso-position-vertical-relative:page;z-index:-8248"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line="244" w:lineRule="auto" w:before="160"/>
                    <w:ind w:left="1728" w:right="1444" w:hanging="353"/>
                    <w:jc w:val="both"/>
                  </w:pPr>
                  <w:r>
                    <w:rPr/>
                    <w:t>2. Předmět díla je financován grantovým schématem Ministerstva kultury  Integrovaný  systém  ochrany movitého kulturního dědictví II </w:t>
                  </w:r>
                  <w:r>
                    <w:rPr>
                      <w:w w:val="145"/>
                    </w:rPr>
                    <w:t>- </w:t>
                  </w:r>
                  <w:r>
                    <w:rPr/>
                    <w:t>preventivní ochrana před nepříznivými vlivy prostředí v</w:t>
                  </w:r>
                  <w:r>
                    <w:rPr>
                      <w:spacing w:val="10"/>
                    </w:rPr>
                    <w:t> </w:t>
                  </w:r>
                  <w:r>
                    <w:rPr>
                      <w:w w:val="97"/>
                    </w:rPr>
                    <w:t>rámci</w:t>
                  </w:r>
                  <w:r>
                    <w:rPr>
                      <w:spacing w:val="14"/>
                    </w:rPr>
                    <w:t> </w:t>
                  </w:r>
                  <w:r>
                    <w:rPr>
                      <w:w w:val="98"/>
                    </w:rPr>
                    <w:t>pro</w:t>
                  </w:r>
                  <w:r>
                    <w:rPr>
                      <w:spacing w:val="-3"/>
                      <w:w w:val="98"/>
                    </w:rPr>
                    <w:t>j</w:t>
                  </w:r>
                  <w:r>
                    <w:rPr>
                      <w:w w:val="98"/>
                    </w:rPr>
                    <w:t>ektu</w:t>
                  </w:r>
                  <w:r>
                    <w:rPr>
                      <w:spacing w:val="8"/>
                    </w:rPr>
                    <w:t> </w:t>
                  </w:r>
                  <w:r>
                    <w:rPr>
                      <w:w w:val="99"/>
                    </w:rPr>
                    <w:t>„Rest</w:t>
                  </w:r>
                  <w:r>
                    <w:rPr>
                      <w:spacing w:val="-3"/>
                      <w:w w:val="99"/>
                    </w:rPr>
                    <w:t>a</w:t>
                  </w:r>
                  <w:r>
                    <w:rPr>
                      <w:w w:val="99"/>
                    </w:rPr>
                    <w:t>urová</w:t>
                  </w:r>
                  <w:r>
                    <w:rPr>
                      <w:spacing w:val="-3"/>
                      <w:w w:val="99"/>
                    </w:rPr>
                    <w:t>n</w:t>
                  </w:r>
                  <w:r>
                    <w:rPr>
                      <w:w w:val="99"/>
                    </w:rPr>
                    <w:t>í</w:t>
                  </w:r>
                  <w:r>
                    <w:rPr>
                      <w:spacing w:val="9"/>
                    </w:rPr>
                    <w:t> </w:t>
                  </w:r>
                  <w:r>
                    <w:rPr>
                      <w:w w:val="98"/>
                    </w:rPr>
                    <w:t>obrazů</w:t>
                  </w:r>
                  <w:r>
                    <w:rPr>
                      <w:spacing w:val="22"/>
                    </w:rPr>
                    <w:t> </w:t>
                  </w:r>
                  <w:r>
                    <w:rPr>
                      <w:w w:val="85"/>
                    </w:rPr>
                    <w:t>F.</w:t>
                  </w:r>
                  <w:r>
                    <w:rPr>
                      <w:spacing w:val="19"/>
                    </w:rPr>
                    <w:t> </w:t>
                  </w:r>
                  <w:r>
                    <w:rPr>
                      <w:w w:val="97"/>
                    </w:rPr>
                    <w:t>Kavána</w:t>
                  </w:r>
                  <w:r>
                    <w:rPr>
                      <w:spacing w:val="8"/>
                    </w:rPr>
                    <w:t> </w:t>
                  </w:r>
                  <w:r>
                    <w:rPr>
                      <w:w w:val="90"/>
                    </w:rPr>
                    <w:t>a</w:t>
                  </w:r>
                  <w:r>
                    <w:rPr>
                      <w:spacing w:val="4"/>
                    </w:rPr>
                    <w:t> </w:t>
                  </w:r>
                  <w:r>
                    <w:rPr>
                      <w:w w:val="98"/>
                    </w:rPr>
                    <w:t>cechovních</w:t>
                  </w:r>
                  <w:r>
                    <w:rPr>
                      <w:spacing w:val="13"/>
                    </w:rPr>
                    <w:t> </w:t>
                  </w:r>
                  <w:r>
                    <w:rPr>
                      <w:w w:val="100"/>
                    </w:rPr>
                    <w:t>korouhv</w:t>
                  </w:r>
                  <w:r>
                    <w:rPr>
                      <w:spacing w:val="-2"/>
                      <w:w w:val="100"/>
                    </w:rPr>
                    <w:t>í</w:t>
                  </w:r>
                  <w:r>
                    <w:rPr>
                      <w:w w:val="35"/>
                    </w:rPr>
                    <w:t>1</w:t>
                  </w:r>
                  <w:r>
                    <w:rPr>
                      <w:spacing w:val="-1"/>
                      <w:w w:val="35"/>
                    </w:rPr>
                    <w:t>1</w:t>
                  </w:r>
                  <w:r>
                    <w:rPr>
                      <w:w w:val="25"/>
                    </w:rPr>
                    <w:t>.</w:t>
                  </w:r>
                </w:p>
                <w:p>
                  <w:pPr>
                    <w:pStyle w:val="BodyText"/>
                    <w:spacing w:line="242" w:lineRule="auto" w:before="110"/>
                    <w:ind w:left="1728" w:right="1437" w:hanging="353"/>
                    <w:jc w:val="both"/>
                  </w:pPr>
                  <w:r>
                    <w:rPr/>
                    <w:t>3. Zhotovitel se v rámci realizace Díla zavazuje ve vztahu ke každému shora uvedenému  historickému předmětu vyhotovit též </w:t>
                  </w:r>
                  <w:r>
                    <w:rPr>
                      <w:b/>
                    </w:rPr>
                    <w:t>restaurátorskou zprávu (včetně fotodokumentace) </w:t>
                  </w:r>
                  <w:r>
                    <w:rPr/>
                    <w:t>ve smyslu vyhlášky č. 66/1988 Sb., kterou se provádí zákon České národní rady č. 20/1987 Sb., o státní památkové péči. Restaurátorská zpráva bude vyhotovena a předána Objednateli ve dvou listinných vyhotoveních a 1 x v elektronické podobě, nedohodnou-li se Smluvní strany jinak. Na vyžádání Zhotovitel dodá další vyhotovení restaurátorské zprávy v požadovaném počtu paré, a to za zvláštní předem Smluvními stranami sjednanou</w:t>
                  </w:r>
                  <w:r>
                    <w:rPr>
                      <w:spacing w:val="-9"/>
                    </w:rPr>
                    <w:t> </w:t>
                  </w:r>
                  <w:r>
                    <w:rPr/>
                    <w:t>úhradu.</w:t>
                  </w:r>
                </w:p>
                <w:p>
                  <w:pPr>
                    <w:pStyle w:val="BodyText"/>
                    <w:spacing w:line="242" w:lineRule="auto" w:before="113"/>
                    <w:ind w:left="1741" w:right="1436" w:hanging="367"/>
                    <w:jc w:val="both"/>
                  </w:pPr>
                  <w:r>
                    <w:rPr/>
                    <w:t>4. Zhotovitel se zavazuje po celou dobu trvání Smlouvy spolupracovat s kontaktní  osobou Objednatele uvedenou v čl. </w:t>
                  </w:r>
                  <w:r>
                    <w:rPr>
                      <w:w w:val="90"/>
                    </w:rPr>
                    <w:t>I </w:t>
                  </w:r>
                  <w:r>
                    <w:rPr/>
                    <w:t>odst. </w:t>
                  </w:r>
                  <w:r>
                    <w:rPr>
                      <w:w w:val="90"/>
                    </w:rPr>
                    <w:t>1 </w:t>
                  </w:r>
                  <w:r>
                    <w:rPr/>
                    <w:t>této Smlouvy, popř. jím pověřeným pracovníkem Objednatele a konzultovat s ní případné technické změny prací. Zhotovitel při své činnosti bude plně respektovat požadavky Objednatele a dbát</w:t>
                  </w:r>
                  <w:r>
                    <w:rPr>
                      <w:spacing w:val="-38"/>
                    </w:rPr>
                    <w:t> </w:t>
                  </w:r>
                  <w:r>
                    <w:rPr/>
                    <w:t>jeho pokynů.</w:t>
                  </w:r>
                </w:p>
                <w:p>
                  <w:pPr>
                    <w:pStyle w:val="BodyText"/>
                    <w:spacing w:before="8"/>
                    <w:rPr>
                      <w:rFonts w:ascii="Times New Roman"/>
                      <w:sz w:val="28"/>
                    </w:rPr>
                  </w:pPr>
                </w:p>
                <w:p>
                  <w:pPr>
                    <w:spacing w:before="0"/>
                    <w:ind w:left="4449" w:right="4517" w:firstLine="0"/>
                    <w:jc w:val="center"/>
                    <w:rPr>
                      <w:b/>
                      <w:sz w:val="20"/>
                    </w:rPr>
                  </w:pPr>
                  <w:r>
                    <w:rPr>
                      <w:b/>
                      <w:sz w:val="20"/>
                    </w:rPr>
                    <w:t>Článek lil.</w:t>
                  </w:r>
                </w:p>
                <w:p>
                  <w:pPr>
                    <w:spacing w:before="0"/>
                    <w:ind w:left="4449" w:right="4511" w:firstLine="0"/>
                    <w:jc w:val="center"/>
                    <w:rPr>
                      <w:b/>
                      <w:sz w:val="20"/>
                    </w:rPr>
                  </w:pPr>
                  <w:r>
                    <w:rPr>
                      <w:b/>
                      <w:sz w:val="20"/>
                    </w:rPr>
                    <w:t>DOBA A MÍSTO PLNĚNÍ</w:t>
                  </w:r>
                </w:p>
                <w:p>
                  <w:pPr>
                    <w:pStyle w:val="BodyText"/>
                    <w:spacing w:before="6"/>
                    <w:rPr>
                      <w:rFonts w:ascii="Times New Roman"/>
                      <w:sz w:val="22"/>
                    </w:rPr>
                  </w:pPr>
                </w:p>
                <w:p>
                  <w:pPr>
                    <w:pStyle w:val="BodyText"/>
                    <w:tabs>
                      <w:tab w:pos="1806" w:val="left" w:leader="none"/>
                      <w:tab w:pos="8481" w:val="left" w:leader="none"/>
                    </w:tabs>
                    <w:ind w:left="1396"/>
                  </w:pPr>
                  <w:r>
                    <w:rPr/>
                    <w:t>1.</w:t>
                    <w:tab/>
                    <w:t>Termín zahájení provádění Díla (termín předání</w:t>
                  </w:r>
                  <w:r>
                    <w:rPr>
                      <w:spacing w:val="7"/>
                    </w:rPr>
                    <w:t> </w:t>
                  </w:r>
                  <w:r>
                    <w:rPr/>
                    <w:t>historických</w:t>
                  </w:r>
                  <w:r>
                    <w:rPr>
                      <w:spacing w:val="9"/>
                    </w:rPr>
                    <w:t> </w:t>
                  </w:r>
                  <w:r>
                    <w:rPr/>
                    <w:t>předmětů):</w:t>
                    <w:tab/>
                    <w:t>23. 05.</w:t>
                  </w:r>
                  <w:r>
                    <w:rPr>
                      <w:spacing w:val="-28"/>
                    </w:rPr>
                    <w:t> </w:t>
                  </w:r>
                  <w:r>
                    <w:rPr/>
                    <w:t>2024.</w:t>
                  </w:r>
                </w:p>
                <w:p>
                  <w:pPr>
                    <w:pStyle w:val="BodyText"/>
                    <w:tabs>
                      <w:tab w:pos="1807" w:val="left" w:leader="none"/>
                      <w:tab w:pos="6782" w:val="left" w:leader="none"/>
                    </w:tabs>
                    <w:spacing w:before="130"/>
                    <w:ind w:left="1390"/>
                  </w:pPr>
                  <w:r>
                    <w:rPr/>
                    <w:t>2.</w:t>
                    <w:tab/>
                    <w:t>Zhotovitel provede a předá celé Dílo</w:t>
                  </w:r>
                  <w:r>
                    <w:rPr>
                      <w:spacing w:val="2"/>
                    </w:rPr>
                    <w:t> </w:t>
                  </w:r>
                  <w:r>
                    <w:rPr/>
                    <w:t>nejpozdéji</w:t>
                  </w:r>
                  <w:r>
                    <w:rPr>
                      <w:spacing w:val="2"/>
                    </w:rPr>
                    <w:t> </w:t>
                  </w:r>
                  <w:r>
                    <w:rPr/>
                    <w:t>do:</w:t>
                    <w:tab/>
                    <w:t>15.11.</w:t>
                  </w:r>
                  <w:r>
                    <w:rPr>
                      <w:spacing w:val="32"/>
                    </w:rPr>
                    <w:t> </w:t>
                  </w:r>
                  <w:r>
                    <w:rPr/>
                    <w:t>2024.</w:t>
                  </w:r>
                </w:p>
                <w:p>
                  <w:pPr>
                    <w:spacing w:before="115"/>
                    <w:ind w:left="1821" w:right="1437" w:hanging="432"/>
                    <w:jc w:val="both"/>
                    <w:rPr>
                      <w:b/>
                      <w:sz w:val="20"/>
                    </w:rPr>
                  </w:pPr>
                  <w:r>
                    <w:rPr>
                      <w:b/>
                      <w:sz w:val="20"/>
                    </w:rPr>
                    <w:t>3. </w:t>
                  </w:r>
                  <w:r>
                    <w:rPr>
                      <w:sz w:val="20"/>
                    </w:rPr>
                    <w:t>Místem plnění (místo předání provedeného Díla) je  </w:t>
                  </w:r>
                  <w:r>
                    <w:rPr>
                      <w:b/>
                      <w:sz w:val="20"/>
                    </w:rPr>
                    <w:t>Krkonošské  muzeum  Vrchlabí,  NC Muzeum Krkonoš, Husova 213, 543 01</w:t>
                  </w:r>
                  <w:r>
                    <w:rPr>
                      <w:b/>
                      <w:spacing w:val="-20"/>
                      <w:sz w:val="20"/>
                    </w:rPr>
                    <w:t> </w:t>
                  </w:r>
                  <w:r>
                    <w:rPr>
                      <w:b/>
                      <w:sz w:val="20"/>
                    </w:rPr>
                    <w:t>Vrchlabí</w:t>
                  </w:r>
                </w:p>
                <w:p>
                  <w:pPr>
                    <w:pStyle w:val="BodyText"/>
                    <w:spacing w:line="244" w:lineRule="auto" w:before="122"/>
                    <w:ind w:left="1814" w:right="1428" w:hanging="424"/>
                    <w:jc w:val="both"/>
                  </w:pPr>
                  <w:r>
                    <w:rPr/>
                    <w:t>4. Historické předměty, jejichž restaurování je předmětem Díla, budou  Zhotovitel  předány  na  základě smlouvy o zápůjčce sbírkových předmětů, která bude uzavřena mezi Smluvními stranami na</w:t>
                  </w:r>
                  <w:r>
                    <w:rPr>
                      <w:spacing w:val="-20"/>
                    </w:rPr>
                    <w:t> </w:t>
                  </w:r>
                  <w:r>
                    <w:rPr/>
                    <w:t>základě</w:t>
                  </w:r>
                  <w:r>
                    <w:rPr>
                      <w:spacing w:val="-16"/>
                    </w:rPr>
                    <w:t> </w:t>
                  </w:r>
                  <w:r>
                    <w:rPr/>
                    <w:t>této</w:t>
                  </w:r>
                  <w:r>
                    <w:rPr>
                      <w:spacing w:val="-13"/>
                    </w:rPr>
                    <w:t> </w:t>
                  </w:r>
                  <w:r>
                    <w:rPr/>
                    <w:t>Smlouvy.</w:t>
                  </w:r>
                </w:p>
                <w:p>
                  <w:pPr>
                    <w:pStyle w:val="BodyText"/>
                    <w:spacing w:before="5"/>
                    <w:rPr>
                      <w:rFonts w:ascii="Times New Roman"/>
                      <w:sz w:val="30"/>
                    </w:rPr>
                  </w:pPr>
                </w:p>
                <w:p>
                  <w:pPr>
                    <w:spacing w:before="0"/>
                    <w:ind w:left="5392" w:right="5425" w:hanging="15"/>
                    <w:jc w:val="center"/>
                    <w:rPr>
                      <w:b/>
                      <w:sz w:val="20"/>
                    </w:rPr>
                  </w:pPr>
                  <w:r>
                    <w:rPr>
                      <w:b/>
                      <w:sz w:val="20"/>
                    </w:rPr>
                    <w:t>Článek IV. CENA</w:t>
                  </w:r>
                  <w:r>
                    <w:rPr>
                      <w:b/>
                      <w:spacing w:val="-9"/>
                      <w:sz w:val="20"/>
                    </w:rPr>
                    <w:t> </w:t>
                  </w:r>
                  <w:r>
                    <w:rPr>
                      <w:b/>
                      <w:sz w:val="20"/>
                    </w:rPr>
                    <w:t>DÍLA</w:t>
                  </w:r>
                </w:p>
                <w:p>
                  <w:pPr>
                    <w:pStyle w:val="BodyText"/>
                    <w:spacing w:before="3"/>
                    <w:rPr>
                      <w:rFonts w:ascii="Times New Roman"/>
                      <w:sz w:val="21"/>
                    </w:rPr>
                  </w:pPr>
                </w:p>
                <w:p>
                  <w:pPr>
                    <w:spacing w:line="237" w:lineRule="auto" w:before="0"/>
                    <w:ind w:left="1814" w:right="1430" w:hanging="410"/>
                    <w:jc w:val="both"/>
                    <w:rPr>
                      <w:b/>
                      <w:sz w:val="20"/>
                    </w:rPr>
                  </w:pPr>
                  <w:r>
                    <w:rPr>
                      <w:sz w:val="20"/>
                    </w:rPr>
                    <w:t>1. Zhotovitel se zavazuje, že realizuje Dílo ve sjednaném rozsahu, kvalitě, termínu a za celou dobu trvání platnosti této Smlouvy za celkovou cenu ve výši </w:t>
                  </w:r>
                  <w:r>
                    <w:rPr>
                      <w:b/>
                      <w:sz w:val="20"/>
                    </w:rPr>
                    <w:t>248 521Kč (slovy: dvě stě čtyřicet osm tisíc pět set dvacet jedna korun-českých) bez DPH.</w:t>
                  </w:r>
                </w:p>
                <w:p>
                  <w:pPr>
                    <w:pStyle w:val="BodyText"/>
                    <w:spacing w:before="122"/>
                    <w:ind w:left="1828" w:right="1423" w:hanging="432"/>
                    <w:jc w:val="both"/>
                  </w:pPr>
                  <w:r>
                    <w:rPr/>
                    <w:t>2. Podrobná cena Díla </w:t>
                  </w:r>
                  <w:r>
                    <w:rPr>
                      <w:w w:val="155"/>
                    </w:rPr>
                    <w:t>- </w:t>
                  </w:r>
                  <w:r>
                    <w:rPr/>
                    <w:t>tj. cena restaurátorských prací sjednaná Smluvními stranami pro každý restaurovaný historický předmět, je uvedena v příloze č. </w:t>
                  </w:r>
                  <w:r>
                    <w:rPr>
                      <w:w w:val="95"/>
                    </w:rPr>
                    <w:t>1 </w:t>
                  </w:r>
                  <w:r>
                    <w:rPr/>
                    <w:t>této Smlouvy.</w:t>
                  </w:r>
                </w:p>
                <w:p>
                  <w:pPr>
                    <w:pStyle w:val="BodyText"/>
                    <w:spacing w:before="115"/>
                    <w:ind w:left="1822" w:right="1429" w:hanging="418"/>
                    <w:jc w:val="both"/>
                  </w:pPr>
                  <w:r>
                    <w:rPr/>
                    <w:t>3. Výše uvedená celková cena Díla </w:t>
                  </w:r>
                  <w:r>
                    <w:rPr>
                      <w:w w:val="95"/>
                    </w:rPr>
                    <w:t>i  </w:t>
                  </w:r>
                  <w:r>
                    <w:rPr/>
                    <w:t>ceny  uvedené  v příloze  č.  </w:t>
                  </w:r>
                  <w:r>
                    <w:rPr>
                      <w:w w:val="95"/>
                    </w:rPr>
                    <w:t>1  </w:t>
                  </w:r>
                  <w:r>
                    <w:rPr/>
                    <w:t>Smlouvy  jsou  cenami maximálními, nejvýše přípustnými a jedná se o ceny konečné. K těmto cenám bude Zhotovitelem připočtena výše DPH v procentní sazbě odpovídající zákonné úpravě účinné k datu uskutečnění zdanitelného plnění, vznikne-li kjejí úhradě povinnost.</w:t>
                  </w:r>
                </w:p>
                <w:p>
                  <w:pPr>
                    <w:pStyle w:val="BodyText"/>
                    <w:spacing w:line="237" w:lineRule="auto" w:before="124"/>
                    <w:ind w:left="1821" w:right="1425" w:hanging="425"/>
                    <w:jc w:val="both"/>
                  </w:pPr>
                  <w:r>
                    <w:rPr/>
                    <w:t>4.  Celková cena za Dílo zahrnuje veškeré náklady Zhotovitele související s provedením Díla, jedná   se zejména o veškeré náklady na materiál potřebný pro realizaci této Smlouvy, režijní náklady vzniklé v průběhu doby plnění smlouvy a dopravu (zahrnující zejména převzetí předmětů určených</w:t>
                  </w:r>
                  <w:r>
                    <w:rPr>
                      <w:spacing w:val="2"/>
                    </w:rPr>
                    <w:t> </w:t>
                  </w:r>
                  <w:r>
                    <w:rPr/>
                    <w:t>k</w:t>
                  </w:r>
                  <w:r>
                    <w:rPr>
                      <w:spacing w:val="-14"/>
                    </w:rPr>
                    <w:t> </w:t>
                  </w:r>
                  <w:r>
                    <w:rPr/>
                    <w:t>restaurování</w:t>
                  </w:r>
                  <w:r>
                    <w:rPr>
                      <w:spacing w:val="-3"/>
                    </w:rPr>
                    <w:t> </w:t>
                  </w:r>
                  <w:r>
                    <w:rPr/>
                    <w:t>a</w:t>
                  </w:r>
                  <w:r>
                    <w:rPr>
                      <w:spacing w:val="-20"/>
                    </w:rPr>
                    <w:t> </w:t>
                  </w:r>
                  <w:r>
                    <w:rPr/>
                    <w:t>jejich</w:t>
                  </w:r>
                  <w:r>
                    <w:rPr>
                      <w:spacing w:val="-3"/>
                    </w:rPr>
                    <w:t> </w:t>
                  </w:r>
                  <w:r>
                    <w:rPr/>
                    <w:t>předání</w:t>
                  </w:r>
                  <w:r>
                    <w:rPr>
                      <w:spacing w:val="-11"/>
                    </w:rPr>
                    <w:t> </w:t>
                  </w:r>
                  <w:r>
                    <w:rPr/>
                    <w:t>zpět</w:t>
                  </w:r>
                  <w:r>
                    <w:rPr>
                      <w:spacing w:val="-14"/>
                    </w:rPr>
                    <w:t> </w:t>
                  </w:r>
                  <w:r>
                    <w:rPr/>
                    <w:t>Objednateli).</w:t>
                  </w:r>
                </w:p>
                <w:p>
                  <w:pPr>
                    <w:pStyle w:val="BodyText"/>
                    <w:spacing w:before="4"/>
                    <w:rPr>
                      <w:rFonts w:ascii="Times New Roman"/>
                      <w:sz w:val="31"/>
                    </w:rPr>
                  </w:pPr>
                </w:p>
                <w:p>
                  <w:pPr>
                    <w:spacing w:line="216" w:lineRule="exact" w:before="0"/>
                    <w:ind w:left="4882" w:right="4714" w:firstLine="612"/>
                    <w:jc w:val="left"/>
                    <w:rPr>
                      <w:b/>
                      <w:sz w:val="20"/>
                    </w:rPr>
                  </w:pPr>
                  <w:r>
                    <w:rPr>
                      <w:b/>
                      <w:sz w:val="20"/>
                    </w:rPr>
                    <w:t>Článek V. PLATEBNÍ PODMÍNKY</w:t>
                  </w:r>
                </w:p>
                <w:p>
                  <w:pPr>
                    <w:pStyle w:val="BodyText"/>
                    <w:spacing w:before="1"/>
                    <w:rPr>
                      <w:rFonts w:ascii="Times New Roman"/>
                      <w:sz w:val="21"/>
                    </w:rPr>
                  </w:pPr>
                </w:p>
                <w:p>
                  <w:pPr>
                    <w:pStyle w:val="BodyText"/>
                    <w:spacing w:line="247" w:lineRule="auto"/>
                    <w:ind w:left="1829" w:right="1420" w:hanging="412"/>
                    <w:jc w:val="both"/>
                  </w:pPr>
                  <w:r>
                    <w:rPr/>
                    <w:t>1. Cena za Dílo (části Díla) bude uhrazena na základě daňového dokladu (faktury) vystaveného Zhotovitelem.</w:t>
                  </w:r>
                </w:p>
                <w:p>
                  <w:pPr>
                    <w:pStyle w:val="BodyText"/>
                    <w:spacing w:before="108"/>
                    <w:ind w:left="1828" w:right="1423" w:hanging="425"/>
                    <w:jc w:val="both"/>
                  </w:pPr>
                  <w:r>
                    <w:rPr/>
                    <w:t>2. Zhotovitel je oprávněn fakturovat příslušnou část ceny za Dílo dle přílohy č. </w:t>
                  </w:r>
                  <w:r>
                    <w:rPr>
                      <w:w w:val="90"/>
                    </w:rPr>
                    <w:t>1 </w:t>
                  </w:r>
                  <w:r>
                    <w:rPr/>
                    <w:t>této Smlouvy po zhotovení a protokolárním předání každé jednotlivé části Díla Objednateli.</w:t>
                  </w:r>
                </w:p>
                <w:p>
                  <w:pPr>
                    <w:pStyle w:val="BodyText"/>
                    <w:spacing w:before="115"/>
                    <w:ind w:left="1835" w:right="1422" w:hanging="425"/>
                    <w:jc w:val="both"/>
                  </w:pPr>
                  <w:r>
                    <w:rPr/>
                    <w:t>3.    Faktury budou mít náležitosti obecně závazných právních předpisů (§ 29 zákona č. 235/2004 Sb., o dani z přidané hodnoty) a budou obsahovat název Díla (označení dílčího plnění), číslo této Smlouvy a datum předání Díla (části Díla) Objednateli.</w:t>
                  </w:r>
                </w:p>
                <w:p>
                  <w:pPr>
                    <w:pStyle w:val="BodyText"/>
                    <w:rPr>
                      <w:rFonts w:ascii="Times New Roman"/>
                      <w:sz w:val="22"/>
                    </w:rPr>
                  </w:pPr>
                </w:p>
                <w:p>
                  <w:pPr>
                    <w:pStyle w:val="BodyText"/>
                    <w:spacing w:before="7"/>
                    <w:rPr>
                      <w:rFonts w:ascii="Times New Roman"/>
                      <w:sz w:val="21"/>
                    </w:rPr>
                  </w:pPr>
                </w:p>
                <w:p>
                  <w:pPr>
                    <w:spacing w:before="0"/>
                    <w:ind w:left="4449" w:right="4469" w:firstLine="0"/>
                    <w:jc w:val="center"/>
                    <w:rPr>
                      <w:sz w:val="18"/>
                    </w:rPr>
                  </w:pPr>
                  <w:r>
                    <w:rPr>
                      <w:sz w:val="18"/>
                    </w:rPr>
                    <w:t>2/6</w:t>
                  </w:r>
                </w:p>
              </w:txbxContent>
            </v:textbox>
            <w10:wrap type="none"/>
          </v:shape>
        </w:pict>
      </w:r>
      <w:r>
        <w:rPr>
          <w:rFonts w:ascii="Times New Roman"/>
        </w:rPr>
        <w:drawing>
          <wp:inline distT="0" distB="0" distL="0" distR="0">
            <wp:extent cx="7557590" cy="10689336"/>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557590" cy="10689336"/>
                    </a:xfrm>
                    <a:prstGeom prst="rect">
                      <a:avLst/>
                    </a:prstGeom>
                  </pic:spPr>
                </pic:pic>
              </a:graphicData>
            </a:graphic>
          </wp:inline>
        </w:drawing>
      </w:r>
      <w:r>
        <w:rPr>
          <w:rFonts w:ascii="Times New Roman"/>
        </w:rPr>
      </w:r>
    </w:p>
    <w:p>
      <w:pPr>
        <w:spacing w:after="0"/>
        <w:rPr>
          <w:rFonts w:ascii="Times New Roman"/>
        </w:rPr>
        <w:sectPr>
          <w:pgSz w:w="11910" w:h="16840"/>
          <w:pgMar w:top="0" w:bottom="0" w:left="0" w:right="0"/>
        </w:sectPr>
      </w:pPr>
    </w:p>
    <w:p>
      <w:pPr>
        <w:pStyle w:val="BodyText"/>
        <w:ind w:right="-40"/>
        <w:rPr>
          <w:rFonts w:ascii="Times New Roman"/>
        </w:rPr>
      </w:pPr>
      <w:r>
        <w:rPr/>
        <w:pict>
          <v:shape style="position:absolute;margin-left:0pt;margin-top:.000002pt;width:603.35pt;height:847.45pt;mso-position-horizontal-relative:page;mso-position-vertical-relative:page;z-index:-822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5"/>
                    <w:rPr>
                      <w:rFonts w:ascii="Times New Roman"/>
                      <w:sz w:val="23"/>
                    </w:rPr>
                  </w:pPr>
                </w:p>
                <w:p>
                  <w:pPr>
                    <w:pStyle w:val="BodyText"/>
                    <w:spacing w:line="237" w:lineRule="auto" w:before="1"/>
                    <w:ind w:left="1756" w:right="1624" w:hanging="425"/>
                    <w:jc w:val="both"/>
                  </w:pPr>
                  <w:r>
                    <w:rPr/>
                    <w:t>4. Splatnost faktury bude činit 30 dnů od jejího řádného doručení Objednateli. Faktura bude považována za uhrazenou dnem, kdy bude odepsána z účtu Objednatele ve prospěch účtu Zhotovitele. Faktura bude uhrazena ze strany Objednatele bezhotovostní formou. Objednatel připouští elektronickou fakturaci.</w:t>
                  </w:r>
                </w:p>
                <w:p>
                  <w:pPr>
                    <w:pStyle w:val="BodyText"/>
                    <w:spacing w:before="130"/>
                    <w:ind w:left="1756" w:right="1624" w:hanging="418"/>
                    <w:jc w:val="both"/>
                  </w:pPr>
                  <w:r>
                    <w:rPr/>
                    <w:t>5. Jestliže faktura nebude obsahovat stanovené náležitosti  (případně  bude  obsahovat  chybné  údaje), nebo nebude k faktuře připojena povinná příloha, je Objednatel oprávněn takovou fakturu vrátit ve Ihútě splatnosti Zhotoviteli. Po tomto vrácení je Zhotovitel povinen vystavit novou fakturu se správnými náležitostmi. Do doby, než je vystavena nová faktura s novou  Ihútou  splatnosti, není Objednatel v prodlení s placením faktury. Splatnost nové vystavené faktury je rovněž 30 dní od jejího doručení Objednateli.</w:t>
                  </w:r>
                </w:p>
                <w:p>
                  <w:pPr>
                    <w:pStyle w:val="BodyText"/>
                    <w:rPr>
                      <w:rFonts w:ascii="Times New Roman"/>
                      <w:sz w:val="22"/>
                    </w:rPr>
                  </w:pPr>
                </w:p>
                <w:p>
                  <w:pPr>
                    <w:pStyle w:val="BodyText"/>
                    <w:spacing w:before="1"/>
                    <w:rPr>
                      <w:rFonts w:ascii="Times New Roman"/>
                      <w:sz w:val="18"/>
                    </w:rPr>
                  </w:pPr>
                </w:p>
                <w:p>
                  <w:pPr>
                    <w:spacing w:line="226" w:lineRule="exact" w:before="0"/>
                    <w:ind w:left="3863" w:right="3819" w:firstLine="0"/>
                    <w:jc w:val="center"/>
                    <w:rPr>
                      <w:b/>
                      <w:sz w:val="20"/>
                    </w:rPr>
                  </w:pPr>
                  <w:r>
                    <w:rPr>
                      <w:b/>
                      <w:sz w:val="20"/>
                    </w:rPr>
                    <w:t>Článek VI.</w:t>
                  </w:r>
                </w:p>
                <w:p>
                  <w:pPr>
                    <w:spacing w:line="226" w:lineRule="exact" w:before="0"/>
                    <w:ind w:left="3863" w:right="3826" w:firstLine="0"/>
                    <w:jc w:val="center"/>
                    <w:rPr>
                      <w:b/>
                      <w:sz w:val="20"/>
                    </w:rPr>
                  </w:pPr>
                  <w:r>
                    <w:rPr>
                      <w:b/>
                      <w:sz w:val="20"/>
                    </w:rPr>
                    <w:t>PRÁVA A POVINNOSTI SMLUVNÍCH STRAN</w:t>
                  </w:r>
                </w:p>
                <w:p>
                  <w:pPr>
                    <w:pStyle w:val="BodyText"/>
                    <w:spacing w:before="6"/>
                    <w:rPr>
                      <w:rFonts w:ascii="Times New Roman"/>
                      <w:sz w:val="22"/>
                    </w:rPr>
                  </w:pPr>
                </w:p>
                <w:p>
                  <w:pPr>
                    <w:pStyle w:val="BodyText"/>
                    <w:spacing w:line="224" w:lineRule="exact" w:before="1"/>
                    <w:ind w:left="1764" w:right="1633" w:hanging="418"/>
                    <w:jc w:val="both"/>
                  </w:pPr>
                  <w:r>
                    <w:rPr/>
                    <w:t>1. Zhotovitel prohlašuje, že je seznámen se všemi údaji a podklady potřebnými pro řádné provedení Díla a že je odborně způsobilý k řádnému provedení Díla.</w:t>
                  </w:r>
                </w:p>
                <w:p>
                  <w:pPr>
                    <w:pStyle w:val="BodyText"/>
                    <w:spacing w:before="119"/>
                    <w:ind w:left="1756" w:right="1630" w:hanging="425"/>
                    <w:jc w:val="both"/>
                  </w:pPr>
                  <w:r>
                    <w:rPr/>
                    <w:t>2. Objednatel je oprávněn kontrolovat kvalitu  prováděného  Díla  prostřednictvím  jím  pověřených osob, a to kdykoliv po celou dobu provádění Díla. Objednatel bude zejména kontrolovat, zda je Dílo prováděno podle smluvených podmínek, technických norem a jiných předpisů. Zhotovitel je povinen poskytnout Objednateli za tímto účelem veškerou potřebnou součinnost, zejména potřebné písemnosti k nahlédnutí či případnému pořízení kopie, umožnit přístup do místa realizace Díla apod. Zjistí-li Objednatel, že Zhotovitel porušuje svou povinnost, může požadovat, aby Zhotovitel zajistil nápravu a prováděl Dílo řádným způsobem. Neučiní-li tak Zhotovitel ani v přiměřené době, může Objednatel odstoupit od Smlouvy, vedl-li by postup  Zhotovitele nepochybně k podstatnému porušení Smlouvy.</w:t>
                  </w:r>
                </w:p>
                <w:p>
                  <w:pPr>
                    <w:pStyle w:val="BodyText"/>
                    <w:spacing w:before="129"/>
                    <w:ind w:left="1750" w:right="1631" w:hanging="418"/>
                    <w:jc w:val="both"/>
                  </w:pPr>
                  <w:r>
                    <w:rPr/>
                    <w:t>3. Do 30 kalendářních dnů od předání Díla nebo jeho částí je povinen Objednatel písemně oznámit Zhotoviteli zjištěné vady. Zhotovitel je povinen tyto vady odstranit a do 30 kalendářních dnů od data obdržení písemného oznámení vad Objednatelem předat opravené Dílo (příslušnou část Díla), nebude-li písemně Smluvními stranami dohodnuto jinak. Následně bude sepsán protokol o předání Díla (části Díla) a Zhotovitel je oprávněn vystavit fakturu dle čl. 5. této Smlouvy.</w:t>
                  </w:r>
                </w:p>
                <w:p>
                  <w:pPr>
                    <w:pStyle w:val="BodyText"/>
                    <w:spacing w:line="237" w:lineRule="auto" w:before="124"/>
                    <w:ind w:left="1756" w:right="1638" w:hanging="432"/>
                    <w:jc w:val="both"/>
                  </w:pPr>
                  <w:r>
                    <w:rPr/>
                    <w:t>4. Zhotovitel se zavazuje při provádění Díla dodržovat bezpečnostní, hygienické,  protipožární  předpisy a normy. Zhotovitel zajistí na svou odpovědnost a náklady dodržování bezpečnosti a ochrany zdraví při práci dle zákona č. 309/2006 Sb., v platném znění a zabezpečí ochranu osob pohybujících se v místě plnění během provádění prací (oplocení a označení</w:t>
                  </w:r>
                  <w:r>
                    <w:rPr>
                      <w:spacing w:val="-26"/>
                    </w:rPr>
                    <w:t> </w:t>
                  </w:r>
                  <w:r>
                    <w:rPr/>
                    <w:t>apod.).</w:t>
                  </w:r>
                </w:p>
                <w:p>
                  <w:pPr>
                    <w:pStyle w:val="BodyText"/>
                    <w:spacing w:line="222" w:lineRule="exact" w:before="133"/>
                    <w:ind w:left="1756" w:right="1645" w:hanging="425"/>
                    <w:jc w:val="both"/>
                  </w:pPr>
                  <w:r>
                    <w:rPr/>
                    <w:t>5. Při provádění Díla prostřednictvím poddodavatele má Zhotovitel odpovědnost, jako  by  Dílo prováděl sám.</w:t>
                  </w:r>
                </w:p>
                <w:p>
                  <w:pPr>
                    <w:pStyle w:val="BodyText"/>
                    <w:tabs>
                      <w:tab w:pos="1742" w:val="left" w:leader="none"/>
                    </w:tabs>
                    <w:spacing w:line="226" w:lineRule="exact" w:before="128"/>
                    <w:ind w:left="1325"/>
                  </w:pPr>
                  <w:r>
                    <w:rPr/>
                    <w:t>6.</w:t>
                    <w:tab/>
                    <w:t>Zhotovitel tímto prohlašuje,  že bude spolupůsobit při výkonu finanční kontroly podle   </w:t>
                  </w:r>
                  <w:r>
                    <w:rPr>
                      <w:spacing w:val="29"/>
                    </w:rPr>
                    <w:t> </w:t>
                  </w:r>
                  <w:r>
                    <w:rPr/>
                    <w:t>ustanovení</w:t>
                  </w:r>
                </w:p>
                <w:p>
                  <w:pPr>
                    <w:pStyle w:val="BodyText"/>
                    <w:ind w:left="1741" w:right="1188" w:firstLine="8"/>
                  </w:pPr>
                  <w:r>
                    <w:rPr/>
                    <w:t>§ 2 písm. e) zákona č. 320/2001 Sb., o finanční kontrole ve veřejné správě a o změně některých zákonů (zákon o finanční kontrole), ve znění pozdějších předpisů.</w:t>
                  </w:r>
                </w:p>
                <w:p>
                  <w:pPr>
                    <w:pStyle w:val="BodyText"/>
                    <w:rPr>
                      <w:rFonts w:ascii="Times New Roman"/>
                      <w:sz w:val="22"/>
                    </w:rPr>
                  </w:pPr>
                </w:p>
                <w:p>
                  <w:pPr>
                    <w:pStyle w:val="BodyText"/>
                    <w:spacing w:before="10"/>
                    <w:rPr>
                      <w:rFonts w:ascii="Times New Roman"/>
                      <w:sz w:val="17"/>
                    </w:rPr>
                  </w:pPr>
                </w:p>
                <w:p>
                  <w:pPr>
                    <w:spacing w:line="227" w:lineRule="exact" w:before="0"/>
                    <w:ind w:left="3857" w:right="3840" w:firstLine="0"/>
                    <w:jc w:val="center"/>
                    <w:rPr>
                      <w:b/>
                      <w:sz w:val="20"/>
                    </w:rPr>
                  </w:pPr>
                  <w:r>
                    <w:rPr>
                      <w:b/>
                      <w:sz w:val="20"/>
                    </w:rPr>
                    <w:t>Článek VII.</w:t>
                  </w:r>
                </w:p>
                <w:p>
                  <w:pPr>
                    <w:spacing w:line="227" w:lineRule="exact" w:before="0"/>
                    <w:ind w:left="3863" w:right="3840" w:firstLine="0"/>
                    <w:jc w:val="center"/>
                    <w:rPr>
                      <w:b/>
                      <w:sz w:val="20"/>
                    </w:rPr>
                  </w:pPr>
                  <w:r>
                    <w:rPr>
                      <w:b/>
                      <w:sz w:val="20"/>
                    </w:rPr>
                    <w:t>PŘERUŠENÍ A ZASTAVENÍ PROVÁDĚNÍ DÍLA</w:t>
                  </w:r>
                </w:p>
                <w:p>
                  <w:pPr>
                    <w:pStyle w:val="BodyText"/>
                    <w:spacing w:before="3"/>
                    <w:rPr>
                      <w:rFonts w:ascii="Times New Roman"/>
                      <w:sz w:val="23"/>
                    </w:rPr>
                  </w:pPr>
                </w:p>
                <w:p>
                  <w:pPr>
                    <w:pStyle w:val="BodyText"/>
                    <w:spacing w:line="222" w:lineRule="exact"/>
                    <w:ind w:left="1735" w:right="1685" w:hanging="403"/>
                    <w:jc w:val="both"/>
                  </w:pPr>
                  <w:r>
                    <w:rPr/>
                    <w:t>1. Zhotovitel je oprávněn na nezbytně nutnou dobu a v nezbytném rozsahu přerušit provádění Díla, jestliže:</w:t>
                  </w:r>
                </w:p>
                <w:p>
                  <w:pPr>
                    <w:pStyle w:val="BodyText"/>
                    <w:spacing w:before="113"/>
                    <w:ind w:left="1958"/>
                  </w:pPr>
                  <w:r>
                    <w:rPr/>
                    <w:t>a.   provádění Díla brání vyšší moc;</w:t>
                  </w:r>
                </w:p>
                <w:p>
                  <w:pPr>
                    <w:pStyle w:val="BodyText"/>
                    <w:spacing w:line="235" w:lineRule="auto" w:before="126"/>
                    <w:ind w:left="2317" w:right="1653" w:hanging="352"/>
                    <w:jc w:val="both"/>
                  </w:pPr>
                  <w:r>
                    <w:rPr/>
                    <w:t>b. se vyskytnou vážné skryté překážky bránící řádnému provádění Díla, o nichž Zhotovitel nevěděl, nemohl vědět, ani nemohl celou situaci přiměřeným způsobem vyřešit tak, aby nemuselo být přerušeno provádění Díla;</w:t>
                  </w:r>
                </w:p>
                <w:p>
                  <w:pPr>
                    <w:pStyle w:val="BodyText"/>
                    <w:spacing w:line="224" w:lineRule="exact" w:before="139"/>
                    <w:ind w:left="2311" w:right="1654" w:hanging="360"/>
                    <w:jc w:val="both"/>
                  </w:pPr>
                  <w:r>
                    <w:rPr/>
                    <w:t>c.   dojde k zastavení provádění Díla rozhodnutím k tomu příslušného státního orgánu  nikoliv   z důvodů na straně</w:t>
                  </w:r>
                  <w:r>
                    <w:rPr>
                      <w:spacing w:val="-33"/>
                    </w:rPr>
                    <w:t> </w:t>
                  </w:r>
                  <w:r>
                    <w:rPr/>
                    <w:t>Zhotovitele.</w:t>
                  </w:r>
                </w:p>
                <w:p>
                  <w:pPr>
                    <w:pStyle w:val="BodyText"/>
                    <w:spacing w:line="224" w:lineRule="exact" w:before="128"/>
                    <w:ind w:left="1750" w:right="1188" w:firstLine="6"/>
                  </w:pPr>
                  <w:r>
                    <w:rPr/>
                    <w:t>Přerušením provádění Díla z uvedených důvodů přestávají dnem přerušení běžet lhůty tímto </w:t>
                  </w:r>
                  <w:r>
                    <w:rPr>
                      <w:w w:val="95"/>
                    </w:rPr>
                    <w:t>přerušením  dotčené.</w:t>
                  </w:r>
                </w:p>
                <w:p>
                  <w:pPr>
                    <w:pStyle w:val="BodyText"/>
                    <w:rPr>
                      <w:rFonts w:ascii="Times New Roman"/>
                      <w:sz w:val="22"/>
                    </w:rPr>
                  </w:pPr>
                </w:p>
                <w:p>
                  <w:pPr>
                    <w:spacing w:before="188"/>
                    <w:ind w:left="3489" w:right="3840" w:firstLine="0"/>
                    <w:jc w:val="center"/>
                    <w:rPr>
                      <w:sz w:val="18"/>
                    </w:rPr>
                  </w:pPr>
                  <w:r>
                    <w:rPr>
                      <w:sz w:val="18"/>
                    </w:rPr>
                    <w:t>3/6</w:t>
                  </w:r>
                </w:p>
              </w:txbxContent>
            </v:textbox>
            <w10:wrap type="none"/>
          </v:shape>
        </w:pict>
      </w:r>
      <w:r>
        <w:rPr>
          <w:rFonts w:ascii="Times New Roman"/>
        </w:rPr>
        <w:drawing>
          <wp:inline distT="0" distB="0" distL="0" distR="0">
            <wp:extent cx="7662454" cy="10762488"/>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662454" cy="10762488"/>
                    </a:xfrm>
                    <a:prstGeom prst="rect">
                      <a:avLst/>
                    </a:prstGeom>
                  </pic:spPr>
                </pic:pic>
              </a:graphicData>
            </a:graphic>
          </wp:inline>
        </w:drawing>
      </w:r>
      <w:r>
        <w:rPr>
          <w:rFonts w:ascii="Times New Roman"/>
        </w:rPr>
      </w:r>
    </w:p>
    <w:p>
      <w:pPr>
        <w:spacing w:after="0"/>
        <w:rPr>
          <w:rFonts w:ascii="Times New Roman"/>
        </w:rPr>
        <w:sectPr>
          <w:pgSz w:w="12070" w:h="16950"/>
          <w:pgMar w:top="0" w:bottom="0" w:left="0" w:right="0"/>
        </w:sectPr>
      </w:pPr>
    </w:p>
    <w:p>
      <w:pPr>
        <w:pStyle w:val="BodyText"/>
        <w:ind w:right="-40"/>
        <w:rPr>
          <w:rFonts w:ascii="Times New Roman"/>
        </w:rPr>
      </w:pPr>
      <w:r>
        <w:rPr/>
        <w:pict>
          <v:shape style="position:absolute;margin-left:0pt;margin-top:0pt;width:595.1pt;height:841.7pt;mso-position-horizontal-relative:page;mso-position-vertical-relative:page;z-index:-8200"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45"/>
                    <w:ind w:left="1806" w:right="1437" w:hanging="425"/>
                    <w:jc w:val="both"/>
                  </w:pPr>
                  <w:r>
                    <w:rPr/>
                    <w:t>2.    Objednatel je oprávněn přikázat Zhotoviteli přerušení provádění Díla na nezbytně nutnou dobu a   v nezbytném rozsahu, zejména</w:t>
                  </w:r>
                  <w:r>
                    <w:rPr>
                      <w:spacing w:val="-32"/>
                    </w:rPr>
                    <w:t> </w:t>
                  </w:r>
                  <w:r>
                    <w:rPr/>
                    <w:t>jestliže:</w:t>
                  </w:r>
                </w:p>
                <w:p>
                  <w:pPr>
                    <w:pStyle w:val="BodyText"/>
                    <w:spacing w:before="122"/>
                    <w:ind w:left="2016"/>
                  </w:pPr>
                  <w:r>
                    <w:rPr/>
                    <w:t>a.   pracovníci Zhotovitele při práci poruší platné technické a bezpečnostní normy a předpisy;</w:t>
                  </w:r>
                </w:p>
                <w:p>
                  <w:pPr>
                    <w:pStyle w:val="BodyText"/>
                    <w:spacing w:before="121"/>
                    <w:ind w:left="2016"/>
                  </w:pPr>
                  <w:r>
                    <w:rPr/>
                    <w:t>b.   vadný postup Zhotovitele by nepochybně vedl k podstatnému porušení Smlouvy;</w:t>
                  </w:r>
                </w:p>
                <w:p>
                  <w:pPr>
                    <w:pStyle w:val="BodyText"/>
                    <w:spacing w:line="247" w:lineRule="auto" w:before="115"/>
                    <w:ind w:left="2383" w:right="1481" w:hanging="367"/>
                  </w:pPr>
                  <w:r>
                    <w:rPr/>
                    <w:t>c. je ohrožena bezpečnost zhotovovaného Díla, život nebo zdraví pracujících osob v místě plnění nebo hrozí-li jiné hospodářské škody.</w:t>
                  </w:r>
                </w:p>
                <w:p>
                  <w:pPr>
                    <w:pStyle w:val="BodyText"/>
                    <w:spacing w:before="108"/>
                    <w:ind w:left="1806" w:right="1422" w:firstLine="15"/>
                    <w:jc w:val="both"/>
                  </w:pPr>
                  <w:r>
                    <w:rPr/>
                    <w:t>Přerušení provádění Díla Objednatelem z výše uvedených důvodů nestaví běh smluvních lhůt tímto přerušením dotčených a nezakládá nárok Zhotovitele na úhradu vícenákladů vyvolaných přerušením.</w:t>
                  </w:r>
                </w:p>
                <w:p>
                  <w:pPr>
                    <w:pStyle w:val="BodyText"/>
                    <w:spacing w:before="123"/>
                    <w:ind w:left="1807" w:right="1423" w:hanging="418"/>
                    <w:jc w:val="both"/>
                  </w:pPr>
                  <w:r>
                    <w:rPr/>
                    <w:t>3. Při každém přerušení provádění Díla je Zhotovitel povinen zabezpečit zhotovované Dílo do doby znovuzahájení prací nebo ukončení smluvního závazku.</w:t>
                  </w:r>
                </w:p>
                <w:p>
                  <w:pPr>
                    <w:pStyle w:val="BodyText"/>
                    <w:spacing w:before="6"/>
                    <w:rPr>
                      <w:rFonts w:ascii="Times New Roman"/>
                      <w:sz w:val="29"/>
                    </w:rPr>
                  </w:pPr>
                </w:p>
                <w:p>
                  <w:pPr>
                    <w:spacing w:before="0"/>
                    <w:ind w:left="5551" w:right="5245" w:hanging="7"/>
                    <w:jc w:val="center"/>
                    <w:rPr>
                      <w:b/>
                      <w:sz w:val="20"/>
                    </w:rPr>
                  </w:pPr>
                  <w:r>
                    <w:rPr>
                      <w:b/>
                      <w:sz w:val="20"/>
                    </w:rPr>
                    <w:t>Článek Vlil. VYŠŠÍ</w:t>
                  </w:r>
                  <w:r>
                    <w:rPr>
                      <w:b/>
                      <w:spacing w:val="-10"/>
                      <w:sz w:val="20"/>
                    </w:rPr>
                    <w:t> </w:t>
                  </w:r>
                  <w:r>
                    <w:rPr>
                      <w:b/>
                      <w:sz w:val="20"/>
                    </w:rPr>
                    <w:t>MOC</w:t>
                  </w:r>
                </w:p>
                <w:p>
                  <w:pPr>
                    <w:pStyle w:val="BodyText"/>
                    <w:rPr>
                      <w:rFonts w:ascii="Times New Roman"/>
                      <w:sz w:val="22"/>
                    </w:rPr>
                  </w:pPr>
                </w:p>
                <w:p>
                  <w:pPr>
                    <w:pStyle w:val="BodyText"/>
                    <w:spacing w:line="237" w:lineRule="auto"/>
                    <w:ind w:left="1814" w:right="1421" w:hanging="410"/>
                    <w:jc w:val="both"/>
                  </w:pPr>
                  <w:r>
                    <w:rPr/>
                    <w:t>1. Vyšší mocí se pro potřeby této Smlouvy rozumí události, které  nastaly  za  okolností,  které nemohly být odvráceny Smluvními stranami, které nebylo možné předvídat a které nebyly způsobeny chybou nebo zanedbáním žádné ze Smluvních stran, jako např. války, revoluce, požáry, záplavy, zemětřesení, epidemie nebo dopravní embarga. Vyšší mocí není nedostatek úředního povolení ani jiný zásah orgánu státní moci v</w:t>
                  </w:r>
                  <w:r>
                    <w:rPr>
                      <w:spacing w:val="-38"/>
                    </w:rPr>
                    <w:t> </w:t>
                  </w:r>
                  <w:r>
                    <w:rPr/>
                    <w:t>České republice.</w:t>
                  </w:r>
                </w:p>
                <w:p>
                  <w:pPr>
                    <w:pStyle w:val="BodyText"/>
                    <w:spacing w:line="244" w:lineRule="auto" w:before="122"/>
                    <w:ind w:left="1821" w:right="1430" w:hanging="425"/>
                    <w:jc w:val="both"/>
                  </w:pPr>
                  <w:r>
                    <w:rPr/>
                    <w:t>2.    Nastane-li situace vyšší moci, uvědomí příslušná Smluvní strana o takovém stavu, o jeho příčině  a jeho skončení druhou Smluvní stranu. Zhotovitel je povinen hledat alternativní prostředky pro splnění</w:t>
                  </w:r>
                  <w:r>
                    <w:rPr>
                      <w:spacing w:val="-29"/>
                    </w:rPr>
                    <w:t> </w:t>
                  </w:r>
                  <w:r>
                    <w:rPr/>
                    <w:t>Smlouvy.</w:t>
                  </w:r>
                </w:p>
                <w:p>
                  <w:pPr>
                    <w:pStyle w:val="BodyText"/>
                    <w:spacing w:before="111"/>
                    <w:ind w:left="1829" w:right="1428" w:hanging="425"/>
                    <w:jc w:val="both"/>
                  </w:pPr>
                  <w:r>
                    <w:rPr/>
                    <w:t>3. Trvá-li vyšší moc déle než 14 dní a nedohodnou-li se Smluvní strany v této době na alternativním řešení, má Objednatel právo od Smlouvy odstoupit.</w:t>
                  </w:r>
                </w:p>
                <w:p>
                  <w:pPr>
                    <w:pStyle w:val="BodyText"/>
                    <w:spacing w:before="4"/>
                    <w:rPr>
                      <w:rFonts w:ascii="Times New Roman"/>
                      <w:sz w:val="30"/>
                    </w:rPr>
                  </w:pPr>
                </w:p>
                <w:p>
                  <w:pPr>
                    <w:spacing w:line="222" w:lineRule="exact" w:before="0"/>
                    <w:ind w:left="4615" w:right="4420" w:firstLine="1030"/>
                    <w:jc w:val="left"/>
                    <w:rPr>
                      <w:b/>
                      <w:sz w:val="20"/>
                    </w:rPr>
                  </w:pPr>
                  <w:r>
                    <w:rPr>
                      <w:b/>
                      <w:sz w:val="20"/>
                    </w:rPr>
                    <w:t>Článek IX. PŘEDÁNÍ A PŘEVZETÍ DÍLA</w:t>
                  </w:r>
                </w:p>
                <w:p>
                  <w:pPr>
                    <w:pStyle w:val="BodyText"/>
                    <w:spacing w:before="7"/>
                    <w:rPr>
                      <w:rFonts w:ascii="Times New Roman"/>
                      <w:sz w:val="21"/>
                    </w:rPr>
                  </w:pPr>
                </w:p>
                <w:p>
                  <w:pPr>
                    <w:pStyle w:val="BodyText"/>
                    <w:spacing w:line="247" w:lineRule="auto"/>
                    <w:ind w:left="1829" w:right="1417" w:hanging="418"/>
                    <w:jc w:val="both"/>
                  </w:pPr>
                  <w:r>
                    <w:rPr/>
                    <w:t>1. Závazek Zhotovitele provést Dílo je splněn jeho řádným dokončením a předáním. Dílo je  dokončeno, nevykazuje-li vady a nedodělky. Dílo má vadu, neodpovídá-li Smlouvě včetně jejich příloh.</w:t>
                  </w:r>
                </w:p>
                <w:p>
                  <w:pPr>
                    <w:pStyle w:val="BodyText"/>
                    <w:spacing w:before="101"/>
                    <w:ind w:left="1829" w:right="1428" w:hanging="425"/>
                    <w:jc w:val="both"/>
                  </w:pPr>
                  <w:r>
                    <w:rPr/>
                    <w:t>2. Zhotovitel písemně oznámí Objednateli nejpozději 5 dnů předem termín odevzdávání Díla. Objednatel zahájí přejímací řízení bez zbytečného odkladu.</w:t>
                  </w:r>
                </w:p>
                <w:p>
                  <w:pPr>
                    <w:pStyle w:val="BodyText"/>
                    <w:spacing w:line="237" w:lineRule="auto" w:before="124"/>
                    <w:ind w:left="1829" w:right="1424" w:hanging="425"/>
                    <w:jc w:val="both"/>
                  </w:pPr>
                  <w:r>
                    <w:rPr/>
                    <w:t>3. O převzetí Díla pořídí Objednatel se Zhotovitelem zápis o převzetí Díla (předávací protokol), podepsaný zástupci obou Smluvních stran, a to ve dvou stejnopisech. Jeden stejnopis obdrží Objednatel a jeden Zhotovitel. Objednatel není povinen převzít Dílo vykazující vady.</w:t>
                  </w:r>
                </w:p>
                <w:p>
                  <w:pPr>
                    <w:pStyle w:val="BodyText"/>
                    <w:spacing w:line="244" w:lineRule="auto" w:before="122"/>
                    <w:ind w:left="1836" w:right="1421" w:hanging="432"/>
                    <w:jc w:val="both"/>
                  </w:pPr>
                  <w:r>
                    <w:rPr/>
                    <w:t>4. Termín převzetí Díla se považuje za splněný, pokud Dílo bylo Objednatelem do  termínu  uvedeného včl. Ill odst. 2 této Smlouvy převzato (tj. pokud byl Objednatelem  podepsán  předávací</w:t>
                  </w:r>
                  <w:r>
                    <w:rPr>
                      <w:spacing w:val="-33"/>
                    </w:rPr>
                    <w:t> </w:t>
                  </w:r>
                  <w:r>
                    <w:rPr/>
                    <w:t>protokol).</w:t>
                  </w:r>
                </w:p>
                <w:p>
                  <w:pPr>
                    <w:pStyle w:val="BodyText"/>
                    <w:spacing w:before="103"/>
                    <w:ind w:left="1836" w:right="1423" w:hanging="425"/>
                    <w:jc w:val="both"/>
                  </w:pPr>
                  <w:r>
                    <w:rPr/>
                    <w:t>5.  V případě, že Objednatel odmítne Dílo převzít, sepíší obě Smluvní strany zápis, v němž uvedou  svá</w:t>
                  </w:r>
                  <w:r>
                    <w:rPr>
                      <w:spacing w:val="-1"/>
                    </w:rPr>
                    <w:t> </w:t>
                  </w:r>
                  <w:r>
                    <w:rPr/>
                    <w:t>stanoviska</w:t>
                  </w:r>
                  <w:r>
                    <w:rPr>
                      <w:spacing w:val="-4"/>
                    </w:rPr>
                    <w:t> </w:t>
                  </w:r>
                  <w:r>
                    <w:rPr/>
                    <w:t>a</w:t>
                  </w:r>
                  <w:r>
                    <w:rPr>
                      <w:spacing w:val="-20"/>
                    </w:rPr>
                    <w:t> </w:t>
                  </w:r>
                  <w:r>
                    <w:rPr/>
                    <w:t>jejich</w:t>
                  </w:r>
                  <w:r>
                    <w:rPr>
                      <w:spacing w:val="-6"/>
                    </w:rPr>
                    <w:t> </w:t>
                  </w:r>
                  <w:r>
                    <w:rPr/>
                    <w:t>odůvodnění</w:t>
                  </w:r>
                  <w:r>
                    <w:rPr>
                      <w:spacing w:val="-7"/>
                    </w:rPr>
                    <w:t> </w:t>
                  </w:r>
                  <w:r>
                    <w:rPr/>
                    <w:t>a</w:t>
                  </w:r>
                  <w:r>
                    <w:rPr>
                      <w:spacing w:val="-3"/>
                    </w:rPr>
                    <w:t> </w:t>
                  </w:r>
                  <w:r>
                    <w:rPr/>
                    <w:t>dohodnou náhradní</w:t>
                  </w:r>
                  <w:r>
                    <w:rPr>
                      <w:spacing w:val="-7"/>
                    </w:rPr>
                    <w:t> </w:t>
                  </w:r>
                  <w:r>
                    <w:rPr/>
                    <w:t>termín</w:t>
                  </w:r>
                  <w:r>
                    <w:rPr>
                      <w:spacing w:val="1"/>
                    </w:rPr>
                    <w:t> </w:t>
                  </w:r>
                  <w:r>
                    <w:rPr/>
                    <w:t>předání.</w:t>
                  </w:r>
                </w:p>
                <w:p>
                  <w:pPr>
                    <w:pStyle w:val="BodyText"/>
                    <w:rPr>
                      <w:rFonts w:ascii="Times New Roman"/>
                      <w:sz w:val="22"/>
                    </w:rPr>
                  </w:pPr>
                </w:p>
                <w:p>
                  <w:pPr>
                    <w:pStyle w:val="BodyText"/>
                    <w:spacing w:before="2"/>
                    <w:rPr>
                      <w:rFonts w:ascii="Times New Roman"/>
                      <w:sz w:val="18"/>
                    </w:rPr>
                  </w:pPr>
                </w:p>
                <w:p>
                  <w:pPr>
                    <w:spacing w:line="223" w:lineRule="exact" w:before="0"/>
                    <w:ind w:left="4449" w:right="4125" w:firstLine="0"/>
                    <w:jc w:val="center"/>
                    <w:rPr>
                      <w:b/>
                      <w:sz w:val="20"/>
                    </w:rPr>
                  </w:pPr>
                  <w:r>
                    <w:rPr>
                      <w:b/>
                      <w:sz w:val="20"/>
                    </w:rPr>
                    <w:t>Článek X.</w:t>
                  </w:r>
                </w:p>
                <w:p>
                  <w:pPr>
                    <w:spacing w:line="223" w:lineRule="exact" w:before="0"/>
                    <w:ind w:left="495" w:right="148" w:firstLine="0"/>
                    <w:jc w:val="center"/>
                    <w:rPr>
                      <w:b/>
                      <w:sz w:val="20"/>
                    </w:rPr>
                  </w:pPr>
                  <w:r>
                    <w:rPr>
                      <w:b/>
                      <w:sz w:val="20"/>
                    </w:rPr>
                    <w:t>ODPOVĚDNOST ZA VADY DÍLA A SMLUVNÍ POKUTA</w:t>
                  </w:r>
                </w:p>
                <w:p>
                  <w:pPr>
                    <w:pStyle w:val="BodyText"/>
                    <w:spacing w:before="136"/>
                    <w:ind w:left="1836" w:right="1415" w:hanging="418"/>
                    <w:jc w:val="both"/>
                  </w:pPr>
                  <w:r>
                    <w:rPr/>
                    <w:t>1. Zhotovitel se zavazuje, že Dílo bude mít vlastnosti stanovené touto Smlouvou a jejími přílohami a všemi technickými normami, které se vztahují k materiálům a pracím prováděným na základě této Smlouvy, jinak vlastnosti obvyklé, a dále že bude použitelné ke smluvenému, jinak obvyklému účelu. Odpovědnost za vady se řídí příslušnými ustanoveními Občanského zákoníku.</w:t>
                  </w:r>
                </w:p>
                <w:p>
                  <w:pPr>
                    <w:pStyle w:val="BodyText"/>
                    <w:spacing w:before="115"/>
                    <w:ind w:left="1843" w:right="1418" w:hanging="432"/>
                    <w:jc w:val="both"/>
                  </w:pPr>
                  <w:r>
                    <w:rPr/>
                    <w:t>2. Objednatel je povinen nahlásit Zhotoviteli zjištěné vady písemně (reklamační  protokol).  Pokud  bude  Objednatel  požadovat  odstranění  vady  Zhotovitelem,  zavazuje  se  Zhotovitel  započít</w:t>
                  </w:r>
                  <w:r>
                    <w:rPr>
                      <w:spacing w:val="53"/>
                    </w:rPr>
                    <w:t> </w:t>
                  </w:r>
                  <w:r>
                    <w:rPr/>
                    <w:t>s</w:t>
                  </w:r>
                </w:p>
                <w:p>
                  <w:pPr>
                    <w:pStyle w:val="BodyText"/>
                    <w:rPr>
                      <w:rFonts w:ascii="Times New Roman"/>
                      <w:sz w:val="22"/>
                    </w:rPr>
                  </w:pPr>
                </w:p>
                <w:p>
                  <w:pPr>
                    <w:pStyle w:val="BodyText"/>
                    <w:spacing w:before="2"/>
                    <w:rPr>
                      <w:rFonts w:ascii="Times New Roman"/>
                      <w:sz w:val="22"/>
                    </w:rPr>
                  </w:pPr>
                </w:p>
                <w:p>
                  <w:pPr>
                    <w:spacing w:before="0"/>
                    <w:ind w:left="4449" w:right="4461" w:firstLine="0"/>
                    <w:jc w:val="center"/>
                    <w:rPr>
                      <w:sz w:val="18"/>
                    </w:rPr>
                  </w:pPr>
                  <w:r>
                    <w:rPr>
                      <w:sz w:val="18"/>
                    </w:rPr>
                    <w:t>4/6</w:t>
                  </w:r>
                </w:p>
              </w:txbxContent>
            </v:textbox>
            <w10:wrap type="none"/>
          </v:shape>
        </w:pict>
      </w:r>
      <w:r>
        <w:rPr>
          <w:rFonts w:ascii="Times New Roman"/>
        </w:rPr>
        <w:drawing>
          <wp:inline distT="0" distB="0" distL="0" distR="0">
            <wp:extent cx="7557590" cy="10689336"/>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7557590" cy="10689336"/>
                    </a:xfrm>
                    <a:prstGeom prst="rect">
                      <a:avLst/>
                    </a:prstGeom>
                  </pic:spPr>
                </pic:pic>
              </a:graphicData>
            </a:graphic>
          </wp:inline>
        </w:drawing>
      </w:r>
      <w:r>
        <w:rPr>
          <w:rFonts w:ascii="Times New Roman"/>
        </w:rPr>
      </w:r>
    </w:p>
    <w:p>
      <w:pPr>
        <w:spacing w:after="0"/>
        <w:rPr>
          <w:rFonts w:ascii="Times New Roman"/>
        </w:rPr>
        <w:sectPr>
          <w:pgSz w:w="11910" w:h="16840"/>
          <w:pgMar w:top="0" w:bottom="0" w:left="0" w:right="0"/>
        </w:sectPr>
      </w:pPr>
    </w:p>
    <w:p>
      <w:pPr>
        <w:pStyle w:val="BodyText"/>
        <w:ind w:right="-40"/>
        <w:rPr>
          <w:rFonts w:ascii="Times New Roman"/>
        </w:rPr>
      </w:pPr>
      <w:r>
        <w:rPr/>
        <w:pict>
          <v:shape style="position:absolute;margin-left:0pt;margin-top:0pt;width:601.2pt;height:846pt;mso-position-horizontal-relative:page;mso-position-vertical-relative:page;z-index:-8176"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
                    <w:rPr>
                      <w:rFonts w:ascii="Times New Roman"/>
                      <w:sz w:val="23"/>
                    </w:rPr>
                  </w:pPr>
                </w:p>
                <w:p>
                  <w:pPr>
                    <w:pStyle w:val="BodyText"/>
                    <w:ind w:left="1793" w:right="1530" w:firstLine="7"/>
                    <w:jc w:val="both"/>
                  </w:pPr>
                  <w:r>
                    <w:rPr/>
                    <w:t>odstraňováním nahlášených vad bez zbytečného odkladu a bez zbytečného odkladu  tyto odstranit, a to na své náklady. V případě, že se strany nedohodnou jinak, je Zhotovitel povinen odstranit vady vždy nejpozději do 14 dnů od nahlášení. Nebude-li možno konkrétní vadu ve lhůtě 14 dnů odstranit, ať už z technických nebo technologických důvodů, případně z důvodu delších dodacích lhůt, mohou Smluvní strany na základě písemné dohody tuto lhůtu prodloužit o přiměřenou dobu, nutnou k odstranění takové vady. Zhotovitel je povinen odstranit vadu i v případě, kdy neuznává, že za vady odpovídá, ve sporných případech nese Zhotovitel náklady až do rozhodnutí o reklamaci.</w:t>
                  </w:r>
                </w:p>
                <w:p>
                  <w:pPr>
                    <w:pStyle w:val="BodyText"/>
                    <w:spacing w:line="237" w:lineRule="auto" w:before="132"/>
                    <w:ind w:left="1792" w:right="1545" w:hanging="418"/>
                    <w:jc w:val="both"/>
                  </w:pPr>
                  <w:r>
                    <w:rPr/>
                    <w:t>3. V případě, že Objednatel bude požadovat odstranění vady Zhotovitelem a Zhotovitel nezačne s odstraňováním nahlášených vad bez zbytečného odkladu, nebo tyto neodstraní ve lhůtě stanovené dle odst. 2 tohoto článku Smlouvy, je Objednatel oprávněn odstranit tyto vady sám nebo prostřednictvím třetích osob, a to na náklady Zhotovitele.</w:t>
                  </w:r>
                </w:p>
                <w:p>
                  <w:pPr>
                    <w:pStyle w:val="BodyText"/>
                    <w:spacing w:line="237" w:lineRule="auto" w:before="132"/>
                    <w:ind w:left="1786" w:right="1545" w:hanging="418"/>
                    <w:jc w:val="both"/>
                  </w:pPr>
                  <w:r>
                    <w:rPr/>
                    <w:t>4. V případě, že zhotovitel nedodrží dobu plnění díla,  popř. jeho  části,  sjednané  v této smlouvě, uhradí objednateli smluvní pokutu ve výši 0,5% z celkové ceny díla,  popř. jeho části (v případě,  že bude ve zpoždění s předáním části díla), za každý kalendářní den zpoždění. Tím však jeho povinnost splnit dílo nebo jeho část ve sjednaném rozsahu není dotčena a dílo musí provést v dodatečné zhotovitelem stanovené přiměřené lhůté. Dobu plnění je možné upravit dohodou smluvních</w:t>
                  </w:r>
                  <w:r>
                    <w:rPr>
                      <w:spacing w:val="-23"/>
                    </w:rPr>
                    <w:t> </w:t>
                  </w:r>
                  <w:r>
                    <w:rPr/>
                    <w:t>stran.</w:t>
                  </w:r>
                </w:p>
                <w:p>
                  <w:pPr>
                    <w:pStyle w:val="BodyText"/>
                    <w:spacing w:line="237" w:lineRule="auto" w:before="132"/>
                    <w:ind w:left="1793" w:right="1545" w:hanging="418"/>
                    <w:jc w:val="both"/>
                  </w:pPr>
                  <w:r>
                    <w:rPr/>
                    <w:t>5. Smluvní pokuty sjednané touto smlouvou  hradí  povinná strana  nezávisle  na tom,  zda a v jaké  výši vznikne druhé straně v této souvislosti škoda. Zaplacením smluvní pokuty dle jakéhokoli ujednání tohoto článku této smlouvy není dotčen nárok oprávněné smluvní strany požadovat po druhé smluvní straně náhradu způsobené škody v plném rozsahu. Ustanovení §  2050 občanského zákoníku se nepoužije.</w:t>
                  </w:r>
                </w:p>
                <w:p>
                  <w:pPr>
                    <w:pStyle w:val="BodyText"/>
                    <w:spacing w:before="1"/>
                    <w:rPr>
                      <w:rFonts w:ascii="Times New Roman"/>
                      <w:sz w:val="31"/>
                    </w:rPr>
                  </w:pPr>
                </w:p>
                <w:p>
                  <w:pPr>
                    <w:spacing w:line="222" w:lineRule="exact" w:before="0"/>
                    <w:ind w:left="4550" w:right="4731" w:firstLine="1072"/>
                    <w:jc w:val="left"/>
                    <w:rPr>
                      <w:b/>
                      <w:sz w:val="20"/>
                    </w:rPr>
                  </w:pPr>
                  <w:r>
                    <w:rPr>
                      <w:b/>
                      <w:sz w:val="20"/>
                    </w:rPr>
                    <w:t>Článek XI. ODSTOUPENÍ OD SMLOUVY</w:t>
                  </w:r>
                </w:p>
                <w:p>
                  <w:pPr>
                    <w:pStyle w:val="BodyText"/>
                    <w:spacing w:line="237" w:lineRule="auto" w:before="135"/>
                    <w:ind w:left="1786" w:right="1555" w:hanging="411"/>
                    <w:jc w:val="both"/>
                  </w:pPr>
                  <w:r>
                    <w:rPr/>
                    <w:t>1. Smluvní strany jsou oprávněny od Smlouvy odstoupit v případech stanovených touto Smlouvou nebo Občanským zákoníkem. Odstoupení od Smlouvy musí být písemné a musí být doručeno druhé Smluvní straně.</w:t>
                  </w:r>
                </w:p>
                <w:p>
                  <w:pPr>
                    <w:pStyle w:val="BodyText"/>
                    <w:spacing w:before="122"/>
                    <w:ind w:left="1778" w:right="1549" w:hanging="410"/>
                    <w:jc w:val="both"/>
                  </w:pPr>
                  <w:r>
                    <w:rPr/>
                    <w:t>2. Objednatel je oprávněn odstoupit od Smlouvy i tehdy, jestliže ze všech okolností je zřejmé, že Zhotovitel z jakýchkoliv důvodů, které nastaly od podpisu této Smlouvy, není objektivně schopen Dílo zhotovit v požadovaném termínu a kvalitě. Objednatel je oprávněn odstoupit od Smlouvy či její části i v případě, je-li se Zhotovitelem zahájeno insolvenční řízení. Dále je Objednatel  oprávněn odstoupit od této Smlouvy, pokud provádění Díla je v rozporu s kvalitativními parametry danými touto</w:t>
                  </w:r>
                  <w:r>
                    <w:rPr>
                      <w:spacing w:val="-17"/>
                    </w:rPr>
                    <w:t> </w:t>
                  </w:r>
                  <w:r>
                    <w:rPr/>
                    <w:t>Smlouvou.</w:t>
                  </w:r>
                </w:p>
                <w:p>
                  <w:pPr>
                    <w:pStyle w:val="BodyText"/>
                    <w:spacing w:line="237" w:lineRule="auto" w:before="123"/>
                    <w:ind w:left="1785" w:right="1559" w:hanging="418"/>
                    <w:jc w:val="both"/>
                  </w:pPr>
                  <w:r>
                    <w:rPr/>
                    <w:t>3. Ukončeni této Smlouvy se nedotýká nároku na úhradu sjednané smluvní pokuty, náhradu škody vzniklé porušením povinností dle této Smlouvy, jestliže nárok k tomu oprávněné Smluvní strany vznikl nejpozději ke dni ukončení Smlouvy, ani dalších  práv a povinností,  které svojí  povahou mají trvat i po ukončení této Smlouvy.</w:t>
                  </w:r>
                </w:p>
                <w:p>
                  <w:pPr>
                    <w:pStyle w:val="BodyText"/>
                    <w:spacing w:before="10"/>
                    <w:rPr>
                      <w:rFonts w:ascii="Times New Roman"/>
                      <w:sz w:val="30"/>
                    </w:rPr>
                  </w:pPr>
                </w:p>
                <w:p>
                  <w:pPr>
                    <w:spacing w:line="224" w:lineRule="exact" w:before="0"/>
                    <w:ind w:left="4766" w:right="4626" w:firstLine="821"/>
                    <w:jc w:val="left"/>
                    <w:rPr>
                      <w:b/>
                      <w:sz w:val="20"/>
                    </w:rPr>
                  </w:pPr>
                  <w:r>
                    <w:rPr>
                      <w:b/>
                      <w:sz w:val="20"/>
                    </w:rPr>
                    <w:t>Článek XII. ZÁVĚREČNÁ USTANOVENÍ</w:t>
                  </w:r>
                </w:p>
                <w:p>
                  <w:pPr>
                    <w:pStyle w:val="BodyText"/>
                    <w:spacing w:before="10"/>
                    <w:rPr>
                      <w:rFonts w:ascii="Times New Roman"/>
                    </w:rPr>
                  </w:pPr>
                </w:p>
                <w:p>
                  <w:pPr>
                    <w:pStyle w:val="BodyText"/>
                    <w:spacing w:before="1"/>
                    <w:ind w:left="1714" w:right="1566" w:hanging="346"/>
                    <w:jc w:val="both"/>
                  </w:pPr>
                  <w:r>
                    <w:rPr/>
                    <w:t>1. Tato Smlouva a práva a povinnosti z ní vyplývající se řídí příslušnými ustanoveními Občanského zákoníku.</w:t>
                  </w:r>
                </w:p>
                <w:p>
                  <w:pPr>
                    <w:pStyle w:val="BodyText"/>
                    <w:spacing w:before="116"/>
                    <w:ind w:left="1714" w:right="1565" w:hanging="353"/>
                    <w:jc w:val="both"/>
                  </w:pPr>
                  <w:r>
                    <w:rPr/>
                    <w:t>2. Je-li nebo stane-li se některé ustanovení této Smlouvy neplatné či neúčinné, nedotýká se to ostatních ustanovení této Smlouvy, která zůstávají platná a účinná. Smluvní strany se v tomto případě zavazují dohodou nahradit ustanovení neplatné/neúčinné novým ustanovením platným/účinným, které nejlépe odpovídá původně zamýšlenému účelu ustanovení neplatného/neúčinného.</w:t>
                  </w:r>
                </w:p>
                <w:p>
                  <w:pPr>
                    <w:pStyle w:val="BodyText"/>
                    <w:spacing w:before="116"/>
                    <w:ind w:left="1714" w:right="1581" w:hanging="353"/>
                    <w:jc w:val="both"/>
                  </w:pPr>
                  <w:r>
                    <w:rPr/>
                    <w:t>3. Smlouva vstupuje v platnost podpisu obou Smluvních stran a účinnosti dnem uveřejnění v registru smluv v souladu se zákonem č. 340/2015 Sb., o zvláštních podmínkách  účinnosti  některých smluv, uveřejňování těchto smluv a o registru smluv (zákon o registru smluv).</w:t>
                  </w:r>
                </w:p>
                <w:p>
                  <w:pPr>
                    <w:pStyle w:val="BodyText"/>
                    <w:spacing w:before="115"/>
                    <w:ind w:left="1354"/>
                  </w:pPr>
                  <w:r>
                    <w:rPr/>
                    <w:t>4.   Smluvní strany souhlasí s uveřejněním této Smlouvy.</w:t>
                  </w:r>
                </w:p>
                <w:p>
                  <w:pPr>
                    <w:pStyle w:val="BodyText"/>
                    <w:rPr>
                      <w:rFonts w:ascii="Times New Roman"/>
                      <w:sz w:val="22"/>
                    </w:rPr>
                  </w:pPr>
                </w:p>
                <w:p>
                  <w:pPr>
                    <w:pStyle w:val="BodyText"/>
                    <w:spacing w:before="7"/>
                    <w:rPr>
                      <w:rFonts w:ascii="Times New Roman"/>
                      <w:sz w:val="26"/>
                    </w:rPr>
                  </w:pPr>
                </w:p>
                <w:p>
                  <w:pPr>
                    <w:spacing w:before="0"/>
                    <w:ind w:left="5756" w:right="5976" w:firstLine="0"/>
                    <w:jc w:val="center"/>
                    <w:rPr>
                      <w:sz w:val="18"/>
                    </w:rPr>
                  </w:pPr>
                  <w:r>
                    <w:rPr>
                      <w:sz w:val="18"/>
                    </w:rPr>
                    <w:t>5/6</w:t>
                  </w:r>
                </w:p>
              </w:txbxContent>
            </v:textbox>
            <w10:wrap type="none"/>
          </v:shape>
        </w:pict>
      </w:r>
      <w:r>
        <w:rPr>
          <w:rFonts w:ascii="Times New Roman"/>
        </w:rPr>
        <w:drawing>
          <wp:inline distT="0" distB="0" distL="0" distR="0">
            <wp:extent cx="7635240" cy="10744200"/>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7635240" cy="10744200"/>
                    </a:xfrm>
                    <a:prstGeom prst="rect">
                      <a:avLst/>
                    </a:prstGeom>
                  </pic:spPr>
                </pic:pic>
              </a:graphicData>
            </a:graphic>
          </wp:inline>
        </w:drawing>
      </w:r>
      <w:r>
        <w:rPr>
          <w:rFonts w:ascii="Times New Roman"/>
        </w:rPr>
      </w:r>
    </w:p>
    <w:p>
      <w:pPr>
        <w:spacing w:after="0"/>
        <w:rPr>
          <w:rFonts w:ascii="Times New Roman"/>
        </w:rPr>
        <w:sectPr>
          <w:pgSz w:w="12030" w:h="16920"/>
          <w:pgMar w:top="0" w:bottom="0" w:left="0" w:right="0"/>
        </w:sectPr>
      </w:pPr>
    </w:p>
    <w:p>
      <w:pPr>
        <w:pStyle w:val="BodyText"/>
        <w:spacing w:before="4"/>
        <w:rPr>
          <w:rFonts w:ascii="Times New Roman"/>
          <w:sz w:val="17"/>
        </w:rPr>
      </w:pPr>
      <w:r>
        <w:rPr/>
        <w:pict>
          <v:shape style="position:absolute;margin-left:0pt;margin-top:.000012pt;width:598.7pt;height:844.2pt;mso-position-horizontal-relative:page;mso-position-vertical-relative:page;z-index:-8152"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96"/>
                    <w:ind w:left="1750" w:right="1486" w:hanging="353"/>
                    <w:jc w:val="both"/>
                  </w:pPr>
                  <w:r>
                    <w:rPr/>
                    <w:t>5. Smluvní strany sjednávají, že měnit nebo doplňovat text Smlouvy je možné pouze formou písemných dodatků podepsaných oběma Smluvními stranami. Možnost měnit Smlouvu jinou formou Smluvní strany vylučují.</w:t>
                  </w:r>
                </w:p>
                <w:p>
                  <w:pPr>
                    <w:pStyle w:val="BodyText"/>
                    <w:spacing w:before="121"/>
                    <w:ind w:left="1750" w:right="1488" w:hanging="360"/>
                    <w:jc w:val="both"/>
                  </w:pPr>
                  <w:r>
                    <w:rPr/>
                    <w:t>6. Smlouva je vyhotovena ve třech stejnopisech s platností originálu, z nichž Objednatel obdrží dvě vyhotovení.</w:t>
                  </w:r>
                </w:p>
                <w:p>
                  <w:pPr>
                    <w:pStyle w:val="BodyText"/>
                    <w:spacing w:before="122"/>
                    <w:ind w:left="1750" w:right="1488" w:hanging="353"/>
                    <w:jc w:val="both"/>
                  </w:pPr>
                  <w:r>
                    <w:rPr/>
                    <w:t>7. Smluvní strany prohlašují, že tato Smlouva byla uzavřena  na základě vážné  a svobodné  vůle  obou Smluvních stran, nikoliv v tísni či za nápadně nevýhodných podmínek, že Smlouvě porozuměly a chápou její význam, což stvrzují svými</w:t>
                  </w:r>
                  <w:r>
                    <w:rPr>
                      <w:spacing w:val="-30"/>
                    </w:rPr>
                    <w:t> </w:t>
                  </w:r>
                  <w:r>
                    <w:rPr/>
                    <w:t>podpisy.</w:t>
                  </w:r>
                </w:p>
                <w:p>
                  <w:pPr>
                    <w:spacing w:before="115"/>
                    <w:ind w:left="1764" w:right="0" w:firstLine="0"/>
                    <w:jc w:val="left"/>
                    <w:rPr>
                      <w:b/>
                      <w:sz w:val="20"/>
                    </w:rPr>
                  </w:pPr>
                  <w:r>
                    <w:rPr>
                      <w:sz w:val="20"/>
                    </w:rPr>
                    <w:t>Přílohy: </w:t>
                  </w:r>
                  <w:r>
                    <w:rPr>
                      <w:b/>
                      <w:sz w:val="20"/>
                    </w:rPr>
                    <w:t>Příloha č. 1 </w:t>
                  </w:r>
                  <w:r>
                    <w:rPr>
                      <w:b/>
                      <w:w w:val="145"/>
                      <w:sz w:val="20"/>
                    </w:rPr>
                    <w:t>- </w:t>
                  </w:r>
                  <w:r>
                    <w:rPr>
                      <w:b/>
                      <w:sz w:val="20"/>
                    </w:rPr>
                    <w:t>Restaurátorský záměr a cenová nabídka Díla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
                    <w:rPr>
                      <w:rFonts w:ascii="Times New Roman"/>
                      <w:sz w:val="26"/>
                    </w:rPr>
                  </w:pPr>
                </w:p>
                <w:p>
                  <w:pPr>
                    <w:pStyle w:val="BodyText"/>
                    <w:ind w:left="6372" w:right="2339" w:firstLine="14"/>
                  </w:pPr>
                  <w:r>
                    <w:rPr/>
                    <w:t>Mgr. art. Veronika Kopecká zhotovitel</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
                    <w:rPr>
                      <w:rFonts w:ascii="Times New Roman"/>
                      <w:sz w:val="19"/>
                    </w:rPr>
                  </w:pPr>
                </w:p>
                <w:p>
                  <w:pPr>
                    <w:spacing w:before="0"/>
                    <w:ind w:left="5810" w:right="5872" w:firstLine="0"/>
                    <w:jc w:val="center"/>
                    <w:rPr>
                      <w:sz w:val="18"/>
                    </w:rPr>
                  </w:pPr>
                  <w:r>
                    <w:rPr>
                      <w:sz w:val="18"/>
                    </w:rPr>
                    <w:t>6/6</w:t>
                  </w:r>
                </w:p>
              </w:txbxContent>
            </v:textbox>
            <w10:wrap type="none"/>
          </v:shape>
        </w:pict>
      </w:r>
      <w:r>
        <w:rPr/>
        <w:pict>
          <v:group style="position:absolute;margin-left:0pt;margin-top:.000012pt;width:598.7pt;height:844.2pt;mso-position-horizontal-relative:page;mso-position-vertical-relative:page;z-index:-8128" coordorigin="0,0" coordsize="11974,16884">
            <v:shape style="position:absolute;left:0;top:0;width:11974;height:16884" type="#_x0000_t75" stroked="false">
              <v:imagedata r:id="rId10" o:title=""/>
            </v:shape>
            <v:shape style="position:absolute;left:958;top:4608;width:4010;height:2311" type="#_x0000_t75" stroked="false">
              <v:imagedata r:id="rId11" o:title=""/>
            </v:shape>
            <v:shape style="position:absolute;left:6372;top:4889;width:2981;height:1260" type="#_x0000_t75" stroked="false">
              <v:imagedata r:id="rId12" o:title=""/>
            </v:shape>
            <v:shape style="position:absolute;left:1390;top:8366;width:4025;height:547" type="#_x0000_t75" stroked="false">
              <v:imagedata r:id="rId13" o:title=""/>
            </v:shape>
            <v:shape style="position:absolute;left:1083;top:5226;width:8518;height:4041" coordorigin="1083,5226" coordsize="8518,4041" path="m4208,5226l1083,5226,1083,6535,4208,6535,4208,5226m5081,8106l2969,8106,2969,9267,5081,9267,5081,8106m9601,5261l7149,5261,7149,6448,9601,6448,9601,5261e" filled="true" fillcolor="#000000" stroked="false">
              <v:path arrowok="t"/>
              <v:fill type="solid"/>
            </v:shape>
            <w10:wrap type="none"/>
          </v:group>
        </w:pict>
      </w:r>
    </w:p>
    <w:sectPr>
      <w:pgSz w:w="11980" w:h="16890"/>
      <w:pgMar w:top="160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2024-05-23T13:00:13Z</dcterms:created>
  <dcterms:modified xsi:type="dcterms:W3CDTF">2024-05-23T13:00:13Z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2024-05-23T00:00:00Z</vt:filetime>
  </property>
  <property fmtid="{D5CDD505-2E9C-101B-9397-08002B2CF9AE}" pid="3" name="LastSaved">
    <vt:filetime>2024-05-23T00:00:00Z</vt:filetime>
  </property>
</Properties>
</file>