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4127500</wp:posOffset>
                </wp:positionH>
                <wp:positionV relativeFrom="paragraph">
                  <wp:posOffset>12700</wp:posOffset>
                </wp:positionV>
                <wp:extent cx="2200910" cy="402590"/>
                <wp:wrapSquare wrapText="bothSides"/>
                <wp:docPr id="1" name="Shape 1"/>
                <a:graphic xmlns:a="http://schemas.openxmlformats.org/drawingml/2006/main">
                  <a:graphicData uri="http://schemas.microsoft.com/office/word/2010/wordprocessingShape">
                    <wps:wsp>
                      <wps:cNvSpPr txBox="1"/>
                      <wps:spPr>
                        <a:xfrm>
                          <a:ext cx="2200910" cy="402590"/>
                        </a:xfrm>
                        <a:prstGeom prst="rect"/>
                        <a:noFill/>
                      </wps:spPr>
                      <wps:txbx>
                        <w:txbxContent>
                          <w:p>
                            <w:pPr>
                              <w:pStyle w:val="Style2"/>
                              <w:keepNext w:val="0"/>
                              <w:keepLines w:val="0"/>
                              <w:widowControl w:val="0"/>
                              <w:shd w:val="clear" w:color="auto" w:fill="auto"/>
                              <w:bidi w:val="0"/>
                              <w:spacing w:before="0" w:after="0" w:line="259" w:lineRule="auto"/>
                              <w:ind w:left="0" w:right="0" w:firstLine="0"/>
                              <w:jc w:val="center"/>
                            </w:pPr>
                            <w:r>
                              <w:rPr>
                                <w:rStyle w:val="CharStyle3"/>
                                <w:b/>
                                <w:bCs/>
                              </w:rPr>
                              <w:t>DODATEK #1 KE SMLOUVĚ O</w:t>
                              <w:br/>
                              <w:t>KLINICKÉM HODNOCENÍ</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5.pt;margin-top:1.pt;width:173.30000000000001pt;height:31.699999999999999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59" w:lineRule="auto"/>
                        <w:ind w:left="0" w:right="0" w:firstLine="0"/>
                        <w:jc w:val="center"/>
                      </w:pPr>
                      <w:r>
                        <w:rPr>
                          <w:rStyle w:val="CharStyle3"/>
                          <w:b/>
                          <w:bCs/>
                        </w:rPr>
                        <w:t>DODATEK #1 KE SMLOUVĚ O</w:t>
                        <w:br/>
                        <w:t>KLINICKÉM HODNOCENÍ</w:t>
                      </w:r>
                    </w:p>
                  </w:txbxContent>
                </v:textbox>
                <w10:wrap type="square" anchorx="page"/>
              </v:shape>
            </w:pict>
          </mc:Fallback>
        </mc:AlternateContent>
      </w:r>
    </w:p>
    <w:p>
      <w:pPr>
        <w:pStyle w:val="Style4"/>
        <w:keepNext/>
        <w:keepLines/>
        <w:widowControl w:val="0"/>
        <w:shd w:val="clear" w:color="auto" w:fill="auto"/>
        <w:bidi w:val="0"/>
        <w:spacing w:before="0" w:after="0" w:line="240" w:lineRule="auto"/>
        <w:ind w:left="0" w:right="0" w:firstLine="0"/>
        <w:jc w:val="center"/>
        <w:sectPr>
          <w:headerReference w:type="default" r:id="rId5"/>
          <w:footerReference w:type="default" r:id="rId6"/>
          <w:footnotePr>
            <w:pos w:val="pageBottom"/>
            <w:numFmt w:val="decimal"/>
            <w:numRestart w:val="continuous"/>
          </w:footnotePr>
          <w:pgSz w:w="11900" w:h="16840"/>
          <w:pgMar w:top="1422" w:right="5400" w:bottom="1835" w:left="1119" w:header="0" w:footer="3" w:gutter="0"/>
          <w:pgNumType w:start="1"/>
          <w:cols w:space="720"/>
          <w:noEndnote/>
          <w:rtlGutter w:val="0"/>
          <w:docGrid w:linePitch="360"/>
        </w:sectPr>
      </w:pPr>
      <w:bookmarkStart w:id="0" w:name="bookmark0"/>
      <w:r>
        <w:rPr>
          <w:rStyle w:val="CharStyle5"/>
          <w:b/>
          <w:bCs/>
        </w:rPr>
        <w:t>AMENDMENT #1 TO CLINICAL TRIAL</w:t>
        <w:br/>
        <w:t>AGREEMENT</w:t>
      </w:r>
      <w:bookmarkEnd w:id="0"/>
    </w:p>
    <w:p>
      <w:pPr>
        <w:widowControl w:val="0"/>
        <w:spacing w:line="240" w:lineRule="exact"/>
        <w:rPr>
          <w:sz w:val="19"/>
          <w:szCs w:val="19"/>
        </w:rPr>
      </w:pPr>
    </w:p>
    <w:p>
      <w:pPr>
        <w:widowControl w:val="0"/>
        <w:spacing w:before="6" w:after="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22" w:right="0" w:bottom="1835" w:left="0" w:header="0" w:footer="3" w:gutter="0"/>
          <w:cols w:space="720"/>
          <w:noEndnote/>
          <w:rtlGutter w:val="0"/>
          <w:docGrid w:linePitch="360"/>
        </w:sectPr>
      </w:pPr>
    </w:p>
    <w:p>
      <w:pPr>
        <w:pStyle w:val="Style10"/>
        <w:keepNext w:val="0"/>
        <w:keepLines w:val="0"/>
        <w:widowControl w:val="0"/>
        <w:shd w:val="clear" w:color="auto" w:fill="auto"/>
        <w:bidi w:val="0"/>
        <w:spacing w:before="0" w:after="420"/>
        <w:ind w:left="0" w:right="0" w:firstLine="0"/>
        <w:jc w:val="both"/>
      </w:pPr>
      <w:r>
        <w:rPr>
          <w:rStyle w:val="CharStyle11"/>
        </w:rPr>
        <w:t xml:space="preserve">This Amendment (the </w:t>
      </w:r>
      <w:r>
        <w:rPr>
          <w:rStyle w:val="CharStyle11"/>
          <w:b/>
          <w:bCs/>
        </w:rPr>
        <w:t xml:space="preserve">"Amendment") </w:t>
      </w:r>
      <w:r>
        <w:rPr>
          <w:rStyle w:val="CharStyle11"/>
        </w:rPr>
        <w:t xml:space="preserve">to the Clinical Trial Agreement dated 8 June 2023 (the </w:t>
      </w:r>
      <w:r>
        <w:rPr>
          <w:rStyle w:val="CharStyle11"/>
          <w:b/>
          <w:bCs/>
        </w:rPr>
        <w:t xml:space="preserve">“Agreement”), </w:t>
      </w:r>
      <w:r>
        <w:rPr>
          <w:rStyle w:val="CharStyle11"/>
        </w:rPr>
        <w:t xml:space="preserve">for the clinical study (the </w:t>
      </w:r>
      <w:r>
        <w:rPr>
          <w:rStyle w:val="CharStyle11"/>
          <w:b/>
          <w:bCs/>
        </w:rPr>
        <w:t xml:space="preserve">“Study”) </w:t>
      </w:r>
      <w:r>
        <w:rPr>
          <w:rStyle w:val="CharStyle11"/>
        </w:rPr>
        <w:t xml:space="preserve">conducted in accordance with the protocol ^^■l^^^l “A 44-week, Phase 2b, Randomized, Double-Blind Long-Term Extension Study to Evaluate Pharmacokinetics, Efficacy Safety, and Tolerability of TEV-48574 in Adult Patients with Moderate to Severe Ulcerative colitis or Crohn's disease who completed the treatment phase of the Dose-Ranging Study (RELIEVE UCCD LTE)” and any amendments thereto (the </w:t>
      </w:r>
      <w:r>
        <w:rPr>
          <w:rStyle w:val="CharStyle11"/>
          <w:b/>
          <w:bCs/>
        </w:rPr>
        <w:t xml:space="preserve">“Protocol”), </w:t>
      </w:r>
      <w:r>
        <w:rPr>
          <w:rStyle w:val="CharStyle11"/>
        </w:rPr>
        <w:t>is made by and between:</w:t>
      </w:r>
    </w:p>
    <w:p>
      <w:pPr>
        <w:pStyle w:val="Style10"/>
        <w:keepNext w:val="0"/>
        <w:keepLines w:val="0"/>
        <w:widowControl w:val="0"/>
        <w:shd w:val="clear" w:color="auto" w:fill="auto"/>
        <w:bidi w:val="0"/>
        <w:spacing w:before="0"/>
        <w:ind w:left="0" w:right="0" w:firstLine="0"/>
        <w:jc w:val="both"/>
      </w:pPr>
      <w:r>
        <w:rPr>
          <w:rStyle w:val="CharStyle11"/>
          <w:b/>
          <w:bCs/>
        </w:rPr>
        <w:t>Nemocnice Slaný,</w:t>
      </w:r>
    </w:p>
    <w:p>
      <w:pPr>
        <w:pStyle w:val="Style10"/>
        <w:keepNext w:val="0"/>
        <w:keepLines w:val="0"/>
        <w:widowControl w:val="0"/>
        <w:shd w:val="clear" w:color="auto" w:fill="auto"/>
        <w:bidi w:val="0"/>
        <w:spacing w:before="0" w:after="0"/>
        <w:ind w:left="0" w:right="0" w:firstLine="0"/>
        <w:jc w:val="both"/>
      </w:pPr>
      <w:r>
        <w:rPr>
          <w:rStyle w:val="CharStyle11"/>
        </w:rPr>
        <w:t xml:space="preserve">Politických vězňů 576, 274 01 Slaný, Czech Republic, Identification number: 008 75 295, Tax identification number: CZ00875295, represented by MUDr. Štěpán Votoček, Hospital Director (the </w:t>
      </w:r>
      <w:r>
        <w:rPr>
          <w:rStyle w:val="CharStyle11"/>
          <w:b/>
          <w:bCs/>
        </w:rPr>
        <w:t>“Institution”)</w:t>
      </w:r>
    </w:p>
    <w:p>
      <w:pPr>
        <w:pStyle w:val="Style10"/>
        <w:keepNext w:val="0"/>
        <w:keepLines w:val="0"/>
        <w:widowControl w:val="0"/>
        <w:shd w:val="clear" w:color="auto" w:fill="auto"/>
        <w:bidi w:val="0"/>
        <w:spacing w:before="0"/>
        <w:ind w:left="0" w:right="0" w:firstLine="0"/>
        <w:jc w:val="both"/>
      </w:pPr>
      <w:r>
        <w:rPr>
          <w:rStyle w:val="CharStyle11"/>
        </w:rPr>
        <w:t xml:space="preserve">Tento dodatek (dále jen </w:t>
      </w:r>
      <w:r>
        <w:rPr>
          <w:rStyle w:val="CharStyle11"/>
          <w:b/>
          <w:bCs/>
        </w:rPr>
        <w:t xml:space="preserve">„Dodatek“) </w:t>
      </w:r>
      <w:r>
        <w:rPr>
          <w:rStyle w:val="CharStyle11"/>
        </w:rPr>
        <w:t xml:space="preserve">ke smlouvě o klinickém hodnocení s datem 8. června 2023 (dále jen </w:t>
      </w:r>
      <w:r>
        <w:rPr>
          <w:rStyle w:val="CharStyle11"/>
          <w:b/>
          <w:bCs/>
        </w:rPr>
        <w:t xml:space="preserve">„Smlouva“), </w:t>
      </w:r>
      <w:r>
        <w:rPr>
          <w:rStyle w:val="CharStyle11"/>
        </w:rPr>
        <w:t xml:space="preserve">pro studii (dále jen </w:t>
      </w:r>
      <w:r>
        <w:rPr>
          <w:rStyle w:val="CharStyle11"/>
          <w:b/>
          <w:bCs/>
        </w:rPr>
        <w:t xml:space="preserve">„Studie“) </w:t>
      </w:r>
      <w:r>
        <w:rPr>
          <w:rStyle w:val="CharStyle11"/>
        </w:rPr>
        <w:t xml:space="preserve">prováděnou v souladu s protokolem ^^^^H „44týdenní, randomizovaná, dvojitě zaslepená, dlouhodobá pokračovací studie fáze 2b k vyhodnocení farmakokinetiky, účinnosti, bezpečnosti a snášenlivosti přípravku TEV-48574 u dospělých pacientů se středně závažnou až závažnou ulcerózní kolitidou nebo Crohnovou nemocí, kteří podstoupili období léčby v klinickém hodnocení ke stanovení dávky (RELIEVE UCCD LTE)“ a všemi jeho dodatky (dále jen </w:t>
      </w:r>
      <w:r>
        <w:rPr>
          <w:rStyle w:val="CharStyle11"/>
          <w:b/>
          <w:bCs/>
        </w:rPr>
        <w:t xml:space="preserve">„Protokol“), </w:t>
      </w:r>
      <w:r>
        <w:rPr>
          <w:rStyle w:val="CharStyle11"/>
        </w:rPr>
        <w:t>je uzavřena mezi:</w:t>
      </w:r>
    </w:p>
    <w:p>
      <w:pPr>
        <w:pStyle w:val="Style10"/>
        <w:keepNext w:val="0"/>
        <w:keepLines w:val="0"/>
        <w:widowControl w:val="0"/>
        <w:shd w:val="clear" w:color="auto" w:fill="auto"/>
        <w:bidi w:val="0"/>
        <w:spacing w:before="0"/>
        <w:ind w:left="0" w:right="0" w:firstLine="0"/>
        <w:jc w:val="left"/>
      </w:pPr>
      <w:r>
        <w:rPr>
          <w:rStyle w:val="CharStyle11"/>
          <w:b/>
          <w:bCs/>
        </w:rPr>
        <w:t>Nemocnice Slaný,</w:t>
      </w:r>
    </w:p>
    <w:p>
      <w:pPr>
        <w:pStyle w:val="Style10"/>
        <w:keepNext w:val="0"/>
        <w:keepLines w:val="0"/>
        <w:widowControl w:val="0"/>
        <w:shd w:val="clear" w:color="auto" w:fill="auto"/>
        <w:bidi w:val="0"/>
        <w:spacing w:before="0" w:after="0"/>
        <w:ind w:left="0" w:right="0" w:firstLine="0"/>
        <w:jc w:val="both"/>
        <w:sectPr>
          <w:footnotePr>
            <w:pos w:val="pageBottom"/>
            <w:numFmt w:val="decimal"/>
            <w:numRestart w:val="continuous"/>
          </w:footnotePr>
          <w:type w:val="continuous"/>
          <w:pgSz w:w="11900" w:h="16840"/>
          <w:pgMar w:top="1422" w:right="1334" w:bottom="1835" w:left="1119" w:header="0" w:footer="3" w:gutter="0"/>
          <w:cols w:num="2" w:space="125"/>
          <w:noEndnote/>
          <w:rtlGutter w:val="0"/>
          <w:docGrid w:linePitch="360"/>
        </w:sectPr>
      </w:pPr>
      <w:r>
        <w:rPr>
          <w:rStyle w:val="CharStyle11"/>
        </w:rPr>
        <w:t xml:space="preserve">Politických vězňů 576, 274 01 Slaný, Česká republika, IČ: 008 75 295, DIČ: CZ00875295, zastoupena MUDr. Štěpánem Votočkem, Ředitelem nemocnice (dále jen </w:t>
      </w:r>
      <w:r>
        <w:rPr>
          <w:rStyle w:val="CharStyle11"/>
          <w:b/>
          <w:bCs/>
        </w:rPr>
        <w:t>“Zdravotnické zařízení”)</w:t>
      </w: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3758565</wp:posOffset>
                </wp:positionH>
                <wp:positionV relativeFrom="paragraph">
                  <wp:posOffset>12700</wp:posOffset>
                </wp:positionV>
                <wp:extent cx="97790" cy="149225"/>
                <wp:wrapSquare wrapText="bothSides"/>
                <wp:docPr id="9" name="Shape 9"/>
                <a:graphic xmlns:a="http://schemas.openxmlformats.org/drawingml/2006/main">
                  <a:graphicData uri="http://schemas.microsoft.com/office/word/2010/wordprocessingShape">
                    <wps:wsp>
                      <wps:cNvSpPr txBox="1"/>
                      <wps:spPr>
                        <a:xfrm>
                          <a:ext cx="97790" cy="1492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a</w:t>
                            </w:r>
                          </w:p>
                        </w:txbxContent>
                      </wps:txbx>
                      <wps:bodyPr wrap="none" lIns="0" tIns="0" rIns="0" bIns="0">
                        <a:noAutoFit/>
                      </wps:bodyPr>
                    </wps:wsp>
                  </a:graphicData>
                </a:graphic>
              </wp:anchor>
            </w:drawing>
          </mc:Choice>
          <mc:Fallback>
            <w:pict>
              <v:shape id="_x0000_s1035" type="#_x0000_t202" style="position:absolute;margin-left:295.94999999999999pt;margin-top:1.pt;width:7.7000000000000002pt;height:11.75pt;z-index:-125829373;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a</w:t>
                      </w:r>
                    </w:p>
                  </w:txbxContent>
                </v:textbox>
                <w10:wrap type="square" anchorx="page"/>
              </v:shape>
            </w:pict>
          </mc:Fallback>
        </mc:AlternateContent>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422" w:right="5981" w:bottom="1835" w:left="1119" w:header="0" w:footer="3" w:gutter="0"/>
          <w:cols w:space="720"/>
          <w:noEndnote/>
          <w:rtlGutter w:val="0"/>
          <w:docGrid w:linePitch="360"/>
        </w:sectPr>
      </w:pPr>
      <w:r>
        <w:rPr>
          <w:rStyle w:val="CharStyle11"/>
        </w:rPr>
        <w:t>and</w:t>
      </w:r>
    </w:p>
    <w:p>
      <w:pPr>
        <w:widowControl w:val="0"/>
        <w:spacing w:line="65" w:lineRule="exact"/>
        <w:rPr>
          <w:sz w:val="5"/>
          <w:szCs w:val="5"/>
        </w:rPr>
      </w:pPr>
    </w:p>
    <w:p>
      <w:pPr>
        <w:widowControl w:val="0"/>
        <w:spacing w:line="1" w:lineRule="exact"/>
        <w:sectPr>
          <w:footnotePr>
            <w:pos w:val="pageBottom"/>
            <w:numFmt w:val="decimal"/>
            <w:numRestart w:val="continuous"/>
          </w:footnotePr>
          <w:type w:val="continuous"/>
          <w:pgSz w:w="11900" w:h="16840"/>
          <w:pgMar w:top="1422" w:right="0" w:bottom="1835" w:left="0" w:header="0" w:footer="3" w:gutter="0"/>
          <w:cols w:space="720"/>
          <w:noEndnote/>
          <w:rtlGutter w:val="0"/>
          <w:docGrid w:linePitch="360"/>
        </w:sectPr>
      </w:pPr>
    </w:p>
    <w:p>
      <w:pPr>
        <w:pStyle w:val="Style10"/>
        <w:keepNext w:val="0"/>
        <w:keepLines w:val="0"/>
        <w:widowControl w:val="0"/>
        <w:shd w:val="clear" w:color="auto" w:fill="auto"/>
        <w:bidi w:val="0"/>
        <w:spacing w:before="0" w:after="80" w:line="240" w:lineRule="auto"/>
        <w:ind w:left="0" w:right="0" w:firstLine="0"/>
        <w:jc w:val="both"/>
      </w:pPr>
      <w:r>
        <w:rPr>
          <w:rStyle w:val="CharStyle11"/>
          <w:b/>
          <w:bCs/>
        </w:rPr>
        <w:t xml:space="preserve">PSI CRO Czech Republic s.r.o., </w:t>
      </w:r>
      <w:r>
        <w:rPr>
          <w:rStyle w:val="CharStyle11"/>
        </w:rPr>
        <w:t>V Parku 2343/24,</w:t>
      </w:r>
    </w:p>
    <w:p>
      <w:pPr>
        <w:pStyle w:val="Style10"/>
        <w:keepNext w:val="0"/>
        <w:keepLines w:val="0"/>
        <w:widowControl w:val="0"/>
        <w:shd w:val="clear" w:color="auto" w:fill="auto"/>
        <w:bidi w:val="0"/>
        <w:spacing w:before="0" w:after="0"/>
        <w:ind w:left="0" w:right="0" w:firstLine="0"/>
        <w:jc w:val="both"/>
      </w:pPr>
      <w:r>
        <w:rPr>
          <w:rStyle w:val="CharStyle11"/>
        </w:rPr>
        <w:t>148 00 Praha 4 - Chodov, Czech Republic, IN: 28196775, TIN: CZ28196775, registered in Business Register, Municipal Court in Prague,</w:t>
      </w:r>
    </w:p>
    <w:p>
      <w:pPr>
        <w:pStyle w:val="Style10"/>
        <w:keepNext w:val="0"/>
        <w:keepLines w:val="0"/>
        <w:widowControl w:val="0"/>
        <w:shd w:val="clear" w:color="auto" w:fill="auto"/>
        <w:bidi w:val="0"/>
        <w:spacing w:before="0" w:after="80" w:line="240" w:lineRule="auto"/>
        <w:ind w:left="0" w:right="0" w:firstLine="0"/>
        <w:jc w:val="both"/>
      </w:pPr>
      <w:r>
        <w:rPr>
          <w:rStyle w:val="CharStyle11"/>
        </w:rPr>
        <w:t>section C, folio 132148, represented by|</w:t>
      </w:r>
    </w:p>
    <w:p>
      <w:pPr>
        <w:pStyle w:val="Style10"/>
        <w:keepNext w:val="0"/>
        <w:keepLines w:val="0"/>
        <w:widowControl w:val="0"/>
        <w:shd w:val="clear" w:color="auto" w:fill="auto"/>
        <w:bidi w:val="0"/>
        <w:spacing w:before="0" w:after="0" w:line="322" w:lineRule="auto"/>
        <w:ind w:left="0" w:right="0" w:firstLine="0"/>
        <w:jc w:val="both"/>
      </w:pPr>
      <w:r>
        <w:rPr>
          <w:rStyle w:val="CharStyle11"/>
        </w:rPr>
        <w:t>^i^^^^^^^^^^Šl and by ■■■</w:t>
      </w:r>
    </w:p>
    <w:p>
      <w:pPr>
        <w:pStyle w:val="Style10"/>
        <w:keepNext w:val="0"/>
        <w:keepLines w:val="0"/>
        <w:widowControl w:val="0"/>
        <w:shd w:val="clear" w:color="auto" w:fill="auto"/>
        <w:bidi w:val="0"/>
        <w:spacing w:before="0" w:after="0" w:line="322" w:lineRule="auto"/>
        <w:ind w:left="0" w:right="0" w:firstLine="2580"/>
        <w:jc w:val="both"/>
      </w:pPr>
      <w:r>
        <w:rPr>
          <w:rStyle w:val="CharStyle11"/>
        </w:rPr>
        <w:t xml:space="preserve">by Power of Attorney </w:t>
      </w:r>
      <w:r>
        <w:rPr>
          <w:rStyle w:val="CharStyle11"/>
          <w:b/>
          <w:bCs/>
        </w:rPr>
        <w:t>(“PSI”),</w:t>
      </w:r>
    </w:p>
    <w:p>
      <w:pPr>
        <w:pStyle w:val="Style10"/>
        <w:keepNext w:val="0"/>
        <w:keepLines w:val="0"/>
        <w:widowControl w:val="0"/>
        <w:shd w:val="clear" w:color="auto" w:fill="auto"/>
        <w:bidi w:val="0"/>
        <w:spacing w:before="0" w:after="0"/>
        <w:ind w:left="0" w:right="0" w:firstLine="0"/>
        <w:jc w:val="both"/>
      </w:pPr>
      <w:r>
        <w:rPr>
          <w:rStyle w:val="CharStyle11"/>
          <w:b/>
          <w:bCs/>
        </w:rPr>
        <w:t xml:space="preserve">PSI CRO Czech Republic s. r. o., </w:t>
      </w:r>
      <w:r>
        <w:rPr>
          <w:rStyle w:val="CharStyle11"/>
        </w:rPr>
        <w:t>V Parku 2343/24, 148 00 Praha 4 - Chodov, Česká republika, IČO: 28196775, DIČ: CZ28196775, zapsaná v obchodním rejstříku, vedeném Městským soudem v Praze, Oddíl C, vložka 132148, zastoupená ^H</w:t>
      </w:r>
    </w:p>
    <w:p>
      <w:pPr>
        <w:pStyle w:val="Style10"/>
        <w:keepNext w:val="0"/>
        <w:keepLines w:val="0"/>
        <w:widowControl w:val="0"/>
        <w:shd w:val="clear" w:color="auto" w:fill="auto"/>
        <w:bidi w:val="0"/>
        <w:spacing w:before="0" w:after="0" w:line="298" w:lineRule="auto"/>
        <w:ind w:left="0" w:right="0" w:firstLine="3740"/>
        <w:jc w:val="both"/>
        <w:sectPr>
          <w:footnotePr>
            <w:pos w:val="pageBottom"/>
            <w:numFmt w:val="decimal"/>
            <w:numRestart w:val="continuous"/>
          </w:footnotePr>
          <w:type w:val="continuous"/>
          <w:pgSz w:w="11900" w:h="16840"/>
          <w:pgMar w:top="1422" w:right="1343" w:bottom="1835" w:left="1143" w:header="0" w:footer="3" w:gutter="0"/>
          <w:cols w:num="2" w:space="100"/>
          <w:noEndnote/>
          <w:rtlGutter w:val="0"/>
          <w:docGrid w:linePitch="360"/>
        </w:sectPr>
      </w:pPr>
      <w:r>
        <w:rPr>
          <w:rStyle w:val="CharStyle11"/>
          <w:color w:val="363636"/>
          <w:vertAlign w:val="superscript"/>
        </w:rPr>
        <w:t>a</w:t>
      </w:r>
      <w:r>
        <w:rPr>
          <w:rStyle w:val="CharStyle11"/>
          <w:color w:val="363636"/>
        </w:rPr>
        <w:t xml:space="preserve"> </w:t>
      </w:r>
      <w:r>
        <w:rPr>
          <w:rStyle w:val="CharStyle11"/>
        </w:rPr>
        <w:t xml:space="preserve">■■■ plné </w:t>
      </w:r>
      <w:r>
        <w:rPr>
          <w:rStyle w:val="CharStyle11"/>
          <w:color w:val="363636"/>
        </w:rPr>
        <w:t xml:space="preserve">moci </w:t>
      </w:r>
      <w:r>
        <w:rPr>
          <w:rStyle w:val="CharStyle11"/>
        </w:rPr>
        <w:t>(dále jen „PSI”)</w:t>
      </w:r>
    </w:p>
    <w:p>
      <w:pPr>
        <w:pStyle w:val="Style10"/>
        <w:keepNext w:val="0"/>
        <w:keepLines w:val="0"/>
        <w:widowControl w:val="0"/>
        <w:shd w:val="clear" w:color="auto" w:fill="auto"/>
        <w:tabs>
          <w:tab w:pos="4771" w:val="left"/>
        </w:tabs>
        <w:bidi w:val="0"/>
        <w:spacing w:before="0" w:after="0" w:line="240" w:lineRule="auto"/>
        <w:ind w:left="0" w:right="0" w:firstLine="0"/>
        <w:jc w:val="left"/>
        <w:sectPr>
          <w:footnotePr>
            <w:pos w:val="pageBottom"/>
            <w:numFmt w:val="decimal"/>
            <w:numRestart w:val="continuous"/>
          </w:footnotePr>
          <w:type w:val="continuous"/>
          <w:pgSz w:w="11900" w:h="16840"/>
          <w:pgMar w:top="1422" w:right="1334" w:bottom="1835" w:left="1119" w:header="0" w:footer="3" w:gutter="0"/>
          <w:cols w:space="720"/>
          <w:noEndnote/>
          <w:rtlGutter w:val="0"/>
          <w:docGrid w:linePitch="360"/>
        </w:sectPr>
      </w:pPr>
      <w:r>
        <w:rPr>
          <w:rStyle w:val="CharStyle11"/>
        </w:rPr>
        <w:t>and</w:t>
        <w:tab/>
        <w:t>a</w:t>
      </w:r>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1900" w:h="16840"/>
          <w:pgMar w:top="1494" w:right="0" w:bottom="1398" w:left="0" w:header="0" w:footer="3" w:gutter="0"/>
          <w:cols w:space="720"/>
          <w:noEndnote/>
          <w:rtlGutter w:val="0"/>
          <w:docGrid w:linePitch="360"/>
        </w:sectPr>
      </w:pPr>
    </w:p>
    <w:p>
      <w:pPr>
        <w:widowControl w:val="0"/>
        <w:spacing w:line="1" w:lineRule="exact"/>
      </w:pPr>
      <w:r>
        <mc:AlternateContent>
          <mc:Choice Requires="wps">
            <w:drawing>
              <wp:anchor distT="203200" distB="254000" distL="114300" distR="3251200" simplePos="0" relativeHeight="125829382" behindDoc="0" locked="0" layoutInCell="1" allowOverlap="1">
                <wp:simplePos x="0" y="0"/>
                <wp:positionH relativeFrom="page">
                  <wp:posOffset>732155</wp:posOffset>
                </wp:positionH>
                <wp:positionV relativeFrom="paragraph">
                  <wp:posOffset>1319530</wp:posOffset>
                </wp:positionV>
                <wp:extent cx="847090" cy="173990"/>
                <wp:wrapTopAndBottom/>
                <wp:docPr id="11" name="Shape 11"/>
                <a:graphic xmlns:a="http://schemas.openxmlformats.org/drawingml/2006/main">
                  <a:graphicData uri="http://schemas.microsoft.com/office/word/2010/wordprocessingShape">
                    <wps:wsp>
                      <wps:cNvSpPr txBox="1"/>
                      <wps:spPr>
                        <a:xfrm>
                          <a:ext cx="84709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b/>
                                <w:bCs/>
                                <w:sz w:val="22"/>
                                <w:szCs w:val="22"/>
                              </w:rPr>
                              <w:t>PREAMBLE:</w:t>
                            </w:r>
                          </w:p>
                        </w:txbxContent>
                      </wps:txbx>
                      <wps:bodyPr wrap="none" lIns="0" tIns="0" rIns="0" bIns="0">
                        <a:noAutoFit/>
                      </wps:bodyPr>
                    </wps:wsp>
                  </a:graphicData>
                </a:graphic>
              </wp:anchor>
            </w:drawing>
          </mc:Choice>
          <mc:Fallback>
            <w:pict>
              <v:shape id="_x0000_s1037" type="#_x0000_t202" style="position:absolute;margin-left:57.649999999999999pt;margin-top:103.90000000000001pt;width:66.700000000000003pt;height:13.700000000000001pt;z-index:-125829371;mso-wrap-distance-left:9.pt;mso-wrap-distance-top:16.pt;mso-wrap-distance-right:256.pt;mso-wrap-distance-bottom:20.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b/>
                          <w:bCs/>
                          <w:sz w:val="22"/>
                          <w:szCs w:val="22"/>
                        </w:rPr>
                        <w:t>PREAMBLE:</w:t>
                      </w:r>
                    </w:p>
                  </w:txbxContent>
                </v:textbox>
                <w10:wrap type="topAndBottom" anchorx="page"/>
              </v:shape>
            </w:pict>
          </mc:Fallback>
        </mc:AlternateContent>
      </w:r>
      <w:r>
        <mc:AlternateContent>
          <mc:Choice Requires="wps">
            <w:drawing>
              <wp:anchor distT="203200" distB="254000" distL="3150235" distR="114300" simplePos="0" relativeHeight="125829384" behindDoc="0" locked="0" layoutInCell="1" allowOverlap="1">
                <wp:simplePos x="0" y="0"/>
                <wp:positionH relativeFrom="page">
                  <wp:posOffset>3768090</wp:posOffset>
                </wp:positionH>
                <wp:positionV relativeFrom="paragraph">
                  <wp:posOffset>1319530</wp:posOffset>
                </wp:positionV>
                <wp:extent cx="948055" cy="173990"/>
                <wp:wrapTopAndBottom/>
                <wp:docPr id="13" name="Shape 13"/>
                <a:graphic xmlns:a="http://schemas.openxmlformats.org/drawingml/2006/main">
                  <a:graphicData uri="http://schemas.microsoft.com/office/word/2010/wordprocessingShape">
                    <wps:wsp>
                      <wps:cNvSpPr txBox="1"/>
                      <wps:spPr>
                        <a:xfrm>
                          <a:ext cx="948055" cy="173990"/>
                        </a:xfrm>
                        <a:prstGeom prst="rect"/>
                        <a:noFill/>
                      </wps:spPr>
                      <wps:txbx>
                        <w:txbxContent>
                          <w:p>
                            <w:pPr>
                              <w:pStyle w:val="Style15"/>
                              <w:keepNext/>
                              <w:keepLines/>
                              <w:widowControl w:val="0"/>
                              <w:shd w:val="clear" w:color="auto" w:fill="auto"/>
                              <w:bidi w:val="0"/>
                              <w:spacing w:before="0" w:after="0" w:line="240" w:lineRule="auto"/>
                              <w:ind w:left="0" w:right="0" w:firstLine="0"/>
                              <w:jc w:val="left"/>
                            </w:pPr>
                            <w:bookmarkStart w:id="2" w:name="bookmark2"/>
                            <w:r>
                              <w:rPr>
                                <w:rStyle w:val="CharStyle16"/>
                                <w:b/>
                                <w:bCs/>
                              </w:rPr>
                              <w:t>PREAMBULE:</w:t>
                            </w:r>
                            <w:bookmarkEnd w:id="2"/>
                          </w:p>
                        </w:txbxContent>
                      </wps:txbx>
                      <wps:bodyPr wrap="none" lIns="0" tIns="0" rIns="0" bIns="0">
                        <a:noAutoFit/>
                      </wps:bodyPr>
                    </wps:wsp>
                  </a:graphicData>
                </a:graphic>
              </wp:anchor>
            </w:drawing>
          </mc:Choice>
          <mc:Fallback>
            <w:pict>
              <v:shape id="_x0000_s1039" type="#_x0000_t202" style="position:absolute;margin-left:296.69999999999999pt;margin-top:103.90000000000001pt;width:74.650000000000006pt;height:13.700000000000001pt;z-index:-125829369;mso-wrap-distance-left:248.05000000000001pt;mso-wrap-distance-top:16.pt;mso-wrap-distance-right:9.pt;mso-wrap-distance-bottom:20.pt;mso-position-horizontal-relative:page" filled="f" stroked="f">
                <v:textbox inset="0,0,0,0">
                  <w:txbxContent>
                    <w:p>
                      <w:pPr>
                        <w:pStyle w:val="Style15"/>
                        <w:keepNext/>
                        <w:keepLines/>
                        <w:widowControl w:val="0"/>
                        <w:shd w:val="clear" w:color="auto" w:fill="auto"/>
                        <w:bidi w:val="0"/>
                        <w:spacing w:before="0" w:after="0" w:line="240" w:lineRule="auto"/>
                        <w:ind w:left="0" w:right="0" w:firstLine="0"/>
                        <w:jc w:val="left"/>
                      </w:pPr>
                      <w:bookmarkStart w:id="2" w:name="bookmark2"/>
                      <w:r>
                        <w:rPr>
                          <w:rStyle w:val="CharStyle16"/>
                          <w:b/>
                          <w:bCs/>
                        </w:rPr>
                        <w:t>PREAMBULE:</w:t>
                      </w:r>
                      <w:bookmarkEnd w:id="2"/>
                    </w:p>
                  </w:txbxContent>
                </v:textbox>
                <w10:wrap type="topAndBottom" anchorx="page"/>
              </v:shape>
            </w:pict>
          </mc:Fallback>
        </mc:AlternateContent>
      </w:r>
    </w:p>
    <w:p>
      <w:pPr>
        <w:pStyle w:val="Style10"/>
        <w:keepNext w:val="0"/>
        <w:keepLines w:val="0"/>
        <w:widowControl w:val="0"/>
        <w:shd w:val="clear" w:color="auto" w:fill="auto"/>
        <w:bidi w:val="0"/>
        <w:spacing w:before="0" w:after="100" w:line="331" w:lineRule="auto"/>
        <w:ind w:left="0" w:right="0" w:firstLine="0"/>
        <w:jc w:val="both"/>
      </w:pPr>
      <w:r>
        <w:rPr>
          <w:rStyle w:val="CharStyle11"/>
          <w:b/>
          <w:bCs/>
        </w:rPr>
        <w:t xml:space="preserve">Teva Branded Pharmaceutical Products R&amp;D, lne., </w:t>
      </w:r>
      <w:r>
        <w:rPr>
          <w:rStyle w:val="CharStyle11"/>
        </w:rPr>
        <w:t xml:space="preserve">145, Brandywine Parkway West Chester, Pennsylvania, 19380, USA, TIN: 13-3454858, (the </w:t>
      </w:r>
      <w:r>
        <w:rPr>
          <w:rStyle w:val="CharStyle11"/>
          <w:b/>
          <w:bCs/>
        </w:rPr>
        <w:t>“Sponsor”)</w:t>
      </w:r>
    </w:p>
    <w:p>
      <w:pPr>
        <w:pStyle w:val="Style10"/>
        <w:keepNext w:val="0"/>
        <w:keepLines w:val="0"/>
        <w:widowControl w:val="0"/>
        <w:shd w:val="clear" w:color="auto" w:fill="auto"/>
        <w:bidi w:val="0"/>
        <w:spacing w:before="0" w:after="0" w:line="331" w:lineRule="auto"/>
        <w:ind w:left="0" w:right="0" w:firstLine="0"/>
        <w:jc w:val="both"/>
      </w:pPr>
      <w:r>
        <w:rPr>
          <w:rStyle w:val="CharStyle11"/>
        </w:rPr>
        <w:t>Each a “Party” and together the “Parties”</w:t>
      </w:r>
    </w:p>
    <w:p>
      <w:pPr>
        <w:pStyle w:val="Style10"/>
        <w:keepNext w:val="0"/>
        <w:keepLines w:val="0"/>
        <w:widowControl w:val="0"/>
        <w:shd w:val="clear" w:color="auto" w:fill="auto"/>
        <w:bidi w:val="0"/>
        <w:spacing w:before="0" w:line="331" w:lineRule="auto"/>
        <w:ind w:left="0" w:right="0" w:firstLine="0"/>
        <w:jc w:val="both"/>
      </w:pPr>
      <w:r>
        <w:rPr>
          <w:rStyle w:val="CharStyle11"/>
          <w:b/>
          <w:bCs/>
        </w:rPr>
        <w:t xml:space="preserve">Teva Branded Pharmaceutical Products R&amp;D, lne., </w:t>
      </w:r>
      <w:r>
        <w:rPr>
          <w:rStyle w:val="CharStyle11"/>
        </w:rPr>
        <w:t xml:space="preserve">145, Brandywine Parkway West Chester, Pennsylvania, 19380, Spojené státy americké, DIČ: 13-3454858, (dále jen </w:t>
      </w:r>
      <w:r>
        <w:rPr>
          <w:rStyle w:val="CharStyle11"/>
          <w:b/>
          <w:bCs/>
        </w:rPr>
        <w:t>“Zadavatel”)</w:t>
      </w:r>
    </w:p>
    <w:p>
      <w:pPr>
        <w:pStyle w:val="Style10"/>
        <w:keepNext w:val="0"/>
        <w:keepLines w:val="0"/>
        <w:widowControl w:val="0"/>
        <w:shd w:val="clear" w:color="auto" w:fill="auto"/>
        <w:bidi w:val="0"/>
        <w:spacing w:before="0" w:after="0" w:line="331" w:lineRule="auto"/>
        <w:ind w:left="0" w:right="0" w:firstLine="0"/>
        <w:jc w:val="left"/>
      </w:pPr>
      <w:r>
        <w:rPr>
          <w:rStyle w:val="CharStyle11"/>
        </w:rPr>
        <w:t>dále jen jednotlivě „Strana", dohromady „Strany“</w:t>
      </w:r>
    </w:p>
    <w:p>
      <w:pPr>
        <w:pStyle w:val="Style10"/>
        <w:keepNext w:val="0"/>
        <w:keepLines w:val="0"/>
        <w:widowControl w:val="0"/>
        <w:shd w:val="clear" w:color="auto" w:fill="auto"/>
        <w:bidi w:val="0"/>
        <w:spacing w:before="0" w:after="400" w:line="331" w:lineRule="auto"/>
        <w:ind w:left="0" w:right="0" w:firstLine="0"/>
        <w:jc w:val="both"/>
      </w:pPr>
      <w:r>
        <w:rPr>
          <w:rStyle w:val="CharStyle11"/>
          <w:b/>
          <w:bCs/>
        </w:rPr>
        <w:t xml:space="preserve">WHEREAS, </w:t>
      </w:r>
      <w:r>
        <w:rPr>
          <w:rStyle w:val="CharStyle11"/>
        </w:rPr>
        <w:t xml:space="preserve">the Sponsor has decided to transfer contract research organization responsibilities for the Study from IQVIA RDS Czech Republic s.r.o. </w:t>
      </w:r>
      <w:r>
        <w:rPr>
          <w:rStyle w:val="CharStyle11"/>
          <w:b/>
          <w:bCs/>
        </w:rPr>
        <w:t xml:space="preserve">(“IQVIA”) </w:t>
      </w:r>
      <w:r>
        <w:rPr>
          <w:rStyle w:val="CharStyle11"/>
        </w:rPr>
        <w:t>to PSI. The assignment of the rights and obligations under Agreement from IQVIA to PSI has been effective as of 30 October 2023 and the Institution has been duly notified thereof.</w:t>
      </w:r>
    </w:p>
    <w:p>
      <w:pPr>
        <w:pStyle w:val="Style10"/>
        <w:keepNext w:val="0"/>
        <w:keepLines w:val="0"/>
        <w:widowControl w:val="0"/>
        <w:shd w:val="clear" w:color="auto" w:fill="auto"/>
        <w:bidi w:val="0"/>
        <w:spacing w:before="0"/>
        <w:ind w:left="0" w:right="0" w:firstLine="0"/>
        <w:jc w:val="both"/>
      </w:pPr>
      <w:r>
        <w:rPr>
          <w:rStyle w:val="CharStyle11"/>
          <w:b/>
          <w:bCs/>
        </w:rPr>
        <w:t xml:space="preserve">WHEREAS, </w:t>
      </w:r>
      <w:r>
        <w:rPr>
          <w:rStyle w:val="CharStyle11"/>
        </w:rPr>
        <w:t xml:space="preserve">the Protocol with Amendment 02 (JP02) Version Dáte: 25 August 2023 (the </w:t>
      </w:r>
      <w:r>
        <w:rPr>
          <w:rStyle w:val="CharStyle11"/>
          <w:b/>
          <w:bCs/>
        </w:rPr>
        <w:t xml:space="preserve">“Protocol Amendment 02”) </w:t>
      </w:r>
      <w:r>
        <w:rPr>
          <w:rStyle w:val="CharStyle11"/>
        </w:rPr>
        <w:t>has been issued introducing changes to the Protocol title and other Study parameters.</w:t>
      </w:r>
    </w:p>
    <w:p>
      <w:pPr>
        <w:pStyle w:val="Style10"/>
        <w:keepNext w:val="0"/>
        <w:keepLines w:val="0"/>
        <w:widowControl w:val="0"/>
        <w:shd w:val="clear" w:color="auto" w:fill="auto"/>
        <w:bidi w:val="0"/>
        <w:spacing w:before="0" w:after="400" w:line="331" w:lineRule="auto"/>
        <w:ind w:left="0" w:right="0" w:firstLine="0"/>
        <w:jc w:val="both"/>
      </w:pPr>
      <w:r>
        <w:rPr>
          <w:rStyle w:val="CharStyle11"/>
          <w:b/>
          <w:bCs/>
        </w:rPr>
        <w:t xml:space="preserve">WHEREAS, </w:t>
      </w:r>
      <w:r>
        <w:rPr>
          <w:rStyle w:val="CharStyle11"/>
        </w:rPr>
        <w:t>in order to document the transfer of the contract research organization responsibilities from IQVIA to PSI and the new Protocol version, the Parties háve agreed to enter into this Amendment.</w:t>
      </w:r>
    </w:p>
    <w:p>
      <w:pPr>
        <w:pStyle w:val="Style10"/>
        <w:keepNext w:val="0"/>
        <w:keepLines w:val="0"/>
        <w:widowControl w:val="0"/>
        <w:shd w:val="clear" w:color="auto" w:fill="auto"/>
        <w:bidi w:val="0"/>
        <w:spacing w:before="0" w:line="331" w:lineRule="auto"/>
        <w:ind w:left="0" w:right="0" w:firstLine="0"/>
        <w:jc w:val="both"/>
      </w:pPr>
      <w:r>
        <w:rPr>
          <w:rStyle w:val="CharStyle11"/>
          <w:b/>
          <w:bCs/>
        </w:rPr>
        <w:t xml:space="preserve">NOW, THEREFORE, </w:t>
      </w:r>
      <w:r>
        <w:rPr>
          <w:rStyle w:val="CharStyle11"/>
        </w:rPr>
        <w:t>in consideration of the terms and conditions set forth herein, the Parties agree as follows:</w:t>
      </w:r>
    </w:p>
    <w:p>
      <w:pPr>
        <w:pStyle w:val="Style10"/>
        <w:keepNext w:val="0"/>
        <w:keepLines w:val="0"/>
        <w:widowControl w:val="0"/>
        <w:numPr>
          <w:ilvl w:val="0"/>
          <w:numId w:val="1"/>
        </w:numPr>
        <w:shd w:val="clear" w:color="auto" w:fill="auto"/>
        <w:tabs>
          <w:tab w:pos="288" w:val="left"/>
        </w:tabs>
        <w:bidi w:val="0"/>
        <w:spacing w:before="0"/>
        <w:ind w:left="0" w:right="0" w:firstLine="0"/>
        <w:jc w:val="both"/>
      </w:pPr>
      <w:r>
        <w:rPr>
          <w:rStyle w:val="CharStyle11"/>
        </w:rPr>
        <w:t>The Parties acknowledge and agree that (i) the transfer of the contract research organization responsibilities from IQVIA to PSI is effective as of 30 October 2023; (ii) all references in the Agreement to IQVIA shall be deemed as references to PSI, (iii) PSI’s information is subject to the confidentiality obligations in the Agreement..</w:t>
      </w:r>
    </w:p>
    <w:p>
      <w:pPr>
        <w:pStyle w:val="Style10"/>
        <w:keepNext w:val="0"/>
        <w:keepLines w:val="0"/>
        <w:widowControl w:val="0"/>
        <w:numPr>
          <w:ilvl w:val="0"/>
          <w:numId w:val="1"/>
        </w:numPr>
        <w:shd w:val="clear" w:color="auto" w:fill="auto"/>
        <w:tabs>
          <w:tab w:pos="288" w:val="left"/>
        </w:tabs>
        <w:bidi w:val="0"/>
        <w:spacing w:before="0" w:line="326" w:lineRule="auto"/>
        <w:ind w:left="0" w:right="0" w:firstLine="0"/>
        <w:jc w:val="both"/>
      </w:pPr>
      <w:r>
        <w:rPr>
          <w:rStyle w:val="CharStyle11"/>
        </w:rPr>
        <w:t>Section 1.8 “Key Enrollment Dáte” is supplemented with the following sentence:</w:t>
      </w:r>
    </w:p>
    <w:p>
      <w:pPr>
        <w:pStyle w:val="Style10"/>
        <w:keepNext w:val="0"/>
        <w:keepLines w:val="0"/>
        <w:widowControl w:val="0"/>
        <w:shd w:val="clear" w:color="auto" w:fill="auto"/>
        <w:bidi w:val="0"/>
        <w:spacing w:before="0" w:line="331" w:lineRule="auto"/>
        <w:ind w:left="0" w:right="0" w:firstLine="0"/>
        <w:jc w:val="both"/>
      </w:pPr>
      <w:r>
        <w:rPr>
          <w:rStyle w:val="CharStyle11"/>
        </w:rPr>
        <w:t>“The Investigator shall use his/her best efforts to enroll an estimated number of two Study Subjects in accordance with the eligibility criteria defined in the Protocol.”</w:t>
      </w:r>
    </w:p>
    <w:p>
      <w:pPr>
        <w:pStyle w:val="Style10"/>
        <w:keepNext w:val="0"/>
        <w:keepLines w:val="0"/>
        <w:widowControl w:val="0"/>
        <w:numPr>
          <w:ilvl w:val="0"/>
          <w:numId w:val="1"/>
        </w:numPr>
        <w:shd w:val="clear" w:color="auto" w:fill="auto"/>
        <w:tabs>
          <w:tab w:pos="288" w:val="left"/>
        </w:tabs>
        <w:bidi w:val="0"/>
        <w:spacing w:before="0" w:line="326" w:lineRule="auto"/>
        <w:ind w:left="0" w:right="0" w:firstLine="0"/>
        <w:jc w:val="both"/>
      </w:pPr>
      <w:r>
        <w:rPr>
          <w:rStyle w:val="CharStyle11"/>
        </w:rPr>
        <w:t>The contact details for notices to PSI as per Section 17 are:</w:t>
      </w:r>
    </w:p>
    <w:p>
      <w:pPr>
        <w:pStyle w:val="Style10"/>
        <w:keepNext w:val="0"/>
        <w:keepLines w:val="0"/>
        <w:widowControl w:val="0"/>
        <w:shd w:val="clear" w:color="auto" w:fill="auto"/>
        <w:bidi w:val="0"/>
        <w:spacing w:before="0" w:after="0" w:line="326" w:lineRule="auto"/>
        <w:ind w:left="0" w:right="0" w:firstLine="0"/>
        <w:jc w:val="both"/>
      </w:pPr>
      <w:r>
        <w:rPr>
          <w:rStyle w:val="CharStyle11"/>
        </w:rPr>
        <w:t>PSI CRO Czech Republic s.r.o.</w:t>
      </w:r>
    </w:p>
    <w:p>
      <w:pPr>
        <w:pStyle w:val="Style10"/>
        <w:keepNext w:val="0"/>
        <w:keepLines w:val="0"/>
        <w:widowControl w:val="0"/>
        <w:shd w:val="clear" w:color="auto" w:fill="auto"/>
        <w:bidi w:val="0"/>
        <w:spacing w:before="0" w:line="326" w:lineRule="auto"/>
        <w:ind w:left="0" w:right="0" w:firstLine="0"/>
        <w:jc w:val="both"/>
      </w:pPr>
      <w:r>
        <w:rPr>
          <w:rStyle w:val="CharStyle11"/>
        </w:rPr>
        <w:t>V Parku 2343/24, 148 00 Praha 4 - Chodov Czech Republic</w:t>
      </w:r>
    </w:p>
    <w:p>
      <w:pPr>
        <w:pStyle w:val="Style10"/>
        <w:keepNext w:val="0"/>
        <w:keepLines w:val="0"/>
        <w:widowControl w:val="0"/>
        <w:shd w:val="clear" w:color="auto" w:fill="auto"/>
        <w:bidi w:val="0"/>
        <w:spacing w:before="0"/>
        <w:ind w:left="0" w:right="0" w:firstLine="0"/>
        <w:jc w:val="both"/>
      </w:pPr>
      <w:r>
        <w:rPr>
          <w:rStyle w:val="CharStyle11"/>
          <w:color w:val="363636"/>
        </w:rPr>
        <w:t xml:space="preserve">And </w:t>
      </w:r>
      <w:r>
        <w:rPr>
          <w:rStyle w:val="CharStyle11"/>
        </w:rPr>
        <w:t>to:^m^^^^^B</w:t>
      </w:r>
    </w:p>
    <w:p>
      <w:pPr>
        <w:pStyle w:val="Style10"/>
        <w:keepNext w:val="0"/>
        <w:keepLines w:val="0"/>
        <w:widowControl w:val="0"/>
        <w:numPr>
          <w:ilvl w:val="0"/>
          <w:numId w:val="1"/>
        </w:numPr>
        <w:shd w:val="clear" w:color="auto" w:fill="auto"/>
        <w:tabs>
          <w:tab w:pos="288" w:val="left"/>
        </w:tabs>
        <w:bidi w:val="0"/>
        <w:spacing w:before="0" w:line="326" w:lineRule="auto"/>
        <w:ind w:left="0" w:right="0" w:firstLine="0"/>
        <w:jc w:val="both"/>
      </w:pPr>
      <w:r>
        <w:rPr>
          <w:rStyle w:val="CharStyle11"/>
        </w:rPr>
        <w:t>The Parties acknowledge that PSI is responsible for making payments for Study-related visits and</w:t>
      </w:r>
    </w:p>
    <w:p>
      <w:pPr>
        <w:pStyle w:val="Style10"/>
        <w:keepNext w:val="0"/>
        <w:keepLines w:val="0"/>
        <w:widowControl w:val="0"/>
        <w:shd w:val="clear" w:color="auto" w:fill="auto"/>
        <w:bidi w:val="0"/>
        <w:spacing w:before="0" w:after="100" w:line="331" w:lineRule="auto"/>
        <w:ind w:left="0" w:right="0" w:firstLine="0"/>
        <w:jc w:val="both"/>
      </w:pPr>
      <w:r>
        <w:rPr>
          <w:rStyle w:val="CharStyle11"/>
          <w:b/>
          <w:bCs/>
        </w:rPr>
        <w:t xml:space="preserve">VZHLEDEM K TOMU, </w:t>
      </w:r>
      <w:r>
        <w:rPr>
          <w:rStyle w:val="CharStyle11"/>
        </w:rPr>
        <w:t xml:space="preserve">že se Zadavatel rozhodl převést práva a povinnosti smluvní výzkumné organizace ve Studii ze společnosti IQVIA RDS Czech Republic s.r.o. </w:t>
      </w:r>
      <w:r>
        <w:rPr>
          <w:rStyle w:val="CharStyle11"/>
          <w:b/>
          <w:bCs/>
        </w:rPr>
        <w:t xml:space="preserve">("IQVIA") </w:t>
      </w:r>
      <w:r>
        <w:rPr>
          <w:rStyle w:val="CharStyle11"/>
        </w:rPr>
        <w:t>na společnost PSI, převod práv a povinností vyplývajících ze Smlouvy ze společnosti IQVIA na společnost PSI je účinný od 30. října 2023 a Zdravotnické zařízení o něm bylo řádně informováno;</w:t>
      </w:r>
    </w:p>
    <w:p>
      <w:pPr>
        <w:pStyle w:val="Style10"/>
        <w:keepNext w:val="0"/>
        <w:keepLines w:val="0"/>
        <w:widowControl w:val="0"/>
        <w:shd w:val="clear" w:color="auto" w:fill="auto"/>
        <w:bidi w:val="0"/>
        <w:spacing w:before="0" w:after="100" w:line="331" w:lineRule="auto"/>
        <w:ind w:left="0" w:right="0" w:firstLine="0"/>
        <w:jc w:val="both"/>
      </w:pPr>
      <w:r>
        <w:rPr>
          <w:rStyle w:val="CharStyle11"/>
          <w:b/>
          <w:bCs/>
        </w:rPr>
        <w:t xml:space="preserve">VZHLEDEM K TOMU, </w:t>
      </w:r>
      <w:r>
        <w:rPr>
          <w:rStyle w:val="CharStyle11"/>
        </w:rPr>
        <w:t xml:space="preserve">že byla vydána změna protokolu 02 (JP02) Datum schválení: 25. srpna 2023 (dále jen </w:t>
      </w:r>
      <w:r>
        <w:rPr>
          <w:rStyle w:val="CharStyle11"/>
          <w:b/>
          <w:bCs/>
        </w:rPr>
        <w:t xml:space="preserve">"změna protokolu 02"), </w:t>
      </w:r>
      <w:r>
        <w:rPr>
          <w:rStyle w:val="CharStyle11"/>
        </w:rPr>
        <w:t>která zavádí změny v názvu protokolu a dalších parametrech Studie;</w:t>
      </w:r>
    </w:p>
    <w:p>
      <w:pPr>
        <w:pStyle w:val="Style10"/>
        <w:keepNext w:val="0"/>
        <w:keepLines w:val="0"/>
        <w:widowControl w:val="0"/>
        <w:shd w:val="clear" w:color="auto" w:fill="auto"/>
        <w:bidi w:val="0"/>
        <w:spacing w:before="0" w:after="100" w:line="331" w:lineRule="auto"/>
        <w:ind w:left="0" w:right="0" w:firstLine="0"/>
        <w:jc w:val="both"/>
      </w:pPr>
      <w:r>
        <w:rPr>
          <w:rStyle w:val="CharStyle11"/>
          <w:b/>
          <w:bCs/>
        </w:rPr>
        <w:t xml:space="preserve">VZHLEDEM K TOMU, </w:t>
      </w:r>
      <w:r>
        <w:rPr>
          <w:rStyle w:val="CharStyle11"/>
        </w:rPr>
        <w:t>že za účelem zdokumentování převodu povinností smluvní výzkumné organizace z IQVIA na PSI a nové verze protokolu se Strany dohodly na uzavření tohoto Dodatku;</w:t>
      </w:r>
    </w:p>
    <w:p>
      <w:pPr>
        <w:pStyle w:val="Style10"/>
        <w:keepNext w:val="0"/>
        <w:keepLines w:val="0"/>
        <w:widowControl w:val="0"/>
        <w:shd w:val="clear" w:color="auto" w:fill="auto"/>
        <w:bidi w:val="0"/>
        <w:spacing w:before="0" w:after="420" w:line="326" w:lineRule="auto"/>
        <w:ind w:left="0" w:right="0" w:firstLine="0"/>
        <w:jc w:val="both"/>
      </w:pPr>
      <w:r>
        <w:rPr>
          <w:rStyle w:val="CharStyle11"/>
          <w:b/>
          <w:bCs/>
        </w:rPr>
        <w:t xml:space="preserve">NYNÍ, PROTO, </w:t>
      </w:r>
      <w:r>
        <w:rPr>
          <w:rStyle w:val="CharStyle11"/>
        </w:rPr>
        <w:t>s ohledem na podmínky zde stanovené, se strany dohodly takto:</w:t>
      </w:r>
    </w:p>
    <w:p>
      <w:pPr>
        <w:pStyle w:val="Style10"/>
        <w:keepNext w:val="0"/>
        <w:keepLines w:val="0"/>
        <w:widowControl w:val="0"/>
        <w:numPr>
          <w:ilvl w:val="0"/>
          <w:numId w:val="3"/>
        </w:numPr>
        <w:shd w:val="clear" w:color="auto" w:fill="auto"/>
        <w:tabs>
          <w:tab w:pos="289" w:val="left"/>
        </w:tabs>
        <w:bidi w:val="0"/>
        <w:spacing w:before="0" w:after="100" w:line="331" w:lineRule="auto"/>
        <w:ind w:left="0" w:right="0" w:firstLine="0"/>
        <w:jc w:val="both"/>
      </w:pPr>
      <w:r>
        <w:rPr>
          <w:rStyle w:val="CharStyle11"/>
        </w:rPr>
        <w:t>Strany berou na vědomí a souhlasí s tím, že (i) převod práv a povinností smluvní výzkumné organizace z IQVIA na PSI je účinný od 30. října 2023; (ii) všechny odkazy ve Smlouvě na IQVIA se považují za odkazy na PSI, (iii) na důvěrné informace PSI se vztahují povinnosti mlčenlivosti uvedené ve Smlouvě.</w:t>
      </w:r>
    </w:p>
    <w:p>
      <w:pPr>
        <w:pStyle w:val="Style10"/>
        <w:keepNext w:val="0"/>
        <w:keepLines w:val="0"/>
        <w:widowControl w:val="0"/>
        <w:numPr>
          <w:ilvl w:val="0"/>
          <w:numId w:val="3"/>
        </w:numPr>
        <w:shd w:val="clear" w:color="auto" w:fill="auto"/>
        <w:tabs>
          <w:tab w:pos="289" w:val="left"/>
        </w:tabs>
        <w:bidi w:val="0"/>
        <w:spacing w:before="0" w:after="100" w:line="331" w:lineRule="auto"/>
        <w:ind w:left="0" w:right="0" w:firstLine="0"/>
        <w:jc w:val="both"/>
      </w:pPr>
      <w:r>
        <w:rPr>
          <w:rStyle w:val="CharStyle11"/>
        </w:rPr>
        <w:t>Oddíl 1.8 "Klíčové datum zařazení" se doplňuje o následující větu:</w:t>
      </w:r>
    </w:p>
    <w:p>
      <w:pPr>
        <w:pStyle w:val="Style10"/>
        <w:keepNext w:val="0"/>
        <w:keepLines w:val="0"/>
        <w:widowControl w:val="0"/>
        <w:shd w:val="clear" w:color="auto" w:fill="auto"/>
        <w:bidi w:val="0"/>
        <w:spacing w:before="0" w:after="100" w:line="331" w:lineRule="auto"/>
        <w:ind w:left="0" w:right="0" w:firstLine="0"/>
        <w:jc w:val="both"/>
      </w:pPr>
      <w:r>
        <w:rPr>
          <w:rStyle w:val="CharStyle11"/>
        </w:rPr>
        <w:t>"Zkoušející vyvine maximální úsilí k zápisu odhadovaného počtu dvou Subjektů studie v souladu s kritérii způsobilosti definovanými v protokolu."</w:t>
      </w:r>
    </w:p>
    <w:p>
      <w:pPr>
        <w:pStyle w:val="Style10"/>
        <w:keepNext w:val="0"/>
        <w:keepLines w:val="0"/>
        <w:widowControl w:val="0"/>
        <w:numPr>
          <w:ilvl w:val="0"/>
          <w:numId w:val="3"/>
        </w:numPr>
        <w:shd w:val="clear" w:color="auto" w:fill="auto"/>
        <w:tabs>
          <w:tab w:pos="289" w:val="left"/>
        </w:tabs>
        <w:bidi w:val="0"/>
        <w:spacing w:before="0" w:after="100" w:line="331" w:lineRule="auto"/>
        <w:ind w:left="0" w:right="0" w:firstLine="0"/>
        <w:jc w:val="both"/>
      </w:pPr>
      <w:r>
        <w:rPr>
          <w:rStyle w:val="CharStyle11"/>
        </w:rPr>
        <w:t>Kontaktní údaje pro zasílání oznámení společnosti PSI podle oddílu 17 jsou následující:</w:t>
      </w:r>
    </w:p>
    <w:p>
      <w:pPr>
        <w:pStyle w:val="Style10"/>
        <w:keepNext w:val="0"/>
        <w:keepLines w:val="0"/>
        <w:widowControl w:val="0"/>
        <w:shd w:val="clear" w:color="auto" w:fill="auto"/>
        <w:bidi w:val="0"/>
        <w:spacing w:before="0" w:after="0" w:line="338" w:lineRule="auto"/>
        <w:ind w:left="0" w:right="0" w:firstLine="0"/>
        <w:jc w:val="both"/>
      </w:pPr>
      <w:r>
        <w:rPr>
          <w:rStyle w:val="CharStyle11"/>
        </w:rPr>
        <w:t>PSI CRO Czech Republic s.r.o.</w:t>
      </w:r>
    </w:p>
    <w:p>
      <w:pPr>
        <w:pStyle w:val="Style10"/>
        <w:keepNext w:val="0"/>
        <w:keepLines w:val="0"/>
        <w:widowControl w:val="0"/>
        <w:shd w:val="clear" w:color="auto" w:fill="auto"/>
        <w:bidi w:val="0"/>
        <w:spacing w:before="0" w:after="100" w:line="338" w:lineRule="auto"/>
        <w:ind w:left="0" w:right="0" w:firstLine="0"/>
        <w:jc w:val="both"/>
      </w:pPr>
      <w:r>
        <w:rPr>
          <w:rStyle w:val="CharStyle11"/>
        </w:rPr>
        <w:t>V Parku 2343/24, 148 00 Praha 4 - Chodov Česká republika</w:t>
      </w:r>
    </w:p>
    <w:p>
      <w:pPr>
        <w:widowControl w:val="0"/>
        <w:jc w:val="left"/>
        <w:rPr>
          <w:sz w:val="2"/>
          <w:szCs w:val="2"/>
        </w:rPr>
      </w:pPr>
      <w:r>
        <w:drawing>
          <wp:inline>
            <wp:extent cx="1664335" cy="15240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pic:blipFill>
                  <pic:spPr>
                    <a:xfrm>
                      <a:ext cx="1664335" cy="152400"/>
                    </a:xfrm>
                    <a:prstGeom prst="rect"/>
                  </pic:spPr>
                </pic:pic>
              </a:graphicData>
            </a:graphic>
          </wp:inline>
        </w:drawing>
      </w:r>
    </w:p>
    <w:p>
      <w:pPr>
        <w:widowControl w:val="0"/>
        <w:spacing w:after="159" w:line="1" w:lineRule="exact"/>
      </w:pPr>
    </w:p>
    <w:p>
      <w:pPr>
        <w:pStyle w:val="Style10"/>
        <w:keepNext w:val="0"/>
        <w:keepLines w:val="0"/>
        <w:widowControl w:val="0"/>
        <w:numPr>
          <w:ilvl w:val="0"/>
          <w:numId w:val="3"/>
        </w:numPr>
        <w:shd w:val="clear" w:color="auto" w:fill="auto"/>
        <w:tabs>
          <w:tab w:pos="289" w:val="left"/>
        </w:tabs>
        <w:bidi w:val="0"/>
        <w:spacing w:before="0" w:after="100" w:line="331" w:lineRule="auto"/>
        <w:ind w:left="0" w:right="0" w:firstLine="0"/>
        <w:jc w:val="both"/>
      </w:pPr>
      <w:r>
        <w:rPr>
          <w:rStyle w:val="CharStyle11"/>
        </w:rPr>
        <w:t>Strany berou na vědomí, že PSI je odpovědná za provádění plateb za návštěvy a činnosti související</w:t>
      </w:r>
    </w:p>
    <w:p>
      <w:pPr>
        <w:pStyle w:val="Style10"/>
        <w:keepNext w:val="0"/>
        <w:keepLines w:val="0"/>
        <w:widowControl w:val="0"/>
        <w:shd w:val="clear" w:color="auto" w:fill="auto"/>
        <w:bidi w:val="0"/>
        <w:spacing w:before="0" w:line="331" w:lineRule="auto"/>
        <w:ind w:left="0" w:right="0" w:firstLine="0"/>
        <w:jc w:val="both"/>
      </w:pPr>
      <w:r>
        <w:rPr>
          <w:rStyle w:val="CharStyle11"/>
        </w:rPr>
        <w:t>activities entered into the eCRF from and after 30 October 2023. PSI is also responsible for paying Study-related invoices, duly issued to the name of PSI from and after 30 October 2023.</w:t>
      </w:r>
    </w:p>
    <w:p>
      <w:pPr>
        <w:pStyle w:val="Style10"/>
        <w:keepNext w:val="0"/>
        <w:keepLines w:val="0"/>
        <w:widowControl w:val="0"/>
        <w:numPr>
          <w:ilvl w:val="0"/>
          <w:numId w:val="3"/>
        </w:numPr>
        <w:shd w:val="clear" w:color="auto" w:fill="auto"/>
        <w:tabs>
          <w:tab w:pos="289" w:val="left"/>
        </w:tabs>
        <w:bidi w:val="0"/>
        <w:spacing w:before="0"/>
        <w:ind w:left="0" w:right="0" w:firstLine="0"/>
        <w:jc w:val="both"/>
      </w:pPr>
      <w:r>
        <w:rPr>
          <w:rStyle w:val="CharStyle11"/>
        </w:rPr>
        <w:t>As of the effective dáte of Protocol Amendment 02 country regulátory and ethics approval the title of the Protocol shall be changed to: “A 44-week, Phase 2b, Randomized, Double-Blind Long-Term Extension Study to Evaluate Pharmacokinetics, Efficacy Safety, and Tolerability of TEV-48574 in Adult Patients with Moderate to Severe Ulcerative colitis or Crohn's disease who completed the treatment phase of the Dose-Ranging Study (RELIEVE UCCD LTE)”.</w:t>
      </w:r>
    </w:p>
    <w:p>
      <w:pPr>
        <w:pStyle w:val="Style10"/>
        <w:keepNext w:val="0"/>
        <w:keepLines w:val="0"/>
        <w:widowControl w:val="0"/>
        <w:numPr>
          <w:ilvl w:val="0"/>
          <w:numId w:val="3"/>
        </w:numPr>
        <w:shd w:val="clear" w:color="auto" w:fill="auto"/>
        <w:tabs>
          <w:tab w:pos="289" w:val="left"/>
        </w:tabs>
        <w:bidi w:val="0"/>
        <w:spacing w:before="0" w:line="331" w:lineRule="auto"/>
        <w:ind w:left="0" w:right="0" w:firstLine="0"/>
        <w:jc w:val="both"/>
      </w:pPr>
      <w:r>
        <w:rPr>
          <w:rStyle w:val="CharStyle11"/>
        </w:rPr>
        <w:t>As of the effective dáte of Protocol Amendment 02 country regulátory and ethics approval the Budget and Payment Schedule, Attachment A to the Agreement shall be replaced in its entirety by the Financial Arrangements, Attachment A as attached to this Amendment.</w:t>
      </w:r>
    </w:p>
    <w:p>
      <w:pPr>
        <w:pStyle w:val="Style10"/>
        <w:keepNext w:val="0"/>
        <w:keepLines w:val="0"/>
        <w:widowControl w:val="0"/>
        <w:numPr>
          <w:ilvl w:val="0"/>
          <w:numId w:val="3"/>
        </w:numPr>
        <w:shd w:val="clear" w:color="auto" w:fill="auto"/>
        <w:tabs>
          <w:tab w:pos="284" w:val="left"/>
        </w:tabs>
        <w:bidi w:val="0"/>
        <w:spacing w:before="0" w:line="331" w:lineRule="auto"/>
        <w:ind w:left="0" w:right="0" w:firstLine="0"/>
        <w:jc w:val="both"/>
      </w:pPr>
      <w:r>
        <w:rPr>
          <w:rStyle w:val="CharStyle11"/>
        </w:rPr>
        <w:t>The Parties agree that the Equipment or Materials to be provided for the Study shall be described in a new Attachment D List of Equipment as attached to this Amendment.</w:t>
      </w:r>
    </w:p>
    <w:p>
      <w:pPr>
        <w:pStyle w:val="Style10"/>
        <w:keepNext w:val="0"/>
        <w:keepLines w:val="0"/>
        <w:widowControl w:val="0"/>
        <w:numPr>
          <w:ilvl w:val="0"/>
          <w:numId w:val="3"/>
        </w:numPr>
        <w:shd w:val="clear" w:color="auto" w:fill="auto"/>
        <w:tabs>
          <w:tab w:pos="284" w:val="left"/>
        </w:tabs>
        <w:bidi w:val="0"/>
        <w:spacing w:before="0"/>
        <w:ind w:left="0" w:right="0" w:firstLine="0"/>
        <w:jc w:val="both"/>
      </w:pPr>
      <w:r>
        <w:rPr>
          <w:rStyle w:val="CharStyle11"/>
        </w:rPr>
        <w:t>Capitalized terms ušed but not re-defined in this Amendment shall háve the same meaning as they háve in the Agreement.</w:t>
      </w:r>
    </w:p>
    <w:p>
      <w:pPr>
        <w:pStyle w:val="Style10"/>
        <w:keepNext w:val="0"/>
        <w:keepLines w:val="0"/>
        <w:widowControl w:val="0"/>
        <w:numPr>
          <w:ilvl w:val="0"/>
          <w:numId w:val="3"/>
        </w:numPr>
        <w:shd w:val="clear" w:color="auto" w:fill="auto"/>
        <w:tabs>
          <w:tab w:pos="289" w:val="left"/>
        </w:tabs>
        <w:bidi w:val="0"/>
        <w:spacing w:before="0"/>
        <w:ind w:left="0" w:right="0" w:firstLine="0"/>
        <w:jc w:val="both"/>
      </w:pPr>
      <w:r>
        <w:rPr>
          <w:rStyle w:val="CharStyle11"/>
        </w:rPr>
        <w:t>This Amendment shall be made part of the Agreement and attached thereto. Except as provided herein, all other terms of the Agreement shall remain in full force and effect.</w:t>
      </w:r>
    </w:p>
    <w:p>
      <w:pPr>
        <w:pStyle w:val="Style10"/>
        <w:keepNext w:val="0"/>
        <w:keepLines w:val="0"/>
        <w:widowControl w:val="0"/>
        <w:shd w:val="clear" w:color="auto" w:fill="auto"/>
        <w:bidi w:val="0"/>
        <w:spacing w:before="0"/>
        <w:ind w:left="0" w:right="0" w:firstLine="0"/>
        <w:jc w:val="center"/>
      </w:pPr>
      <w:r>
        <w:rPr>
          <w:rStyle w:val="CharStyle11"/>
        </w:rPr>
        <w:t>[SIGNATUŘE PAGE TO FOLLOW]</w:t>
      </w:r>
    </w:p>
    <w:p>
      <w:pPr>
        <w:pStyle w:val="Style10"/>
        <w:keepNext w:val="0"/>
        <w:keepLines w:val="0"/>
        <w:widowControl w:val="0"/>
        <w:shd w:val="clear" w:color="auto" w:fill="auto"/>
        <w:bidi w:val="0"/>
        <w:spacing w:before="0" w:after="100" w:line="331" w:lineRule="auto"/>
        <w:ind w:left="0" w:right="0" w:firstLine="0"/>
        <w:jc w:val="both"/>
      </w:pPr>
      <w:r>
        <w:rPr>
          <w:rStyle w:val="CharStyle11"/>
        </w:rPr>
        <w:t>se Studií zadané do eCRF od 30. října 2023 a po tomto datu. PSI je rovněž odpovědná za úhradu faktur souvisejících se Studií, řádně vystavených na jméno PSI od 30. října 2023 a po tomto datu.</w:t>
      </w:r>
    </w:p>
    <w:p>
      <w:pPr>
        <w:pStyle w:val="Style10"/>
        <w:keepNext w:val="0"/>
        <w:keepLines w:val="0"/>
        <w:widowControl w:val="0"/>
        <w:numPr>
          <w:ilvl w:val="0"/>
          <w:numId w:val="5"/>
        </w:numPr>
        <w:shd w:val="clear" w:color="auto" w:fill="auto"/>
        <w:tabs>
          <w:tab w:pos="294" w:val="left"/>
        </w:tabs>
        <w:bidi w:val="0"/>
        <w:spacing w:before="0" w:after="100"/>
        <w:ind w:left="0" w:right="0" w:firstLine="0"/>
        <w:jc w:val="both"/>
      </w:pPr>
      <w:r>
        <w:rPr>
          <w:rStyle w:val="CharStyle11"/>
        </w:rPr>
        <w:t>Od data účinnosti změny protokolu 02 se název protokolu mění na: „44týdenní, randomizovaná, dvojitě zaslepená, dlouhodobá pokračovací studie fáze 2b k vyhodnocení farmakokinetiky, účinnosti, bezpečnosti a snášenlivosti přípravku TEV-48574 u dospělých pacientů se středně závažnou až závažnou ulcerózní kolitidou nebo Crohnovou nemocí, kteří podstoupili období léčby v klinickém hodnocení ke stanovení dávky (RELIEVE UCCD LTE)“.</w:t>
      </w:r>
    </w:p>
    <w:p>
      <w:pPr>
        <w:pStyle w:val="Style10"/>
        <w:keepNext w:val="0"/>
        <w:keepLines w:val="0"/>
        <w:widowControl w:val="0"/>
        <w:numPr>
          <w:ilvl w:val="0"/>
          <w:numId w:val="5"/>
        </w:numPr>
        <w:shd w:val="clear" w:color="auto" w:fill="auto"/>
        <w:tabs>
          <w:tab w:pos="289" w:val="left"/>
        </w:tabs>
        <w:bidi w:val="0"/>
        <w:spacing w:before="0" w:after="420"/>
        <w:ind w:left="0" w:right="0" w:firstLine="0"/>
        <w:jc w:val="both"/>
      </w:pPr>
      <w:r>
        <w:rPr>
          <w:rStyle w:val="CharStyle11"/>
        </w:rPr>
        <w:t>Od data účinnosti změny protokolu 02 a schválení regulačním úřadem a etickými komisemi se Rozpočet a rozpis plateb, příloha A Smlouvy, v plném rozsahu nahrazuje přílohou A Finanční ujednání, která je připojena k tomuto Dodatku.</w:t>
      </w:r>
    </w:p>
    <w:p>
      <w:pPr>
        <w:pStyle w:val="Style10"/>
        <w:keepNext w:val="0"/>
        <w:keepLines w:val="0"/>
        <w:widowControl w:val="0"/>
        <w:numPr>
          <w:ilvl w:val="0"/>
          <w:numId w:val="5"/>
        </w:numPr>
        <w:shd w:val="clear" w:color="auto" w:fill="auto"/>
        <w:tabs>
          <w:tab w:pos="303" w:val="left"/>
        </w:tabs>
        <w:bidi w:val="0"/>
        <w:spacing w:before="0" w:after="100" w:line="331" w:lineRule="auto"/>
        <w:ind w:left="0" w:right="0" w:firstLine="0"/>
        <w:jc w:val="both"/>
      </w:pPr>
      <w:r>
        <w:rPr>
          <w:rStyle w:val="CharStyle11"/>
        </w:rPr>
        <w:t>Strany se dohodly, že vybavení nebo materiály, které mají být poskytnuty pro účely Studie, budou popsány v nové příloze D Seznam vybavení, která je přílohou tohoto Dodatku.</w:t>
      </w:r>
    </w:p>
    <w:p>
      <w:pPr>
        <w:pStyle w:val="Style10"/>
        <w:keepNext w:val="0"/>
        <w:keepLines w:val="0"/>
        <w:widowControl w:val="0"/>
        <w:numPr>
          <w:ilvl w:val="0"/>
          <w:numId w:val="5"/>
        </w:numPr>
        <w:shd w:val="clear" w:color="auto" w:fill="auto"/>
        <w:tabs>
          <w:tab w:pos="284" w:val="left"/>
        </w:tabs>
        <w:bidi w:val="0"/>
        <w:spacing w:before="0" w:after="100"/>
        <w:ind w:left="0" w:right="0" w:firstLine="0"/>
        <w:jc w:val="both"/>
      </w:pPr>
      <w:r>
        <w:rPr>
          <w:rStyle w:val="CharStyle11"/>
        </w:rPr>
        <w:t>Pojmy s velkým počátečním písmenem použité, ale znovu nedefinované v tomto Dodatku, mají stejný význam jako v Dohodě.</w:t>
      </w:r>
    </w:p>
    <w:p>
      <w:pPr>
        <w:pStyle w:val="Style10"/>
        <w:keepNext w:val="0"/>
        <w:keepLines w:val="0"/>
        <w:widowControl w:val="0"/>
        <w:numPr>
          <w:ilvl w:val="0"/>
          <w:numId w:val="5"/>
        </w:numPr>
        <w:shd w:val="clear" w:color="auto" w:fill="auto"/>
        <w:tabs>
          <w:tab w:pos="284" w:val="left"/>
        </w:tabs>
        <w:bidi w:val="0"/>
        <w:spacing w:before="0" w:after="100" w:line="331" w:lineRule="auto"/>
        <w:ind w:left="0" w:right="0" w:firstLine="0"/>
        <w:jc w:val="both"/>
      </w:pPr>
      <w:r>
        <w:rPr>
          <w:rStyle w:val="CharStyle11"/>
        </w:rPr>
        <w:t>Tento Dodatek se stává součástí Smlouvy a je k ní připojen. S výjimkou změn uvedených v tomto Dodatku zůstávají všechny ostatní podmínky Smlouvy v platnosti a účinnosti.</w:t>
      </w:r>
    </w:p>
    <w:p>
      <w:pPr>
        <w:pStyle w:val="Style10"/>
        <w:keepNext w:val="0"/>
        <w:keepLines w:val="0"/>
        <w:widowControl w:val="0"/>
        <w:shd w:val="clear" w:color="auto" w:fill="auto"/>
        <w:bidi w:val="0"/>
        <w:spacing w:before="0" w:after="100"/>
        <w:ind w:left="0" w:right="0" w:firstLine="0"/>
        <w:jc w:val="center"/>
        <w:sectPr>
          <w:footnotePr>
            <w:pos w:val="pageBottom"/>
            <w:numFmt w:val="decimal"/>
            <w:numRestart w:val="continuous"/>
          </w:footnotePr>
          <w:type w:val="continuous"/>
          <w:pgSz w:w="11900" w:h="16840"/>
          <w:pgMar w:top="1494" w:right="1361" w:bottom="1398" w:left="1130" w:header="0" w:footer="3" w:gutter="0"/>
          <w:cols w:num="2" w:space="144"/>
          <w:noEndnote/>
          <w:rtlGutter w:val="0"/>
          <w:docGrid w:linePitch="360"/>
        </w:sectPr>
      </w:pPr>
      <w:r>
        <w:rPr>
          <w:rStyle w:val="CharStyle11"/>
        </w:rPr>
        <w:t>[NÁSLEDUJE PODPISOVÁ STRÁNKA]</w:t>
      </w:r>
    </w:p>
    <w:p>
      <w:pPr>
        <w:rPr>
          <w:sz w:val="2"/>
          <w:szCs w:val="2"/>
        </w:rPr>
        <w:sectPr>
          <w:footnotePr>
            <w:pos w:val="pageBottom"/>
            <w:numFmt w:val="decimal"/>
            <w:numRestart w:val="continuous"/>
          </w:footnotePr>
          <w:type w:val="continuous"/>
          <w:pgSz w:w="11900" w:h="16840"/>
          <w:pgMar w:top="1494" w:right="1361" w:bottom="1398" w:left="1130" w:header="0" w:footer="3" w:gutter="0"/>
          <w:cols w:num="2" w:space="144"/>
          <w:noEndnote/>
          <w:rtlGutter w:val="0"/>
          <w:docGrid w:linePitch="360"/>
        </w:sectPr>
      </w:pPr>
    </w:p>
    <w:p>
      <w:pPr>
        <w:pStyle w:val="Style10"/>
        <w:keepNext w:val="0"/>
        <w:keepLines w:val="0"/>
        <w:widowControl w:val="0"/>
        <w:shd w:val="clear" w:color="auto" w:fill="auto"/>
        <w:bidi w:val="0"/>
        <w:spacing w:before="0" w:after="480" w:line="326" w:lineRule="auto"/>
        <w:ind w:left="0" w:right="0" w:firstLine="0"/>
        <w:jc w:val="left"/>
      </w:pPr>
      <w:r>
        <w:rPr>
          <w:rStyle w:val="CharStyle11"/>
        </w:rPr>
        <w:t>By signing below, each party hereby accepts and Podpisem níže každá strana přijímá a souhlasí s agrees to the above terms and conditions. výše uvedenými podmínkami.</w:t>
      </w:r>
    </w:p>
    <w:p>
      <w:pPr>
        <w:pStyle w:val="Style10"/>
        <w:keepNext w:val="0"/>
        <w:keepLines w:val="0"/>
        <w:widowControl w:val="0"/>
        <w:shd w:val="clear" w:color="auto" w:fill="auto"/>
        <w:bidi w:val="0"/>
        <w:spacing w:before="0" w:after="860" w:line="326" w:lineRule="auto"/>
        <w:ind w:left="0" w:right="0" w:firstLine="0"/>
        <w:jc w:val="left"/>
      </w:pPr>
      <w:r>
        <w:rPr>
          <w:rStyle w:val="CharStyle11"/>
        </w:rPr>
        <w:t>The Institution/Zdravotnické zařízení: Nemocnice Slaný</w:t>
      </w:r>
    </w:p>
    <w:p>
      <w:pPr>
        <w:pStyle w:val="Style10"/>
        <w:keepNext w:val="0"/>
        <w:keepLines w:val="0"/>
        <w:widowControl w:val="0"/>
        <w:shd w:val="clear" w:color="auto" w:fill="auto"/>
        <w:bidi w:val="0"/>
        <w:spacing w:before="0" w:after="80" w:line="240" w:lineRule="auto"/>
        <w:ind w:left="2440" w:right="0" w:firstLine="0"/>
        <w:jc w:val="left"/>
      </w:pPr>
      <w:r>
        <w:rPr>
          <w:rStyle w:val="CharStyle11"/>
        </w:rPr>
        <w:t>Name/Jméno: MUDr. Štěpán Votoček</w:t>
      </w:r>
    </w:p>
    <w:p>
      <w:pPr>
        <w:pStyle w:val="Style10"/>
        <w:keepNext w:val="0"/>
        <w:keepLines w:val="0"/>
        <w:widowControl w:val="0"/>
        <w:shd w:val="clear" w:color="auto" w:fill="auto"/>
        <w:bidi w:val="0"/>
        <w:spacing w:before="0" w:after="360" w:line="240" w:lineRule="auto"/>
        <w:ind w:left="2440" w:right="0" w:firstLine="0"/>
        <w:jc w:val="left"/>
      </w:pPr>
      <w:r>
        <w:rPr>
          <w:rStyle w:val="CharStyle11"/>
        </w:rPr>
        <w:t>Title/Pozice: Ředitel nemocnice / Hospital Director</w:t>
      </w:r>
    </w:p>
    <w:p>
      <w:pPr>
        <w:pStyle w:val="Style10"/>
        <w:keepNext w:val="0"/>
        <w:keepLines w:val="0"/>
        <w:widowControl w:val="0"/>
        <w:shd w:val="clear" w:color="auto" w:fill="auto"/>
        <w:tabs>
          <w:tab w:leader="underscore" w:pos="7394" w:val="left"/>
        </w:tabs>
        <w:bidi w:val="0"/>
        <w:spacing w:before="0" w:after="860" w:line="240" w:lineRule="auto"/>
        <w:ind w:left="2440" w:right="0" w:firstLine="0"/>
        <w:jc w:val="left"/>
      </w:pPr>
      <w:r>
        <w:rPr>
          <w:rStyle w:val="CharStyle11"/>
        </w:rPr>
        <w:t>Dated/Datum:</w:t>
        <w:tab/>
      </w:r>
    </w:p>
    <w:p>
      <w:pPr>
        <w:pStyle w:val="Style10"/>
        <w:keepNext w:val="0"/>
        <w:keepLines w:val="0"/>
        <w:widowControl w:val="0"/>
        <w:shd w:val="clear" w:color="auto" w:fill="auto"/>
        <w:bidi w:val="0"/>
        <w:spacing w:before="0" w:after="980" w:line="240" w:lineRule="auto"/>
        <w:ind w:left="0" w:right="0" w:firstLine="0"/>
        <w:jc w:val="left"/>
      </w:pPr>
      <w:r>
        <w:rPr>
          <w:rStyle w:val="CharStyle11"/>
        </w:rPr>
        <w:t>PSI: PSI CRO Czech Republic s.r.o.</w:t>
      </w:r>
    </w:p>
    <w:p>
      <w:pPr>
        <w:pStyle w:val="Style10"/>
        <w:keepNext w:val="0"/>
        <w:keepLines w:val="0"/>
        <w:widowControl w:val="0"/>
        <w:shd w:val="clear" w:color="auto" w:fill="auto"/>
        <w:bidi w:val="0"/>
        <w:spacing w:before="0" w:after="80" w:line="240" w:lineRule="auto"/>
        <w:ind w:left="2440" w:right="0" w:firstLine="0"/>
        <w:jc w:val="left"/>
      </w:pPr>
      <w:r>
        <w:rPr>
          <w:rStyle w:val="CharStyle11"/>
        </w:rPr>
        <w:t>Name/Jméno:</w:t>
      </w:r>
    </w:p>
    <w:p>
      <w:pPr>
        <w:pStyle w:val="Style10"/>
        <w:keepNext w:val="0"/>
        <w:keepLines w:val="0"/>
        <w:widowControl w:val="0"/>
        <w:shd w:val="clear" w:color="auto" w:fill="auto"/>
        <w:bidi w:val="0"/>
        <w:spacing w:before="0" w:after="360" w:line="240" w:lineRule="auto"/>
        <w:ind w:left="2440" w:right="0" w:firstLine="0"/>
        <w:jc w:val="left"/>
      </w:pPr>
      <w:r>
        <w:rPr>
          <w:rStyle w:val="CharStyle11"/>
        </w:rPr>
        <w:t>Title/Pozice: by Power of Attorney / na základě plné moci</w:t>
      </w:r>
    </w:p>
    <w:p>
      <w:pPr>
        <w:pStyle w:val="Style10"/>
        <w:keepNext w:val="0"/>
        <w:keepLines w:val="0"/>
        <w:widowControl w:val="0"/>
        <w:shd w:val="clear" w:color="auto" w:fill="auto"/>
        <w:tabs>
          <w:tab w:leader="underscore" w:pos="7394" w:val="left"/>
        </w:tabs>
        <w:bidi w:val="0"/>
        <w:spacing w:before="0" w:after="1880" w:line="240" w:lineRule="auto"/>
        <w:ind w:left="2440" w:right="0" w:firstLine="0"/>
        <w:jc w:val="left"/>
      </w:pPr>
      <w:r>
        <w:rPr>
          <w:rStyle w:val="CharStyle11"/>
        </w:rPr>
        <w:t>Dated/Datum:</w:t>
        <w:tab/>
      </w:r>
    </w:p>
    <w:p>
      <w:pPr>
        <w:pStyle w:val="Style10"/>
        <w:keepNext w:val="0"/>
        <w:keepLines w:val="0"/>
        <w:widowControl w:val="0"/>
        <w:shd w:val="clear" w:color="auto" w:fill="auto"/>
        <w:bidi w:val="0"/>
        <w:spacing w:before="0" w:after="80" w:line="240" w:lineRule="auto"/>
        <w:ind w:left="2440" w:right="0" w:firstLine="0"/>
        <w:jc w:val="left"/>
      </w:pPr>
      <w:r>
        <w:rPr>
          <w:rStyle w:val="CharStyle11"/>
        </w:rPr>
        <w:t>Name/Jméno:</w:t>
      </w:r>
    </w:p>
    <w:p>
      <w:pPr>
        <w:pStyle w:val="Style10"/>
        <w:keepNext w:val="0"/>
        <w:keepLines w:val="0"/>
        <w:widowControl w:val="0"/>
        <w:shd w:val="clear" w:color="auto" w:fill="auto"/>
        <w:bidi w:val="0"/>
        <w:spacing w:before="0" w:after="360" w:line="240" w:lineRule="auto"/>
        <w:ind w:left="2440" w:right="0" w:firstLine="0"/>
        <w:jc w:val="left"/>
      </w:pPr>
      <w:r>
        <w:rPr>
          <w:rStyle w:val="CharStyle11"/>
        </w:rPr>
        <w:t>Title/Pozice: by Power of Attorney / na základě plné moci</w:t>
      </w:r>
    </w:p>
    <w:p>
      <w:pPr>
        <w:pStyle w:val="Style10"/>
        <w:keepNext w:val="0"/>
        <w:keepLines w:val="0"/>
        <w:widowControl w:val="0"/>
        <w:shd w:val="clear" w:color="auto" w:fill="auto"/>
        <w:tabs>
          <w:tab w:leader="underscore" w:pos="7394" w:val="left"/>
        </w:tabs>
        <w:bidi w:val="0"/>
        <w:spacing w:before="0" w:after="420" w:line="240" w:lineRule="auto"/>
        <w:ind w:left="2440" w:right="0" w:firstLine="0"/>
        <w:jc w:val="left"/>
      </w:pPr>
      <w:r>
        <w:rPr>
          <w:rStyle w:val="CharStyle11"/>
        </w:rPr>
        <w:t>Dated/Datum:</w:t>
        <w:tab/>
      </w:r>
    </w:p>
    <w:p>
      <w:pPr>
        <w:pStyle w:val="Style17"/>
        <w:keepNext w:val="0"/>
        <w:keepLines w:val="0"/>
        <w:widowControl w:val="0"/>
        <w:shd w:val="clear" w:color="auto" w:fill="auto"/>
        <w:bidi w:val="0"/>
        <w:spacing w:before="0"/>
        <w:ind w:right="0"/>
        <w:jc w:val="left"/>
      </w:pPr>
      <w:r>
        <w:rPr>
          <w:rStyle w:val="CharStyle18"/>
          <w:sz w:val="19"/>
          <w:szCs w:val="19"/>
        </w:rPr>
        <w:t xml:space="preserve">Sponsor/Zadavatel: Teva Branded Pharmaceutical Products R&amp;D, lne </w:t>
      </w:r>
      <w:r>
        <w:rPr>
          <w:rStyle w:val="CharStyle18"/>
        </w:rPr>
        <w:t>(signed by PSI CRO Czech Republic s.r.o. in the name of the Sponsor, based on a power of attorney/ podepsala PSI CRO Czech Republic s.r.o. jménem Zadavatele, na základě plné moci)</w:t>
      </w:r>
    </w:p>
    <w:p>
      <w:pPr>
        <w:pStyle w:val="Style10"/>
        <w:keepNext w:val="0"/>
        <w:keepLines w:val="0"/>
        <w:widowControl w:val="0"/>
        <w:shd w:val="clear" w:color="auto" w:fill="auto"/>
        <w:bidi w:val="0"/>
        <w:spacing w:before="0" w:after="60" w:line="240" w:lineRule="auto"/>
        <w:ind w:left="2440" w:right="0" w:firstLine="20"/>
        <w:jc w:val="left"/>
      </w:pPr>
      <w:r>
        <w:rPr>
          <w:rStyle w:val="CharStyle11"/>
        </w:rPr>
        <w:t>Name/Jméno:</w:t>
      </w:r>
    </w:p>
    <w:p>
      <w:pPr>
        <w:pStyle w:val="Style10"/>
        <w:keepNext w:val="0"/>
        <w:keepLines w:val="0"/>
        <w:widowControl w:val="0"/>
        <w:shd w:val="clear" w:color="auto" w:fill="auto"/>
        <w:bidi w:val="0"/>
        <w:spacing w:before="0" w:after="360" w:line="240" w:lineRule="auto"/>
        <w:ind w:left="2440" w:right="0" w:firstLine="20"/>
        <w:jc w:val="left"/>
      </w:pPr>
      <w:r>
        <w:rPr>
          <w:rStyle w:val="CharStyle11"/>
        </w:rPr>
        <w:t>Title/Pozice: by Power of Attorney / na základě plné moci</w:t>
      </w:r>
    </w:p>
    <w:p>
      <w:pPr>
        <w:pStyle w:val="Style10"/>
        <w:keepNext w:val="0"/>
        <w:keepLines w:val="0"/>
        <w:widowControl w:val="0"/>
        <w:shd w:val="clear" w:color="auto" w:fill="auto"/>
        <w:tabs>
          <w:tab w:leader="underscore" w:pos="7414" w:val="left"/>
        </w:tabs>
        <w:bidi w:val="0"/>
        <w:spacing w:before="0" w:after="1580" w:line="240" w:lineRule="auto"/>
        <w:ind w:left="2440" w:right="0" w:firstLine="20"/>
        <w:jc w:val="left"/>
      </w:pPr>
      <w:r>
        <w:rPr>
          <w:rStyle w:val="CharStyle11"/>
        </w:rPr>
        <w:t>Dated/Datum:</w:t>
        <w:tab/>
      </w:r>
    </w:p>
    <w:p>
      <w:pPr>
        <w:pStyle w:val="Style10"/>
        <w:keepNext w:val="0"/>
        <w:keepLines w:val="0"/>
        <w:widowControl w:val="0"/>
        <w:shd w:val="clear" w:color="auto" w:fill="auto"/>
        <w:bidi w:val="0"/>
        <w:spacing w:before="0" w:after="60" w:line="240" w:lineRule="auto"/>
        <w:ind w:left="2440" w:right="0" w:firstLine="20"/>
        <w:jc w:val="left"/>
      </w:pPr>
      <w:r>
        <w:rPr>
          <w:rStyle w:val="CharStyle11"/>
        </w:rPr>
        <w:t>Name/Jméno:</w:t>
      </w:r>
    </w:p>
    <w:p>
      <w:pPr>
        <w:pStyle w:val="Style10"/>
        <w:keepNext w:val="0"/>
        <w:keepLines w:val="0"/>
        <w:widowControl w:val="0"/>
        <w:shd w:val="clear" w:color="auto" w:fill="auto"/>
        <w:bidi w:val="0"/>
        <w:spacing w:before="0" w:after="360" w:line="240" w:lineRule="auto"/>
        <w:ind w:left="2440" w:right="0" w:firstLine="20"/>
        <w:jc w:val="left"/>
      </w:pPr>
      <w:r>
        <w:rPr>
          <w:rStyle w:val="CharStyle11"/>
        </w:rPr>
        <w:t>Title/Pozice: by Power of Attorney / na základě plné moci</w:t>
      </w:r>
    </w:p>
    <w:p>
      <w:pPr>
        <w:pStyle w:val="Style10"/>
        <w:keepNext w:val="0"/>
        <w:keepLines w:val="0"/>
        <w:widowControl w:val="0"/>
        <w:shd w:val="clear" w:color="auto" w:fill="auto"/>
        <w:tabs>
          <w:tab w:leader="underscore" w:pos="7414" w:val="left"/>
        </w:tabs>
        <w:bidi w:val="0"/>
        <w:spacing w:before="0" w:after="360" w:line="240" w:lineRule="auto"/>
        <w:ind w:left="2440" w:right="0" w:firstLine="20"/>
        <w:jc w:val="left"/>
        <w:sectPr>
          <w:footnotePr>
            <w:pos w:val="pageBottom"/>
            <w:numFmt w:val="decimal"/>
            <w:numRestart w:val="continuous"/>
          </w:footnotePr>
          <w:pgSz w:w="11900" w:h="16840"/>
          <w:pgMar w:top="1647" w:right="1363" w:bottom="5617" w:left="1335" w:header="0" w:footer="3" w:gutter="0"/>
          <w:cols w:space="720"/>
          <w:noEndnote/>
          <w:rtlGutter w:val="0"/>
          <w:docGrid w:linePitch="360"/>
        </w:sectPr>
      </w:pPr>
      <w:r>
        <w:rPr>
          <w:rStyle w:val="CharStyle11"/>
        </w:rPr>
        <w:t>Dated/Datum:</w:t>
        <w:tab/>
      </w:r>
    </w:p>
    <w:p>
      <w:pPr>
        <w:widowControl w:val="0"/>
        <w:spacing w:line="1" w:lineRule="exact"/>
      </w:pPr>
      <w:r>
        <mc:AlternateContent>
          <mc:Choice Requires="wps">
            <w:drawing>
              <wp:anchor distT="0" distB="0" distL="114300" distR="114300" simplePos="0" relativeHeight="125829386" behindDoc="0" locked="0" layoutInCell="1" allowOverlap="1">
                <wp:simplePos x="0" y="0"/>
                <wp:positionH relativeFrom="page">
                  <wp:posOffset>3944620</wp:posOffset>
                </wp:positionH>
                <wp:positionV relativeFrom="paragraph">
                  <wp:posOffset>12700</wp:posOffset>
                </wp:positionV>
                <wp:extent cx="1447800" cy="377825"/>
                <wp:wrapSquare wrapText="left"/>
                <wp:docPr id="16" name="Shape 16"/>
                <a:graphic xmlns:a="http://schemas.openxmlformats.org/drawingml/2006/main">
                  <a:graphicData uri="http://schemas.microsoft.com/office/word/2010/wordprocessingShape">
                    <wps:wsp>
                      <wps:cNvSpPr txBox="1"/>
                      <wps:spPr>
                        <a:xfrm>
                          <a:ext cx="1447800" cy="377825"/>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left"/>
                              <w:rPr>
                                <w:sz w:val="22"/>
                                <w:szCs w:val="22"/>
                              </w:rPr>
                            </w:pPr>
                            <w:r>
                              <w:rPr>
                                <w:rStyle w:val="CharStyle3"/>
                                <w:b/>
                                <w:bCs/>
                                <w:sz w:val="22"/>
                                <w:szCs w:val="22"/>
                              </w:rPr>
                              <w:t>PŘÍLOHA A</w:t>
                            </w:r>
                          </w:p>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b/>
                                <w:bCs/>
                                <w:sz w:val="22"/>
                                <w:szCs w:val="22"/>
                              </w:rPr>
                              <w:t>FINANČNÍ UJEDNÁNÍ</w:t>
                            </w:r>
                          </w:p>
                        </w:txbxContent>
                      </wps:txbx>
                      <wps:bodyPr lIns="0" tIns="0" rIns="0" bIns="0">
                        <a:noAutoFit/>
                      </wps:bodyPr>
                    </wps:wsp>
                  </a:graphicData>
                </a:graphic>
              </wp:anchor>
            </w:drawing>
          </mc:Choice>
          <mc:Fallback>
            <w:pict>
              <v:shape id="_x0000_s1042" type="#_x0000_t202" style="position:absolute;margin-left:310.60000000000002pt;margin-top:1.pt;width:114.pt;height:29.75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rPr>
                          <w:sz w:val="22"/>
                          <w:szCs w:val="22"/>
                        </w:rPr>
                      </w:pPr>
                      <w:r>
                        <w:rPr>
                          <w:rStyle w:val="CharStyle3"/>
                          <w:b/>
                          <w:bCs/>
                          <w:sz w:val="22"/>
                          <w:szCs w:val="22"/>
                        </w:rPr>
                        <w:t>PŘÍLOHA A</w:t>
                      </w:r>
                    </w:p>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b/>
                          <w:bCs/>
                          <w:sz w:val="22"/>
                          <w:szCs w:val="22"/>
                        </w:rPr>
                        <w:t>FINANČNÍ UJEDNÁNÍ</w:t>
                      </w:r>
                    </w:p>
                  </w:txbxContent>
                </v:textbox>
                <w10:wrap type="square" side="left" anchorx="page"/>
              </v:shape>
            </w:pict>
          </mc:Fallback>
        </mc:AlternateContent>
      </w:r>
    </w:p>
    <w:p>
      <w:pPr>
        <w:pStyle w:val="Style15"/>
        <w:keepNext/>
        <w:keepLines/>
        <w:widowControl w:val="0"/>
        <w:shd w:val="clear" w:color="auto" w:fill="auto"/>
        <w:bidi w:val="0"/>
        <w:spacing w:before="0" w:after="0" w:line="288" w:lineRule="auto"/>
        <w:ind w:left="0" w:right="0" w:firstLine="0"/>
        <w:jc w:val="left"/>
        <w:sectPr>
          <w:footnotePr>
            <w:pos w:val="pageBottom"/>
            <w:numFmt w:val="decimal"/>
            <w:numRestart w:val="continuous"/>
          </w:footnotePr>
          <w:pgSz w:w="11900" w:h="16840"/>
          <w:pgMar w:top="2022" w:right="1469" w:bottom="1556" w:left="1230" w:header="0" w:footer="3" w:gutter="0"/>
          <w:cols w:space="720"/>
          <w:noEndnote/>
          <w:rtlGutter w:val="0"/>
          <w:docGrid w:linePitch="360"/>
        </w:sectPr>
      </w:pPr>
      <w:bookmarkStart w:id="4" w:name="bookmark4"/>
      <w:r>
        <w:rPr>
          <w:rStyle w:val="CharStyle16"/>
          <w:b/>
          <w:bCs/>
        </w:rPr>
        <w:t>ATTACHMENT A FINANCIAL ARRANGEMENTS</w:t>
      </w:r>
      <w:bookmarkEnd w:id="4"/>
    </w:p>
    <w:p>
      <w:pPr>
        <w:widowControl w:val="0"/>
        <w:spacing w:line="140" w:lineRule="exact"/>
        <w:rPr>
          <w:sz w:val="11"/>
          <w:szCs w:val="11"/>
        </w:rPr>
      </w:pPr>
    </w:p>
    <w:p>
      <w:pPr>
        <w:widowControl w:val="0"/>
        <w:spacing w:line="1" w:lineRule="exact"/>
        <w:sectPr>
          <w:footnotePr>
            <w:pos w:val="pageBottom"/>
            <w:numFmt w:val="decimal"/>
            <w:numRestart w:val="continuous"/>
          </w:footnotePr>
          <w:type w:val="continuous"/>
          <w:pgSz w:w="11900" w:h="16840"/>
          <w:pgMar w:top="2022" w:right="0" w:bottom="1556" w:left="0" w:header="0" w:footer="3" w:gutter="0"/>
          <w:cols w:space="720"/>
          <w:noEndnote/>
          <w:rtlGutter w:val="0"/>
          <w:docGrid w:linePitch="360"/>
        </w:sectPr>
      </w:pPr>
    </w:p>
    <w:p>
      <w:pPr>
        <w:pStyle w:val="Style15"/>
        <w:keepNext/>
        <w:keepLines/>
        <w:widowControl w:val="0"/>
        <w:numPr>
          <w:ilvl w:val="0"/>
          <w:numId w:val="7"/>
        </w:numPr>
        <w:shd w:val="clear" w:color="auto" w:fill="auto"/>
        <w:tabs>
          <w:tab w:pos="708" w:val="left"/>
        </w:tabs>
        <w:bidi w:val="0"/>
        <w:spacing w:before="0" w:line="288" w:lineRule="auto"/>
        <w:ind w:left="0" w:right="0" w:firstLine="0"/>
        <w:jc w:val="both"/>
      </w:pPr>
      <w:bookmarkStart w:id="6" w:name="bookmark6"/>
      <w:r>
        <w:rPr>
          <w:rStyle w:val="CharStyle16"/>
          <w:b/>
          <w:bCs/>
        </w:rPr>
        <w:t>FEES</w:t>
      </w:r>
      <w:bookmarkEnd w:id="6"/>
    </w:p>
    <w:p>
      <w:pPr>
        <w:pStyle w:val="Style10"/>
        <w:keepNext w:val="0"/>
        <w:keepLines w:val="0"/>
        <w:widowControl w:val="0"/>
        <w:numPr>
          <w:ilvl w:val="0"/>
          <w:numId w:val="9"/>
        </w:numPr>
        <w:shd w:val="clear" w:color="auto" w:fill="auto"/>
        <w:tabs>
          <w:tab w:pos="708" w:val="left"/>
        </w:tabs>
        <w:bidi w:val="0"/>
        <w:spacing w:before="0" w:after="0" w:line="331" w:lineRule="auto"/>
        <w:ind w:left="0" w:right="0" w:firstLine="0"/>
        <w:jc w:val="both"/>
      </w:pPr>
      <w:r>
        <w:rPr>
          <w:rStyle w:val="CharStyle11"/>
        </w:rPr>
        <w:t>The compensation to be paid under the</w:t>
      </w:r>
    </w:p>
    <w:p>
      <w:pPr>
        <w:pStyle w:val="Style10"/>
        <w:keepNext w:val="0"/>
        <w:keepLines w:val="0"/>
        <w:widowControl w:val="0"/>
        <w:shd w:val="clear" w:color="auto" w:fill="auto"/>
        <w:bidi w:val="0"/>
        <w:spacing w:before="0" w:after="400" w:line="331" w:lineRule="auto"/>
        <w:ind w:left="0" w:right="0" w:firstLine="0"/>
        <w:jc w:val="both"/>
      </w:pPr>
      <w:r>
        <w:rPr>
          <w:rStyle w:val="CharStyle11"/>
        </w:rPr>
        <w:t>Agreement is defined in the Annex attached hereto.</w:t>
      </w:r>
    </w:p>
    <w:p>
      <w:pPr>
        <w:pStyle w:val="Style10"/>
        <w:keepNext w:val="0"/>
        <w:keepLines w:val="0"/>
        <w:widowControl w:val="0"/>
        <w:numPr>
          <w:ilvl w:val="0"/>
          <w:numId w:val="9"/>
        </w:numPr>
        <w:shd w:val="clear" w:color="auto" w:fill="auto"/>
        <w:tabs>
          <w:tab w:pos="708" w:val="left"/>
        </w:tabs>
        <w:bidi w:val="0"/>
        <w:spacing w:before="0" w:after="500" w:line="331" w:lineRule="auto"/>
        <w:ind w:left="0" w:right="0" w:firstLine="0"/>
        <w:jc w:val="both"/>
      </w:pPr>
      <w:r>
        <w:rPr>
          <w:rStyle w:val="CharStyle11"/>
        </w:rPr>
        <w:t>All amounts defined in the Agreement are exclusive of VAT, which will be added, if applicable.</w:t>
      </w:r>
    </w:p>
    <w:p>
      <w:pPr>
        <w:pStyle w:val="Style15"/>
        <w:keepNext/>
        <w:keepLines/>
        <w:widowControl w:val="0"/>
        <w:numPr>
          <w:ilvl w:val="0"/>
          <w:numId w:val="7"/>
        </w:numPr>
        <w:shd w:val="clear" w:color="auto" w:fill="auto"/>
        <w:tabs>
          <w:tab w:pos="708" w:val="left"/>
        </w:tabs>
        <w:bidi w:val="0"/>
        <w:spacing w:before="0" w:line="283" w:lineRule="auto"/>
        <w:ind w:left="0" w:right="0" w:firstLine="0"/>
        <w:jc w:val="both"/>
      </w:pPr>
      <w:bookmarkStart w:id="8" w:name="bookmark8"/>
      <w:r>
        <w:rPr>
          <w:rStyle w:val="CharStyle16"/>
          <w:b/>
          <w:bCs/>
        </w:rPr>
        <w:t>INVOICING</w:t>
      </w:r>
      <w:bookmarkEnd w:id="8"/>
    </w:p>
    <w:p>
      <w:pPr>
        <w:pStyle w:val="Style10"/>
        <w:keepNext w:val="0"/>
        <w:keepLines w:val="0"/>
        <w:widowControl w:val="0"/>
        <w:numPr>
          <w:ilvl w:val="0"/>
          <w:numId w:val="11"/>
        </w:numPr>
        <w:shd w:val="clear" w:color="auto" w:fill="auto"/>
        <w:tabs>
          <w:tab w:pos="708" w:val="left"/>
        </w:tabs>
        <w:bidi w:val="0"/>
        <w:spacing w:before="0" w:after="720"/>
        <w:ind w:left="0" w:right="0" w:firstLine="0"/>
        <w:jc w:val="both"/>
      </w:pPr>
      <w:r>
        <w:rPr>
          <w:rStyle w:val="CharStyle11"/>
        </w:rPr>
        <w:t xml:space="preserve">For the fees where the invoicing process is initiated by PSI, PSI shall send quarterly overviews to the Institution, setting out the amounts earned by the Institution, based on the Study visits and Study procedures completed and the Study data reported in compliance with this Agreement (each a </w:t>
      </w:r>
      <w:r>
        <w:rPr>
          <w:rStyle w:val="CharStyle11"/>
          <w:b/>
          <w:bCs/>
        </w:rPr>
        <w:t xml:space="preserve">“Quarterly OverView"). </w:t>
      </w:r>
      <w:r>
        <w:rPr>
          <w:rStyle w:val="CharStyle11"/>
        </w:rPr>
        <w:t>If the Institution agrees with the Quarterly OverView, the Institution shall issue an invoice for the amount indicated in the Quarterly OverView, converted into CZK, using the conversion rate of the local national bank on the dáte of invoicing.</w:t>
      </w:r>
    </w:p>
    <w:p>
      <w:pPr>
        <w:pStyle w:val="Style10"/>
        <w:keepNext w:val="0"/>
        <w:keepLines w:val="0"/>
        <w:widowControl w:val="0"/>
        <w:numPr>
          <w:ilvl w:val="0"/>
          <w:numId w:val="11"/>
        </w:numPr>
        <w:shd w:val="clear" w:color="auto" w:fill="auto"/>
        <w:tabs>
          <w:tab w:pos="708" w:val="left"/>
        </w:tabs>
        <w:bidi w:val="0"/>
        <w:spacing w:before="0" w:after="1000" w:line="331" w:lineRule="auto"/>
        <w:ind w:left="0" w:right="0" w:firstLine="0"/>
        <w:jc w:val="both"/>
      </w:pPr>
      <w:r>
        <w:rPr>
          <w:rStyle w:val="CharStyle11"/>
        </w:rPr>
        <w:t>For the fees where the invoicing process is initiated by the Institution, the Institution shall invoice these items not later than thirty (30) days after they become invoiceable, converted as described above.</w:t>
      </w:r>
    </w:p>
    <w:p>
      <w:pPr>
        <w:pStyle w:val="Style10"/>
        <w:keepNext w:val="0"/>
        <w:keepLines w:val="0"/>
        <w:widowControl w:val="0"/>
        <w:numPr>
          <w:ilvl w:val="0"/>
          <w:numId w:val="11"/>
        </w:numPr>
        <w:shd w:val="clear" w:color="auto" w:fill="auto"/>
        <w:tabs>
          <w:tab w:pos="708" w:val="left"/>
        </w:tabs>
        <w:bidi w:val="0"/>
        <w:spacing w:before="0" w:after="0"/>
        <w:ind w:left="0" w:right="0" w:firstLine="0"/>
        <w:jc w:val="both"/>
      </w:pPr>
      <w:r>
        <w:rPr>
          <w:rStyle w:val="CharStyle11"/>
        </w:rPr>
        <w:t>The lnstitution’s invoice shall comply with tax requirements and indicate the Protocol number. The Institution shall issue the finál invoice not later than thirty (30) days after the closeout visit to the Institution.</w:t>
      </w:r>
    </w:p>
    <w:p>
      <w:pPr>
        <w:pStyle w:val="Style15"/>
        <w:keepNext/>
        <w:keepLines/>
        <w:widowControl w:val="0"/>
        <w:numPr>
          <w:ilvl w:val="0"/>
          <w:numId w:val="13"/>
        </w:numPr>
        <w:shd w:val="clear" w:color="auto" w:fill="auto"/>
        <w:tabs>
          <w:tab w:pos="695" w:val="left"/>
        </w:tabs>
        <w:bidi w:val="0"/>
        <w:spacing w:before="0" w:after="120"/>
        <w:ind w:left="0" w:right="0" w:firstLine="0"/>
        <w:jc w:val="both"/>
      </w:pPr>
      <w:bookmarkStart w:id="10" w:name="bookmark10"/>
      <w:r>
        <w:rPr>
          <w:rStyle w:val="CharStyle16"/>
          <w:b/>
          <w:bCs/>
        </w:rPr>
        <w:t>POPLATKY</w:t>
      </w:r>
      <w:bookmarkEnd w:id="10"/>
    </w:p>
    <w:p>
      <w:pPr>
        <w:pStyle w:val="Style10"/>
        <w:keepNext w:val="0"/>
        <w:keepLines w:val="0"/>
        <w:widowControl w:val="0"/>
        <w:numPr>
          <w:ilvl w:val="0"/>
          <w:numId w:val="15"/>
        </w:numPr>
        <w:shd w:val="clear" w:color="auto" w:fill="auto"/>
        <w:tabs>
          <w:tab w:pos="695" w:val="left"/>
        </w:tabs>
        <w:bidi w:val="0"/>
        <w:spacing w:before="0" w:line="326" w:lineRule="auto"/>
        <w:ind w:left="0" w:right="0" w:firstLine="0"/>
        <w:jc w:val="both"/>
      </w:pPr>
      <w:r>
        <w:rPr>
          <w:rStyle w:val="CharStyle11"/>
        </w:rPr>
        <w:t>Kompenzaci, která má být na základě této Smlouvy vyplacena, stanovuje níže připojená Příloha k finančním ujednáním.</w:t>
      </w:r>
    </w:p>
    <w:p>
      <w:pPr>
        <w:pStyle w:val="Style10"/>
        <w:keepNext w:val="0"/>
        <w:keepLines w:val="0"/>
        <w:widowControl w:val="0"/>
        <w:numPr>
          <w:ilvl w:val="0"/>
          <w:numId w:val="15"/>
        </w:numPr>
        <w:shd w:val="clear" w:color="auto" w:fill="auto"/>
        <w:tabs>
          <w:tab w:pos="695" w:val="left"/>
        </w:tabs>
        <w:bidi w:val="0"/>
        <w:spacing w:before="0" w:after="200" w:line="331" w:lineRule="auto"/>
        <w:ind w:left="0" w:right="0" w:firstLine="0"/>
        <w:jc w:val="both"/>
      </w:pPr>
      <w:r>
        <w:rPr>
          <w:rStyle w:val="CharStyle11"/>
        </w:rPr>
        <w:t>Všechny částky stanovené v těchto Finančních ujednáních jsou bez DPH, která bude případně připočítána.</w:t>
      </w:r>
    </w:p>
    <w:p>
      <w:pPr>
        <w:pStyle w:val="Style15"/>
        <w:keepNext/>
        <w:keepLines/>
        <w:widowControl w:val="0"/>
        <w:numPr>
          <w:ilvl w:val="0"/>
          <w:numId w:val="13"/>
        </w:numPr>
        <w:shd w:val="clear" w:color="auto" w:fill="auto"/>
        <w:tabs>
          <w:tab w:pos="695" w:val="left"/>
        </w:tabs>
        <w:bidi w:val="0"/>
        <w:spacing w:before="0" w:after="120"/>
        <w:ind w:left="0" w:right="0" w:firstLine="0"/>
        <w:jc w:val="both"/>
      </w:pPr>
      <w:bookmarkStart w:id="12" w:name="bookmark12"/>
      <w:r>
        <w:rPr>
          <w:rStyle w:val="CharStyle16"/>
          <w:b/>
          <w:bCs/>
        </w:rPr>
        <w:t>FAKTURACE</w:t>
      </w:r>
      <w:bookmarkEnd w:id="12"/>
    </w:p>
    <w:p>
      <w:pPr>
        <w:pStyle w:val="Style10"/>
        <w:keepNext w:val="0"/>
        <w:keepLines w:val="0"/>
        <w:widowControl w:val="0"/>
        <w:numPr>
          <w:ilvl w:val="0"/>
          <w:numId w:val="17"/>
        </w:numPr>
        <w:shd w:val="clear" w:color="auto" w:fill="auto"/>
        <w:tabs>
          <w:tab w:pos="695" w:val="left"/>
        </w:tabs>
        <w:bidi w:val="0"/>
        <w:spacing w:before="0"/>
        <w:ind w:left="0" w:right="0" w:firstLine="0"/>
        <w:jc w:val="both"/>
      </w:pPr>
      <w:r>
        <w:rPr>
          <w:rStyle w:val="CharStyle11"/>
        </w:rPr>
        <w:t xml:space="preserve">V případě poplatků, u kterých fakturační proces iniciuje PSI, bude PSI zasílat čtvrtletní přehledy Zdravotnickému zařízení, v nichž budou uvedeny částky připadající Zdravotnickému zařízení na základě provedených Studijních návštěv a Studijních procedur a odevzdaných Studijních údajů v souladu s touto Smlouvou (vždy </w:t>
      </w:r>
      <w:r>
        <w:rPr>
          <w:rStyle w:val="CharStyle11"/>
          <w:b/>
          <w:bCs/>
        </w:rPr>
        <w:t xml:space="preserve">„Čtvrtletní přehled“). </w:t>
      </w:r>
      <w:r>
        <w:rPr>
          <w:rStyle w:val="CharStyle11"/>
        </w:rPr>
        <w:t>Pokud Zdravotnické zařízeni se Čtvrtletním přehledem souhlasí, vystaví fakturu na částku uvedenou ve Čtvrtletním přehledu, převedenou na Kč za použití kurzu ČNB ke dni vystavení faktury.</w:t>
      </w:r>
    </w:p>
    <w:p>
      <w:pPr>
        <w:pStyle w:val="Style10"/>
        <w:keepNext w:val="0"/>
        <w:keepLines w:val="0"/>
        <w:widowControl w:val="0"/>
        <w:numPr>
          <w:ilvl w:val="0"/>
          <w:numId w:val="17"/>
        </w:numPr>
        <w:shd w:val="clear" w:color="auto" w:fill="auto"/>
        <w:tabs>
          <w:tab w:pos="695" w:val="left"/>
        </w:tabs>
        <w:bidi w:val="0"/>
        <w:spacing w:before="0"/>
        <w:ind w:left="0" w:right="0" w:firstLine="0"/>
        <w:jc w:val="both"/>
      </w:pPr>
      <w:r>
        <w:rPr>
          <w:rStyle w:val="CharStyle11"/>
        </w:rPr>
        <w:t>V případě poplatků, u kterých fakturační proces iniciuje Zdravotnické zařízení, vystavuje Zdravotnické zařízení fakturu na tyto položky nejpozději třicet (30) dnů od okamžiku, kdy se stanou fakturovatelnými, převedené dle výše uvedeného popisu.</w:t>
      </w:r>
    </w:p>
    <w:p>
      <w:pPr>
        <w:pStyle w:val="Style10"/>
        <w:keepNext w:val="0"/>
        <w:keepLines w:val="0"/>
        <w:widowControl w:val="0"/>
        <w:numPr>
          <w:ilvl w:val="0"/>
          <w:numId w:val="17"/>
        </w:numPr>
        <w:shd w:val="clear" w:color="auto" w:fill="auto"/>
        <w:tabs>
          <w:tab w:pos="695" w:val="left"/>
        </w:tabs>
        <w:bidi w:val="0"/>
        <w:spacing w:before="0" w:after="0"/>
        <w:ind w:left="0" w:right="0" w:firstLine="0"/>
        <w:jc w:val="both"/>
        <w:sectPr>
          <w:footnotePr>
            <w:pos w:val="pageBottom"/>
            <w:numFmt w:val="decimal"/>
            <w:numRestart w:val="continuous"/>
          </w:footnotePr>
          <w:type w:val="continuous"/>
          <w:pgSz w:w="11900" w:h="16840"/>
          <w:pgMar w:top="2022" w:right="1460" w:bottom="1556" w:left="1230" w:header="0" w:footer="3" w:gutter="0"/>
          <w:cols w:num="2" w:space="720" w:equalWidth="0">
            <w:col w:w="4805" w:space="168"/>
            <w:col w:w="4238"/>
          </w:cols>
          <w:noEndnote/>
          <w:rtlGutter w:val="0"/>
          <w:docGrid w:linePitch="360"/>
        </w:sectPr>
      </w:pPr>
      <w:r>
        <w:rPr>
          <w:rStyle w:val="CharStyle11"/>
        </w:rPr>
        <w:t>Faktury Zdravotnického zařízení musejí splňovat daňové požadavky a uvádět číslo Protokolu. Konečnou fakturu vystaví Zdravotnické zařízení nejpozději třicet (30) dnů od závěrečné návštěvy Zdravotnického zařízení.</w:t>
      </w:r>
    </w:p>
    <w:p>
      <w:pPr>
        <w:widowControl w:val="0"/>
        <w:spacing w:line="41" w:lineRule="exact"/>
        <w:rPr>
          <w:sz w:val="3"/>
          <w:szCs w:val="3"/>
        </w:rPr>
      </w:pPr>
    </w:p>
    <w:p>
      <w:pPr>
        <w:widowControl w:val="0"/>
        <w:spacing w:line="1" w:lineRule="exact"/>
        <w:sectPr>
          <w:footnotePr>
            <w:pos w:val="pageBottom"/>
            <w:numFmt w:val="decimal"/>
            <w:numRestart w:val="continuous"/>
          </w:footnotePr>
          <w:type w:val="continuous"/>
          <w:pgSz w:w="11900" w:h="16840"/>
          <w:pgMar w:top="1618" w:right="0" w:bottom="1556" w:left="0" w:header="0" w:footer="3" w:gutter="0"/>
          <w:cols w:space="720"/>
          <w:noEndnote/>
          <w:rtlGutter w:val="0"/>
          <w:docGrid w:linePitch="360"/>
        </w:sectPr>
      </w:pPr>
    </w:p>
    <w:p>
      <w:pPr>
        <w:pStyle w:val="Style15"/>
        <w:keepNext/>
        <w:keepLines/>
        <w:widowControl w:val="0"/>
        <w:numPr>
          <w:ilvl w:val="0"/>
          <w:numId w:val="19"/>
        </w:numPr>
        <w:shd w:val="clear" w:color="auto" w:fill="auto"/>
        <w:tabs>
          <w:tab w:pos="686" w:val="left"/>
        </w:tabs>
        <w:bidi w:val="0"/>
        <w:spacing w:before="0" w:after="180" w:line="240" w:lineRule="auto"/>
        <w:ind w:left="0" w:right="0" w:firstLine="0"/>
        <w:jc w:val="left"/>
      </w:pPr>
      <w:bookmarkStart w:id="14" w:name="bookmark14"/>
      <w:r>
        <w:rPr>
          <w:rStyle w:val="CharStyle16"/>
          <w:b/>
          <w:bCs/>
        </w:rPr>
        <w:t>PAYMENTS</w:t>
      </w:r>
      <w:bookmarkEnd w:id="14"/>
    </w:p>
    <w:p>
      <w:pPr>
        <w:pStyle w:val="Style10"/>
        <w:keepNext w:val="0"/>
        <w:keepLines w:val="0"/>
        <w:widowControl w:val="0"/>
        <w:shd w:val="clear" w:color="auto" w:fill="auto"/>
        <w:tabs>
          <w:tab w:pos="686" w:val="left"/>
        </w:tabs>
        <w:bidi w:val="0"/>
        <w:spacing w:before="0" w:after="80" w:line="240" w:lineRule="auto"/>
        <w:ind w:left="0" w:right="0" w:firstLine="0"/>
        <w:jc w:val="left"/>
      </w:pPr>
      <w:r>
        <w:rPr>
          <w:rStyle w:val="CharStyle11"/>
        </w:rPr>
        <w:t>a)</w:t>
        <w:tab/>
        <w:t>PSI shall make the payments in CZK within</w:t>
      </w:r>
    </w:p>
    <w:p>
      <w:pPr>
        <w:pStyle w:val="Style10"/>
        <w:keepNext w:val="0"/>
        <w:keepLines w:val="0"/>
        <w:widowControl w:val="0"/>
        <w:shd w:val="clear" w:color="auto" w:fill="auto"/>
        <w:bidi w:val="0"/>
        <w:spacing w:before="0" w:line="240" w:lineRule="auto"/>
        <w:ind w:left="0" w:right="0" w:firstLine="0"/>
        <w:jc w:val="both"/>
      </w:pPr>
      <w:r>
        <w:rPr>
          <w:rStyle w:val="CharStyle11"/>
        </w:rPr>
        <w:t>thirty (30) days after receipt of the undisputed invoice.</w:t>
      </w:r>
    </w:p>
    <w:p>
      <w:pPr>
        <w:pStyle w:val="Style15"/>
        <w:keepNext/>
        <w:keepLines/>
        <w:widowControl w:val="0"/>
        <w:numPr>
          <w:ilvl w:val="0"/>
          <w:numId w:val="13"/>
        </w:numPr>
        <w:shd w:val="clear" w:color="auto" w:fill="auto"/>
        <w:tabs>
          <w:tab w:pos="658" w:val="left"/>
        </w:tabs>
        <w:bidi w:val="0"/>
        <w:spacing w:before="0" w:after="180" w:line="240" w:lineRule="auto"/>
        <w:ind w:left="0" w:right="0" w:firstLine="0"/>
        <w:jc w:val="left"/>
      </w:pPr>
      <w:bookmarkStart w:id="16" w:name="bookmark16"/>
      <w:r>
        <w:rPr>
          <w:rStyle w:val="CharStyle16"/>
          <w:b/>
          <w:bCs/>
        </w:rPr>
        <w:t>PLATBY</w:t>
      </w:r>
      <w:bookmarkEnd w:id="16"/>
    </w:p>
    <w:p>
      <w:pPr>
        <w:pStyle w:val="Style10"/>
        <w:keepNext w:val="0"/>
        <w:keepLines w:val="0"/>
        <w:widowControl w:val="0"/>
        <w:numPr>
          <w:ilvl w:val="0"/>
          <w:numId w:val="21"/>
        </w:numPr>
        <w:shd w:val="clear" w:color="auto" w:fill="auto"/>
        <w:tabs>
          <w:tab w:pos="658" w:val="left"/>
        </w:tabs>
        <w:bidi w:val="0"/>
        <w:spacing w:before="0" w:after="60" w:line="240" w:lineRule="auto"/>
        <w:ind w:left="0" w:right="0" w:firstLine="0"/>
        <w:jc w:val="left"/>
      </w:pPr>
      <w:r>
        <w:rPr>
          <w:rStyle w:val="CharStyle11"/>
        </w:rPr>
        <w:t>PSI provede platby v Kč do třiceti (30)</w:t>
      </w:r>
    </w:p>
    <w:p>
      <w:pPr>
        <w:pStyle w:val="Style10"/>
        <w:keepNext w:val="0"/>
        <w:keepLines w:val="0"/>
        <w:widowControl w:val="0"/>
        <w:shd w:val="clear" w:color="auto" w:fill="auto"/>
        <w:bidi w:val="0"/>
        <w:spacing w:before="0" w:line="240" w:lineRule="auto"/>
        <w:ind w:left="0" w:right="0" w:firstLine="0"/>
        <w:jc w:val="left"/>
      </w:pPr>
      <w:r>
        <w:rPr>
          <w:rStyle w:val="CharStyle11"/>
        </w:rPr>
        <w:t>dnů od obdržení nesporné faktury.</w:t>
      </w:r>
    </w:p>
    <w:p>
      <w:pPr>
        <w:pStyle w:val="Style10"/>
        <w:keepNext w:val="0"/>
        <w:keepLines w:val="0"/>
        <w:widowControl w:val="0"/>
        <w:numPr>
          <w:ilvl w:val="0"/>
          <w:numId w:val="21"/>
        </w:numPr>
        <w:shd w:val="clear" w:color="auto" w:fill="auto"/>
        <w:tabs>
          <w:tab w:pos="730" w:val="left"/>
        </w:tabs>
        <w:bidi w:val="0"/>
        <w:spacing w:before="0"/>
        <w:ind w:left="0" w:right="0" w:firstLine="0"/>
        <w:jc w:val="both"/>
      </w:pPr>
      <w:r>
        <w:rPr>
          <w:rStyle w:val="CharStyle11"/>
        </w:rPr>
        <w:t>PSI will only accept making payments to bank accounts located in the country where the Services under this Agreement háve been performed.</w:t>
      </w:r>
    </w:p>
    <w:p>
      <w:pPr>
        <w:pStyle w:val="Style10"/>
        <w:keepNext w:val="0"/>
        <w:keepLines w:val="0"/>
        <w:widowControl w:val="0"/>
        <w:numPr>
          <w:ilvl w:val="0"/>
          <w:numId w:val="21"/>
        </w:numPr>
        <w:shd w:val="clear" w:color="auto" w:fill="auto"/>
        <w:tabs>
          <w:tab w:pos="730" w:val="left"/>
        </w:tabs>
        <w:bidi w:val="0"/>
        <w:spacing w:before="0" w:after="420" w:line="331" w:lineRule="auto"/>
        <w:ind w:left="0" w:right="0" w:firstLine="0"/>
        <w:jc w:val="both"/>
      </w:pPr>
      <w:r>
        <w:rPr>
          <w:rStyle w:val="CharStyle11"/>
        </w:rPr>
        <w:t>PSI shall be entitled to withhold the last payment until the Investigator has appropriately answered all data clarification requests, all Study Supplies and/or Study Drug has been returned/destroyed as per PSI instructions, and PSI has performed a closeout visit to the Institution.</w:t>
      </w:r>
    </w:p>
    <w:p>
      <w:pPr>
        <w:pStyle w:val="Style10"/>
        <w:keepNext w:val="0"/>
        <w:keepLines w:val="0"/>
        <w:widowControl w:val="0"/>
        <w:numPr>
          <w:ilvl w:val="0"/>
          <w:numId w:val="21"/>
        </w:numPr>
        <w:shd w:val="clear" w:color="auto" w:fill="auto"/>
        <w:tabs>
          <w:tab w:pos="730" w:val="left"/>
        </w:tabs>
        <w:bidi w:val="0"/>
        <w:spacing w:before="0" w:after="420"/>
        <w:ind w:left="0" w:right="0" w:firstLine="0"/>
        <w:jc w:val="both"/>
      </w:pPr>
      <w:r>
        <w:rPr>
          <w:rStyle w:val="CharStyle11"/>
        </w:rPr>
        <w:t>Any amounts not due to the Institution pursuant to this Agreement, but already paid, shall be returned without demand within thirty (30) days of the site close-out visit. Sponsor/PSI háve no obligation to pay invoices received more than (fořty five) 45 days after termination of this Agreement and/or the Study.</w:t>
      </w:r>
    </w:p>
    <w:p>
      <w:pPr>
        <w:pStyle w:val="Style10"/>
        <w:keepNext w:val="0"/>
        <w:keepLines w:val="0"/>
        <w:widowControl w:val="0"/>
        <w:numPr>
          <w:ilvl w:val="0"/>
          <w:numId w:val="21"/>
        </w:numPr>
        <w:shd w:val="clear" w:color="auto" w:fill="auto"/>
        <w:tabs>
          <w:tab w:pos="730" w:val="left"/>
        </w:tabs>
        <w:bidi w:val="0"/>
        <w:spacing w:before="0" w:after="420" w:line="331" w:lineRule="auto"/>
        <w:ind w:left="0" w:right="0" w:firstLine="0"/>
        <w:jc w:val="both"/>
      </w:pPr>
      <w:r>
        <w:rPr>
          <w:rStyle w:val="CharStyle11"/>
        </w:rPr>
        <w:t>The Institution acknowledges that the Sponsor or PSI may be required to publicly disclose payments made by PSI on behalf of the Sponsor pursuant to this Agreement, including the identity of the recipient, the nátuře of the Services and the value and nátuře of the payment.</w:t>
      </w:r>
    </w:p>
    <w:p>
      <w:pPr>
        <w:pStyle w:val="Style10"/>
        <w:keepNext w:val="0"/>
        <w:keepLines w:val="0"/>
        <w:widowControl w:val="0"/>
        <w:numPr>
          <w:ilvl w:val="0"/>
          <w:numId w:val="23"/>
        </w:numPr>
        <w:shd w:val="clear" w:color="auto" w:fill="auto"/>
        <w:tabs>
          <w:tab w:pos="686" w:val="left"/>
        </w:tabs>
        <w:bidi w:val="0"/>
        <w:spacing w:before="0"/>
        <w:ind w:left="0" w:right="0" w:firstLine="0"/>
        <w:jc w:val="both"/>
      </w:pPr>
      <w:r>
        <w:rPr>
          <w:rStyle w:val="CharStyle11"/>
        </w:rPr>
        <w:t>PSI povoluje zasílání plateb pouze na bankovní účty nacházející se v zemi, kde byly služby na základě této Smlouvy poskytovány.</w:t>
      </w:r>
    </w:p>
    <w:p>
      <w:pPr>
        <w:pStyle w:val="Style10"/>
        <w:keepNext w:val="0"/>
        <w:keepLines w:val="0"/>
        <w:widowControl w:val="0"/>
        <w:numPr>
          <w:ilvl w:val="0"/>
          <w:numId w:val="23"/>
        </w:numPr>
        <w:shd w:val="clear" w:color="auto" w:fill="auto"/>
        <w:tabs>
          <w:tab w:pos="686" w:val="left"/>
        </w:tabs>
        <w:bidi w:val="0"/>
        <w:spacing w:before="0"/>
        <w:ind w:left="0" w:right="0" w:firstLine="0"/>
        <w:jc w:val="both"/>
      </w:pPr>
      <w:r>
        <w:rPr>
          <w:rStyle w:val="CharStyle11"/>
        </w:rPr>
        <w:t>PSI má právo pozdržet poslední platbu, dokud Zkoušející náležitě nezodpoví veškeré žádosti o objasnění údajů, nedojde k vrácení/likvidaci veškerého Studijního materiálu a/nebo Studijního léku dle pokynů PSI a PSI nevykoná závěrečnou návštěvu ve Zdravotnickém zařízení.</w:t>
      </w:r>
    </w:p>
    <w:p>
      <w:pPr>
        <w:pStyle w:val="Style10"/>
        <w:keepNext w:val="0"/>
        <w:keepLines w:val="0"/>
        <w:widowControl w:val="0"/>
        <w:numPr>
          <w:ilvl w:val="0"/>
          <w:numId w:val="23"/>
        </w:numPr>
        <w:shd w:val="clear" w:color="auto" w:fill="auto"/>
        <w:tabs>
          <w:tab w:pos="686" w:val="left"/>
        </w:tabs>
        <w:bidi w:val="0"/>
        <w:spacing w:before="0"/>
        <w:ind w:left="0" w:right="0" w:firstLine="0"/>
        <w:jc w:val="both"/>
      </w:pPr>
      <w:r>
        <w:rPr>
          <w:rStyle w:val="CharStyle11"/>
        </w:rPr>
        <w:t>Veškeré částky, které Zdravotnickému zařízení nenáleží podle této Smlouvy, ale které již byly zaplaceny, budou vráceny bez žádosti do třiceti (30) dnů od uzavírací návštěvy centra. Zadavatel/PSI nejsou povinni uhradit faktury obdržené více než (čtyřicet pět) 45 dní po ukončení této Smlouvy a/nebo Studie.</w:t>
      </w:r>
    </w:p>
    <w:p>
      <w:pPr>
        <w:pStyle w:val="Style10"/>
        <w:keepNext w:val="0"/>
        <w:keepLines w:val="0"/>
        <w:widowControl w:val="0"/>
        <w:numPr>
          <w:ilvl w:val="0"/>
          <w:numId w:val="23"/>
        </w:numPr>
        <w:shd w:val="clear" w:color="auto" w:fill="auto"/>
        <w:tabs>
          <w:tab w:pos="686" w:val="left"/>
        </w:tabs>
        <w:bidi w:val="0"/>
        <w:spacing w:before="0"/>
        <w:ind w:left="0" w:right="0" w:firstLine="0"/>
        <w:jc w:val="both"/>
        <w:sectPr>
          <w:footnotePr>
            <w:pos w:val="pageBottom"/>
            <w:numFmt w:val="decimal"/>
            <w:numRestart w:val="continuous"/>
          </w:footnotePr>
          <w:type w:val="continuous"/>
          <w:pgSz w:w="11900" w:h="16840"/>
          <w:pgMar w:top="1618" w:right="1461" w:bottom="1556" w:left="1227" w:header="0" w:footer="3" w:gutter="0"/>
          <w:cols w:num="2" w:space="720" w:equalWidth="0">
            <w:col w:w="4813" w:space="170"/>
            <w:col w:w="4228"/>
          </w:cols>
          <w:noEndnote/>
          <w:rtlGutter w:val="0"/>
          <w:docGrid w:linePitch="360"/>
        </w:sectPr>
      </w:pPr>
      <w:r>
        <w:rPr>
          <w:rStyle w:val="CharStyle11"/>
        </w:rPr>
        <w:t>Zdravotnické zařízení bere na vědomí, že Zadavatel nebo společnost PSI mohou být povinni zveřejnit platby provedené společností PSI jménem Zadavatele na základě této Smlouvy, včetně totožnosti příjemce, povahy služeb a hodnoty a povahy příslušné platby.</w:t>
      </w:r>
    </w:p>
    <w:p>
      <w:pPr>
        <w:rPr>
          <w:sz w:val="2"/>
          <w:szCs w:val="2"/>
        </w:rPr>
        <w:sectPr>
          <w:footnotePr>
            <w:pos w:val="pageBottom"/>
            <w:numFmt w:val="decimal"/>
            <w:numRestart w:val="continuous"/>
          </w:footnotePr>
          <w:type w:val="continuous"/>
          <w:pgSz w:w="11900" w:h="16840"/>
          <w:pgMar w:top="1618" w:right="1461" w:bottom="1556" w:left="1227" w:header="0" w:footer="3" w:gutter="0"/>
          <w:cols w:num="2" w:space="720" w:equalWidth="0">
            <w:col w:w="4813" w:space="170"/>
            <w:col w:w="4228"/>
          </w:cols>
          <w:noEndnote/>
          <w:rtlGutter w:val="0"/>
          <w:docGrid w:linePitch="360"/>
        </w:sect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pgSz w:w="11900" w:h="16840"/>
          <w:pgMar w:top="1176" w:right="1128" w:bottom="1225" w:left="1071" w:header="0" w:footer="3" w:gutter="0"/>
          <w:cols w:space="720"/>
          <w:noEndnote/>
          <w:rtlGutter w:val="0"/>
          <w:docGrid w:linePitch="360"/>
        </w:sectPr>
      </w:pPr>
    </w:p>
    <w:p>
      <w:pPr>
        <w:pStyle w:val="Style10"/>
        <w:keepNext w:val="0"/>
        <w:keepLines w:val="0"/>
        <w:framePr w:w="2870" w:h="653" w:wrap="none" w:vAnchor="text" w:hAnchor="page" w:x="1120" w:y="21"/>
        <w:widowControl w:val="0"/>
        <w:shd w:val="clear" w:color="auto" w:fill="auto"/>
        <w:bidi w:val="0"/>
        <w:spacing w:before="0" w:after="180" w:line="240" w:lineRule="auto"/>
        <w:ind w:left="0" w:right="0" w:firstLine="0"/>
        <w:jc w:val="left"/>
      </w:pPr>
      <w:r>
        <w:rPr>
          <w:rStyle w:val="CharStyle11"/>
        </w:rPr>
        <w:t>Annex to the Payment Terms</w:t>
      </w:r>
    </w:p>
    <w:p>
      <w:pPr>
        <w:pStyle w:val="Style10"/>
        <w:keepNext w:val="0"/>
        <w:keepLines w:val="0"/>
        <w:framePr w:w="2870" w:h="653" w:wrap="none" w:vAnchor="text" w:hAnchor="page" w:x="1120" w:y="21"/>
        <w:widowControl w:val="0"/>
        <w:shd w:val="clear" w:color="auto" w:fill="auto"/>
        <w:bidi w:val="0"/>
        <w:spacing w:before="0" w:after="0" w:line="240" w:lineRule="auto"/>
        <w:ind w:left="0" w:right="0" w:firstLine="0"/>
        <w:jc w:val="left"/>
      </w:pPr>
      <w:r>
        <w:rPr>
          <w:rStyle w:val="CharStyle11"/>
        </w:rPr>
        <w:t>Příloha k platebním podmínkám</w:t>
      </w:r>
    </w:p>
    <w:p>
      <w:pPr>
        <w:widowControl w:val="0"/>
        <w:spacing w:line="360" w:lineRule="exact"/>
      </w:pPr>
      <w:r>
        <w:drawing>
          <wp:anchor distT="0" distB="0" distL="0" distR="0" simplePos="0" relativeHeight="62914696" behindDoc="1" locked="0" layoutInCell="1" allowOverlap="1">
            <wp:simplePos x="0" y="0"/>
            <wp:positionH relativeFrom="page">
              <wp:posOffset>713740</wp:posOffset>
            </wp:positionH>
            <wp:positionV relativeFrom="paragraph">
              <wp:posOffset>758825</wp:posOffset>
            </wp:positionV>
            <wp:extent cx="6126480" cy="7583170"/>
            <wp:wrapNone/>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9"/>
                    <a:stretch/>
                  </pic:blipFill>
                  <pic:spPr>
                    <a:xfrm>
                      <a:ext cx="6126480" cy="75831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type w:val="continuous"/>
          <w:pgSz w:w="11900" w:h="16840"/>
          <w:pgMar w:top="1176" w:right="1128" w:bottom="1225" w:left="1071" w:header="0" w:footer="3" w:gutter="0"/>
          <w:cols w:space="720"/>
          <w:noEndnote/>
          <w:rtlGutter w:val="0"/>
          <w:docGrid w:linePitch="360"/>
        </w:sectPr>
      </w:pPr>
    </w:p>
    <w:p>
      <w:pPr>
        <w:widowControl w:val="0"/>
        <w:jc w:val="center"/>
        <w:rPr>
          <w:sz w:val="2"/>
          <w:szCs w:val="2"/>
        </w:rPr>
        <w:sectPr>
          <w:footnotePr>
            <w:pos w:val="pageBottom"/>
            <w:numFmt w:val="decimal"/>
            <w:numRestart w:val="continuous"/>
          </w:footnotePr>
          <w:pgSz w:w="11900" w:h="16840"/>
          <w:pgMar w:top="1402" w:right="1123" w:bottom="1402" w:left="1133" w:header="0" w:footer="3" w:gutter="0"/>
          <w:cols w:space="720"/>
          <w:noEndnote/>
          <w:rtlGutter w:val="0"/>
          <w:docGrid w:linePitch="360"/>
        </w:sectPr>
      </w:pPr>
      <w:r>
        <w:drawing>
          <wp:inline>
            <wp:extent cx="6126480" cy="877189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stretch/>
                  </pic:blipFill>
                  <pic:spPr>
                    <a:xfrm>
                      <a:ext cx="6126480" cy="8771890"/>
                    </a:xfrm>
                    <a:prstGeom prst="rect"/>
                  </pic:spPr>
                </pic:pic>
              </a:graphicData>
            </a:graphic>
          </wp:inline>
        </w:drawing>
      </w:r>
    </w:p>
    <w:p>
      <w:pPr>
        <w:widowControl w:val="0"/>
        <w:jc w:val="left"/>
        <w:rPr>
          <w:sz w:val="2"/>
          <w:szCs w:val="2"/>
        </w:rPr>
      </w:pPr>
      <w:r>
        <w:drawing>
          <wp:inline>
            <wp:extent cx="1085215" cy="16446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a:stretch/>
                  </pic:blipFill>
                  <pic:spPr>
                    <a:xfrm>
                      <a:ext cx="1085215" cy="164465"/>
                    </a:xfrm>
                    <a:prstGeom prst="rect"/>
                  </pic:spPr>
                </pic:pic>
              </a:graphicData>
            </a:graphic>
          </wp:inline>
        </w:drawing>
      </w:r>
    </w:p>
    <w:p>
      <w:pPr>
        <w:widowControl w:val="0"/>
        <w:spacing w:after="279" w:line="1" w:lineRule="exact"/>
      </w:pPr>
    </w:p>
    <w:p>
      <w:pPr>
        <w:widowControl w:val="0"/>
        <w:jc w:val="center"/>
        <w:rPr>
          <w:sz w:val="2"/>
          <w:szCs w:val="2"/>
        </w:rPr>
        <w:sectPr>
          <w:footnotePr>
            <w:pos w:val="pageBottom"/>
            <w:numFmt w:val="decimal"/>
            <w:numRestart w:val="continuous"/>
          </w:footnotePr>
          <w:pgSz w:w="11900" w:h="16840"/>
          <w:pgMar w:top="860" w:right="1123" w:bottom="1225" w:left="1133" w:header="0" w:footer="3" w:gutter="0"/>
          <w:cols w:space="720"/>
          <w:noEndnote/>
          <w:rtlGutter w:val="0"/>
          <w:docGrid w:linePitch="360"/>
        </w:sectPr>
      </w:pPr>
      <w:r>
        <w:drawing>
          <wp:inline>
            <wp:extent cx="6126480" cy="887603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5"/>
                    <a:stretch/>
                  </pic:blipFill>
                  <pic:spPr>
                    <a:xfrm>
                      <a:ext cx="6126480" cy="8876030"/>
                    </a:xfrm>
                    <a:prstGeom prst="rect"/>
                  </pic:spPr>
                </pic:pic>
              </a:graphicData>
            </a:graphic>
          </wp:inline>
        </w:drawing>
      </w:r>
    </w:p>
    <w:p>
      <w:pPr>
        <w:widowControl w:val="0"/>
        <w:spacing w:line="179" w:lineRule="exact"/>
        <w:rPr>
          <w:sz w:val="14"/>
          <w:szCs w:val="14"/>
        </w:rPr>
      </w:pPr>
    </w:p>
    <w:p>
      <w:pPr>
        <w:widowControl w:val="0"/>
        <w:spacing w:line="1" w:lineRule="exact"/>
        <w:sectPr>
          <w:footnotePr>
            <w:pos w:val="pageBottom"/>
            <w:numFmt w:val="decimal"/>
            <w:numRestart w:val="continuous"/>
          </w:footnotePr>
          <w:pgSz w:w="11900" w:h="16840"/>
          <w:pgMar w:top="1176" w:right="1124" w:bottom="1225" w:left="1119" w:header="0" w:footer="3" w:gutter="0"/>
          <w:cols w:space="720"/>
          <w:noEndnote/>
          <w:rtlGutter w:val="0"/>
          <w:docGrid w:linePitch="360"/>
        </w:sectPr>
      </w:pPr>
    </w:p>
    <w:p>
      <w:pPr>
        <w:pStyle w:val="Style10"/>
        <w:keepNext w:val="0"/>
        <w:keepLines w:val="0"/>
        <w:framePr w:w="4085" w:h="250" w:wrap="none" w:vAnchor="text" w:hAnchor="page" w:x="1120" w:y="2252"/>
        <w:widowControl w:val="0"/>
        <w:shd w:val="clear" w:color="auto" w:fill="auto"/>
        <w:bidi w:val="0"/>
        <w:spacing w:before="0" w:after="0" w:line="240" w:lineRule="auto"/>
        <w:ind w:left="0" w:right="0" w:firstLine="0"/>
        <w:jc w:val="left"/>
      </w:pPr>
      <w:r>
        <w:rPr>
          <w:rStyle w:val="CharStyle11"/>
        </w:rPr>
        <w:t>Administrativě Fees / Administrativní poplatky</w:t>
      </w:r>
    </w:p>
    <w:p>
      <w:pPr>
        <w:widowControl w:val="0"/>
        <w:spacing w:line="360" w:lineRule="exact"/>
      </w:pPr>
      <w:r>
        <w:drawing>
          <wp:anchor distT="0" distB="0" distL="0" distR="0" simplePos="0" relativeHeight="62914697" behindDoc="1" locked="0" layoutInCell="1" allowOverlap="1">
            <wp:simplePos x="0" y="0"/>
            <wp:positionH relativeFrom="page">
              <wp:posOffset>725805</wp:posOffset>
            </wp:positionH>
            <wp:positionV relativeFrom="paragraph">
              <wp:posOffset>12700</wp:posOffset>
            </wp:positionV>
            <wp:extent cx="6108065" cy="859790"/>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7"/>
                    <a:stretch/>
                  </pic:blipFill>
                  <pic:spPr>
                    <a:xfrm>
                      <a:ext cx="6108065" cy="859790"/>
                    </a:xfrm>
                    <a:prstGeom prst="rect"/>
                  </pic:spPr>
                </pic:pic>
              </a:graphicData>
            </a:graphic>
          </wp:anchor>
        </w:drawing>
      </w:r>
      <w:r>
        <w:drawing>
          <wp:anchor distT="0" distB="0" distL="0" distR="0" simplePos="0" relativeHeight="62914698" behindDoc="1" locked="0" layoutInCell="1" allowOverlap="1">
            <wp:simplePos x="0" y="0"/>
            <wp:positionH relativeFrom="page">
              <wp:posOffset>725805</wp:posOffset>
            </wp:positionH>
            <wp:positionV relativeFrom="paragraph">
              <wp:posOffset>1981200</wp:posOffset>
            </wp:positionV>
            <wp:extent cx="6120130" cy="4346575"/>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ext cx="6120130" cy="43465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4" w:line="1" w:lineRule="exact"/>
      </w:pPr>
    </w:p>
    <w:p>
      <w:pPr>
        <w:widowControl w:val="0"/>
        <w:spacing w:line="1" w:lineRule="exact"/>
        <w:sectPr>
          <w:footnotePr>
            <w:pos w:val="pageBottom"/>
            <w:numFmt w:val="decimal"/>
            <w:numRestart w:val="continuous"/>
          </w:footnotePr>
          <w:type w:val="continuous"/>
          <w:pgSz w:w="11900" w:h="16840"/>
          <w:pgMar w:top="1176" w:right="1124" w:bottom="1225" w:left="1119" w:header="0" w:footer="3" w:gutter="0"/>
          <w:cols w:space="720"/>
          <w:noEndnote/>
          <w:rtlGutter w:val="0"/>
          <w:docGrid w:linePitch="360"/>
        </w:sectPr>
      </w:pPr>
    </w:p>
    <w:p>
      <w:pPr>
        <w:pStyle w:val="Style15"/>
        <w:keepNext/>
        <w:keepLines/>
        <w:widowControl w:val="0"/>
        <w:shd w:val="clear" w:color="auto" w:fill="auto"/>
        <w:bidi w:val="0"/>
        <w:spacing w:before="0" w:after="260" w:line="288" w:lineRule="auto"/>
        <w:ind w:left="0" w:right="0" w:firstLine="0"/>
        <w:jc w:val="left"/>
      </w:pPr>
      <w:bookmarkStart w:id="18" w:name="bookmark18"/>
      <w:r>
        <w:rPr>
          <w:rStyle w:val="CharStyle16"/>
          <w:b/>
          <w:bCs/>
        </w:rPr>
        <w:t>ATTACHMENT D LIST OF EQUIPMENT</w:t>
      </w:r>
      <w:bookmarkEnd w:id="18"/>
    </w:p>
    <w:p>
      <w:pPr>
        <w:pStyle w:val="Style10"/>
        <w:keepNext w:val="0"/>
        <w:keepLines w:val="0"/>
        <w:widowControl w:val="0"/>
        <w:shd w:val="clear" w:color="auto" w:fill="auto"/>
        <w:bidi w:val="0"/>
        <w:spacing w:before="0" w:after="100"/>
        <w:ind w:left="0" w:right="0" w:firstLine="0"/>
        <w:jc w:val="both"/>
      </w:pPr>
      <w:r>
        <w:rPr>
          <w:rStyle w:val="CharStyle11"/>
        </w:rPr>
        <w:t>The following Equipment will be provided for the purposes of the Study underthe conditions outlined in the Agreement:</w:t>
      </w:r>
    </w:p>
    <w:p>
      <w:pPr>
        <w:pStyle w:val="Style10"/>
        <w:keepNext w:val="0"/>
        <w:keepLines w:val="0"/>
        <w:widowControl w:val="0"/>
        <w:numPr>
          <w:ilvl w:val="0"/>
          <w:numId w:val="25"/>
        </w:numPr>
        <w:shd w:val="clear" w:color="auto" w:fill="auto"/>
        <w:tabs>
          <w:tab w:pos="370" w:val="left"/>
        </w:tabs>
        <w:bidi w:val="0"/>
        <w:spacing w:before="0" w:after="100" w:line="331" w:lineRule="auto"/>
        <w:ind w:left="420" w:right="0" w:hanging="420"/>
        <w:jc w:val="both"/>
      </w:pPr>
      <w:r>
        <w:rPr>
          <w:rStyle w:val="CharStyle11"/>
        </w:rPr>
        <w:t>1x Infusion Pump - B Braun Perfusor Space Pump</w:t>
      </w:r>
    </w:p>
    <w:p>
      <w:pPr>
        <w:pStyle w:val="Style10"/>
        <w:keepNext w:val="0"/>
        <w:keepLines w:val="0"/>
        <w:widowControl w:val="0"/>
        <w:shd w:val="clear" w:color="auto" w:fill="auto"/>
        <w:bidi w:val="0"/>
        <w:spacing w:before="0" w:after="100" w:line="331" w:lineRule="auto"/>
        <w:ind w:left="0" w:right="0" w:firstLine="0"/>
        <w:jc w:val="both"/>
      </w:pPr>
      <w:r>
        <w:rPr>
          <w:rStyle w:val="CharStyle11"/>
        </w:rPr>
        <w:t>. 1 x Clario ECG - Model MAC2000</w:t>
      </w:r>
    </w:p>
    <w:p>
      <w:pPr>
        <w:pStyle w:val="Style10"/>
        <w:keepNext w:val="0"/>
        <w:keepLines w:val="0"/>
        <w:widowControl w:val="0"/>
        <w:numPr>
          <w:ilvl w:val="0"/>
          <w:numId w:val="25"/>
        </w:numPr>
        <w:shd w:val="clear" w:color="auto" w:fill="auto"/>
        <w:tabs>
          <w:tab w:pos="370" w:val="left"/>
        </w:tabs>
        <w:bidi w:val="0"/>
        <w:spacing w:before="0" w:after="100"/>
        <w:ind w:left="420" w:right="0" w:hanging="420"/>
        <w:jc w:val="both"/>
      </w:pPr>
      <w:r>
        <w:rPr>
          <w:rStyle w:val="CharStyle11"/>
        </w:rPr>
        <w:t>2x Clario eCOA handled tablets - G9 Model: Motorola (in čase of more enrolled subjects other tablets will be shipped)</w:t>
      </w:r>
    </w:p>
    <w:p>
      <w:pPr>
        <w:pStyle w:val="Style10"/>
        <w:keepNext w:val="0"/>
        <w:keepLines w:val="0"/>
        <w:widowControl w:val="0"/>
        <w:numPr>
          <w:ilvl w:val="0"/>
          <w:numId w:val="25"/>
        </w:numPr>
        <w:shd w:val="clear" w:color="auto" w:fill="auto"/>
        <w:tabs>
          <w:tab w:pos="370" w:val="left"/>
        </w:tabs>
        <w:bidi w:val="0"/>
        <w:spacing w:before="0" w:after="100" w:line="331" w:lineRule="auto"/>
        <w:ind w:left="420" w:right="0" w:hanging="420"/>
        <w:jc w:val="both"/>
      </w:pPr>
      <w:r>
        <w:rPr>
          <w:rStyle w:val="CharStyle11"/>
        </w:rPr>
        <w:t>1x Alimentiv laptop - Lenovo L14 ThinkPad Laptop Computer with Accessories</w:t>
      </w:r>
    </w:p>
    <w:p>
      <w:pPr>
        <w:pStyle w:val="Style15"/>
        <w:keepNext/>
        <w:keepLines/>
        <w:widowControl w:val="0"/>
        <w:shd w:val="clear" w:color="auto" w:fill="auto"/>
        <w:bidi w:val="0"/>
        <w:spacing w:before="0" w:after="40" w:line="223" w:lineRule="auto"/>
        <w:ind w:left="0" w:right="0" w:firstLine="0"/>
        <w:jc w:val="both"/>
        <w:rPr>
          <w:sz w:val="28"/>
          <w:szCs w:val="28"/>
        </w:rPr>
      </w:pPr>
      <w:bookmarkStart w:id="20" w:name="bookmark20"/>
      <w:r>
        <w:rPr>
          <w:rStyle w:val="CharStyle16"/>
          <w:b/>
          <w:bCs/>
        </w:rPr>
        <w:t xml:space="preserve">PŘÍLOHA </w:t>
      </w:r>
      <w:r>
        <w:rPr>
          <w:rStyle w:val="CharStyle16"/>
          <w:smallCaps/>
          <w:sz w:val="28"/>
          <w:szCs w:val="28"/>
        </w:rPr>
        <w:t>d</w:t>
      </w:r>
      <w:bookmarkEnd w:id="20"/>
    </w:p>
    <w:p>
      <w:pPr>
        <w:pStyle w:val="Style15"/>
        <w:keepNext/>
        <w:keepLines/>
        <w:widowControl w:val="0"/>
        <w:shd w:val="clear" w:color="auto" w:fill="auto"/>
        <w:bidi w:val="0"/>
        <w:spacing w:before="0" w:after="260"/>
        <w:ind w:left="0" w:right="0" w:firstLine="0"/>
        <w:jc w:val="both"/>
      </w:pPr>
      <w:r>
        <w:rPr>
          <w:rStyle w:val="CharStyle16"/>
          <w:b/>
          <w:bCs/>
        </w:rPr>
        <w:t>SEZNAM VYBAVENÍ</w:t>
      </w:r>
    </w:p>
    <w:p>
      <w:pPr>
        <w:pStyle w:val="Style10"/>
        <w:keepNext w:val="0"/>
        <w:keepLines w:val="0"/>
        <w:widowControl w:val="0"/>
        <w:shd w:val="clear" w:color="auto" w:fill="auto"/>
        <w:bidi w:val="0"/>
        <w:spacing w:before="0" w:after="420" w:line="326" w:lineRule="auto"/>
        <w:ind w:left="0" w:right="0" w:firstLine="0"/>
        <w:jc w:val="both"/>
      </w:pPr>
      <w:r>
        <w:rPr>
          <w:rStyle w:val="CharStyle11"/>
        </w:rPr>
        <w:t>Pro účely Studie bude za podmínek uvedených ve Smlouvě poskytnuto následující vybavení:</w:t>
      </w:r>
    </w:p>
    <w:p>
      <w:pPr>
        <w:pStyle w:val="Style10"/>
        <w:keepNext w:val="0"/>
        <w:keepLines w:val="0"/>
        <w:widowControl w:val="0"/>
        <w:numPr>
          <w:ilvl w:val="0"/>
          <w:numId w:val="25"/>
        </w:numPr>
        <w:shd w:val="clear" w:color="auto" w:fill="auto"/>
        <w:tabs>
          <w:tab w:pos="370" w:val="left"/>
        </w:tabs>
        <w:bidi w:val="0"/>
        <w:spacing w:before="0" w:line="331" w:lineRule="auto"/>
        <w:ind w:left="420" w:right="0" w:hanging="420"/>
        <w:jc w:val="both"/>
      </w:pPr>
      <w:r>
        <w:rPr>
          <w:rStyle w:val="CharStyle11"/>
        </w:rPr>
        <w:t>1x infuzní pumpa - B Braun Perfusor Space Pump</w:t>
      </w:r>
    </w:p>
    <w:p>
      <w:pPr>
        <w:pStyle w:val="Style10"/>
        <w:keepNext w:val="0"/>
        <w:keepLines w:val="0"/>
        <w:widowControl w:val="0"/>
        <w:numPr>
          <w:ilvl w:val="0"/>
          <w:numId w:val="25"/>
        </w:numPr>
        <w:shd w:val="clear" w:color="auto" w:fill="auto"/>
        <w:tabs>
          <w:tab w:pos="370" w:val="left"/>
        </w:tabs>
        <w:bidi w:val="0"/>
        <w:spacing w:before="0"/>
        <w:ind w:left="0" w:right="0" w:firstLine="0"/>
        <w:jc w:val="both"/>
      </w:pPr>
      <w:r>
        <w:rPr>
          <w:rStyle w:val="CharStyle11"/>
        </w:rPr>
        <w:t>1 x EKG Clario - model MAC2000</w:t>
      </w:r>
    </w:p>
    <w:p>
      <w:pPr>
        <w:pStyle w:val="Style10"/>
        <w:keepNext w:val="0"/>
        <w:keepLines w:val="0"/>
        <w:widowControl w:val="0"/>
        <w:numPr>
          <w:ilvl w:val="0"/>
          <w:numId w:val="25"/>
        </w:numPr>
        <w:shd w:val="clear" w:color="auto" w:fill="auto"/>
        <w:tabs>
          <w:tab w:pos="370" w:val="left"/>
        </w:tabs>
        <w:bidi w:val="0"/>
        <w:spacing w:before="0"/>
        <w:ind w:left="420" w:right="0" w:hanging="420"/>
        <w:jc w:val="both"/>
      </w:pPr>
      <w:r>
        <w:rPr>
          <w:rStyle w:val="CharStyle11"/>
        </w:rPr>
        <w:t>2x kapesní tablety Clario eCOA - G9 Model: (v případě více zařazených subjektů bude dodáno více kusů)</w:t>
      </w:r>
    </w:p>
    <w:p>
      <w:pPr>
        <w:pStyle w:val="Style10"/>
        <w:keepNext w:val="0"/>
        <w:keepLines w:val="0"/>
        <w:widowControl w:val="0"/>
        <w:numPr>
          <w:ilvl w:val="0"/>
          <w:numId w:val="25"/>
        </w:numPr>
        <w:shd w:val="clear" w:color="auto" w:fill="auto"/>
        <w:tabs>
          <w:tab w:pos="370" w:val="left"/>
        </w:tabs>
        <w:bidi w:val="0"/>
        <w:spacing w:before="0"/>
        <w:ind w:left="420" w:right="0" w:hanging="420"/>
        <w:jc w:val="both"/>
      </w:pPr>
      <w:r>
        <w:rPr>
          <w:rStyle w:val="CharStyle11"/>
        </w:rPr>
        <w:t>1x notebook Alimentiv - Lenovo L14 ThinkPad Laptop Computer, s příslušenstvím</w:t>
      </w:r>
    </w:p>
    <w:sectPr>
      <w:footnotePr>
        <w:pos w:val="pageBottom"/>
        <w:numFmt w:val="decimal"/>
        <w:numRestart w:val="continuous"/>
      </w:footnotePr>
      <w:pgSz w:w="11900" w:h="16840"/>
      <w:pgMar w:top="1546" w:right="1464" w:bottom="1546" w:left="1230" w:header="0" w:footer="3" w:gutter="0"/>
      <w:cols w:num="2" w:space="720" w:equalWidth="0">
        <w:col w:w="4805" w:space="163"/>
        <w:col w:w="4238"/>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734695</wp:posOffset>
              </wp:positionH>
              <wp:positionV relativeFrom="page">
                <wp:posOffset>9915525</wp:posOffset>
              </wp:positionV>
              <wp:extent cx="5934710" cy="94615"/>
              <wp:wrapNone/>
              <wp:docPr id="5" name="Shape 5"/>
              <a:graphic xmlns:a="http://schemas.openxmlformats.org/drawingml/2006/main">
                <a:graphicData uri="http://schemas.microsoft.com/office/word/2010/wordprocessingShape">
                  <wps:wsp>
                    <wps:cNvSpPr txBox="1"/>
                    <wps:spPr>
                      <a:xfrm>
                        <a:ext cx="5934710" cy="94615"/>
                      </a:xfrm>
                      <a:prstGeom prst="rect"/>
                      <a:noFill/>
                    </wps:spPr>
                    <wps:txbx>
                      <w:txbxContent>
                        <w:p>
                          <w:pPr>
                            <w:pStyle w:val="Style6"/>
                            <w:keepNext w:val="0"/>
                            <w:keepLines w:val="0"/>
                            <w:widowControl w:val="0"/>
                            <w:shd w:val="clear" w:color="auto" w:fill="auto"/>
                            <w:tabs>
                              <w:tab w:pos="9346" w:val="right"/>
                            </w:tabs>
                            <w:bidi w:val="0"/>
                            <w:spacing w:before="0" w:after="0" w:line="240" w:lineRule="auto"/>
                            <w:ind w:left="0" w:right="0" w:firstLine="0"/>
                            <w:jc w:val="left"/>
                            <w:rPr>
                              <w:sz w:val="16"/>
                              <w:szCs w:val="16"/>
                            </w:rPr>
                          </w:pPr>
                          <w:r>
                            <w:rPr>
                              <w:rStyle w:val="CharStyle7"/>
                              <w:rFonts w:ascii="Arial" w:eastAsia="Arial" w:hAnsi="Arial" w:cs="Arial"/>
                              <w:color w:val="1D1D1D"/>
                              <w:sz w:val="16"/>
                              <w:szCs w:val="16"/>
                            </w:rPr>
                            <w:t>PSI Template, General, 18NOV2020</w:t>
                            <w:tab/>
                          </w:r>
                          <w:fldSimple w:instr=" PAGE \* MERGEFORMAT ">
                            <w:r>
                              <w:rPr>
                                <w:rStyle w:val="CharStyle7"/>
                                <w:rFonts w:ascii="Arial" w:eastAsia="Arial" w:hAnsi="Arial" w:cs="Arial"/>
                                <w:color w:val="1D1D1D"/>
                                <w:sz w:val="16"/>
                                <w:szCs w:val="16"/>
                              </w:rPr>
                              <w:t>#</w:t>
                            </w:r>
                          </w:fldSimple>
                          <w:r>
                            <w:rPr>
                              <w:rStyle w:val="CharStyle7"/>
                              <w:rFonts w:ascii="Arial" w:eastAsia="Arial" w:hAnsi="Arial" w:cs="Arial"/>
                              <w:color w:val="1D1D1D"/>
                              <w:sz w:val="16"/>
                              <w:szCs w:val="16"/>
                            </w:rPr>
                            <w:t>/12</w:t>
                          </w:r>
                        </w:p>
                      </w:txbxContent>
                    </wps:txbx>
                    <wps:bodyPr lIns="0" tIns="0" rIns="0" bIns="0">
                      <a:spAutoFit/>
                    </wps:bodyPr>
                  </wps:wsp>
                </a:graphicData>
              </a:graphic>
            </wp:anchor>
          </w:drawing>
        </mc:Choice>
        <mc:Fallback>
          <w:pict>
            <v:shape id="_x0000_s1031" type="#_x0000_t202" style="position:absolute;margin-left:57.850000000000001pt;margin-top:780.75pt;width:467.30000000000001pt;height:7.4500000000000002pt;z-index:-188744061;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346" w:val="right"/>
                      </w:tabs>
                      <w:bidi w:val="0"/>
                      <w:spacing w:before="0" w:after="0" w:line="240" w:lineRule="auto"/>
                      <w:ind w:left="0" w:right="0" w:firstLine="0"/>
                      <w:jc w:val="left"/>
                      <w:rPr>
                        <w:sz w:val="16"/>
                        <w:szCs w:val="16"/>
                      </w:rPr>
                    </w:pPr>
                    <w:r>
                      <w:rPr>
                        <w:rStyle w:val="CharStyle7"/>
                        <w:rFonts w:ascii="Arial" w:eastAsia="Arial" w:hAnsi="Arial" w:cs="Arial"/>
                        <w:color w:val="1D1D1D"/>
                        <w:sz w:val="16"/>
                        <w:szCs w:val="16"/>
                      </w:rPr>
                      <w:t>PSI Template, General, 18NOV2020</w:t>
                      <w:tab/>
                    </w:r>
                    <w:fldSimple w:instr=" PAGE \* MERGEFORMAT ">
                      <w:r>
                        <w:rPr>
                          <w:rStyle w:val="CharStyle7"/>
                          <w:rFonts w:ascii="Arial" w:eastAsia="Arial" w:hAnsi="Arial" w:cs="Arial"/>
                          <w:color w:val="1D1D1D"/>
                          <w:sz w:val="16"/>
                          <w:szCs w:val="16"/>
                        </w:rPr>
                        <w:t>#</w:t>
                      </w:r>
                    </w:fldSimple>
                    <w:r>
                      <w:rPr>
                        <w:rStyle w:val="CharStyle7"/>
                        <w:rFonts w:ascii="Arial" w:eastAsia="Arial" w:hAnsi="Arial" w:cs="Arial"/>
                        <w:color w:val="1D1D1D"/>
                        <w:sz w:val="16"/>
                        <w:szCs w:val="16"/>
                      </w:rPr>
                      <w:t>/12</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3404870</wp:posOffset>
              </wp:positionH>
              <wp:positionV relativeFrom="page">
                <wp:posOffset>10150475</wp:posOffset>
              </wp:positionV>
              <wp:extent cx="749935" cy="73025"/>
              <wp:wrapNone/>
              <wp:docPr id="7" name="Shape 7"/>
              <a:graphic xmlns:a="http://schemas.openxmlformats.org/drawingml/2006/main">
                <a:graphicData uri="http://schemas.microsoft.com/office/word/2010/wordprocessingShape">
                  <wps:wsp>
                    <wps:cNvSpPr txBox="1"/>
                    <wps:spPr>
                      <a:xfrm>
                        <a:ext cx="749935" cy="730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sz w:val="16"/>
                              <w:szCs w:val="16"/>
                            </w:rPr>
                            <w:t>CONFIDENTIAL</w:t>
                          </w:r>
                        </w:p>
                      </w:txbxContent>
                    </wps:txbx>
                    <wps:bodyPr wrap="none" lIns="0" tIns="0" rIns="0" bIns="0">
                      <a:spAutoFit/>
                    </wps:bodyPr>
                  </wps:wsp>
                </a:graphicData>
              </a:graphic>
            </wp:anchor>
          </w:drawing>
        </mc:Choice>
        <mc:Fallback>
          <w:pict>
            <v:shape id="_x0000_s1033" type="#_x0000_t202" style="position:absolute;margin-left:268.10000000000002pt;margin-top:799.25pt;width:59.050000000000004pt;height:5.75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sz w:val="16"/>
                        <w:szCs w:val="16"/>
                      </w:rPr>
                      <w:t>CONFIDENTIAL</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5888990</wp:posOffset>
              </wp:positionH>
              <wp:positionV relativeFrom="page">
                <wp:posOffset>585470</wp:posOffset>
              </wp:positionV>
              <wp:extent cx="780415" cy="97790"/>
              <wp:wrapNone/>
              <wp:docPr id="3" name="Shape 3"/>
              <a:graphic xmlns:a="http://schemas.openxmlformats.org/drawingml/2006/main">
                <a:graphicData uri="http://schemas.microsoft.com/office/word/2010/wordprocessingShape">
                  <wps:wsp>
                    <wps:cNvSpPr txBox="1"/>
                    <wps:spPr>
                      <a:xfrm>
                        <a:ext cx="78041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color w:val="1D1D1D"/>
                              <w:sz w:val="16"/>
                              <w:szCs w:val="16"/>
                            </w:rPr>
                            <w:t>Nemocnice Slaný</w:t>
                          </w:r>
                        </w:p>
                      </w:txbxContent>
                    </wps:txbx>
                    <wps:bodyPr wrap="none" lIns="0" tIns="0" rIns="0" bIns="0">
                      <a:spAutoFit/>
                    </wps:bodyPr>
                  </wps:wsp>
                </a:graphicData>
              </a:graphic>
            </wp:anchor>
          </w:drawing>
        </mc:Choice>
        <mc:Fallback>
          <w:pict>
            <v:shape id="_x0000_s1029" type="#_x0000_t202" style="position:absolute;margin-left:463.69999999999999pt;margin-top:46.100000000000001pt;width:61.450000000000003pt;height:7.70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color w:val="1D1D1D"/>
                        <w:sz w:val="16"/>
                        <w:szCs w:val="16"/>
                      </w:rPr>
                      <w:t>Nemocnice Slaný</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4">
    <w:multiLevelType w:val="multilevel"/>
    <w:lvl w:ilvl="0">
      <w:start w:val="5"/>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18">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22">
    <w:multiLevelType w:val="multilevel"/>
    <w:lvl w:ilvl="0">
      <w:start w:val="2"/>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rPr>
  </w:style>
  <w:style w:type="character" w:customStyle="1" w:styleId="CharStyle3">
    <w:name w:val="Základní text (3)_"/>
    <w:basedOn w:val="DefaultParagraphFont"/>
    <w:link w:val="Style2"/>
    <w:rPr>
      <w:rFonts w:ascii="Arial" w:eastAsia="Arial" w:hAnsi="Arial" w:cs="Arial"/>
      <w:b/>
      <w:bCs/>
      <w:i w:val="0"/>
      <w:iCs w:val="0"/>
      <w:smallCaps w:val="0"/>
      <w:strike w:val="0"/>
      <w:u w:val="none"/>
    </w:rPr>
  </w:style>
  <w:style w:type="character" w:customStyle="1" w:styleId="CharStyle5">
    <w:name w:val="Nadpis #1_"/>
    <w:basedOn w:val="DefaultParagraphFont"/>
    <w:link w:val="Style4"/>
    <w:rPr>
      <w:rFonts w:ascii="Arial" w:eastAsia="Arial" w:hAnsi="Arial" w:cs="Arial"/>
      <w:b/>
      <w:bCs/>
      <w:i w:val="0"/>
      <w:iCs w:val="0"/>
      <w:smallCaps w:val="0"/>
      <w:strike w:val="0"/>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Základní text_"/>
    <w:basedOn w:val="DefaultParagraphFont"/>
    <w:link w:val="Style10"/>
    <w:rPr>
      <w:rFonts w:ascii="Arial" w:eastAsia="Arial" w:hAnsi="Arial" w:cs="Arial"/>
      <w:b w:val="0"/>
      <w:bCs w:val="0"/>
      <w:i w:val="0"/>
      <w:iCs w:val="0"/>
      <w:smallCaps w:val="0"/>
      <w:strike w:val="0"/>
      <w:sz w:val="19"/>
      <w:szCs w:val="19"/>
      <w:u w:val="none"/>
    </w:rPr>
  </w:style>
  <w:style w:type="character" w:customStyle="1" w:styleId="CharStyle16">
    <w:name w:val="Nadpis #2_"/>
    <w:basedOn w:val="DefaultParagraphFont"/>
    <w:link w:val="Style15"/>
    <w:rPr>
      <w:rFonts w:ascii="Arial" w:eastAsia="Arial" w:hAnsi="Arial" w:cs="Arial"/>
      <w:b/>
      <w:bCs/>
      <w:i w:val="0"/>
      <w:iCs w:val="0"/>
      <w:smallCaps w:val="0"/>
      <w:strike w:val="0"/>
      <w:sz w:val="22"/>
      <w:szCs w:val="22"/>
      <w:u w:val="none"/>
    </w:rPr>
  </w:style>
  <w:style w:type="character" w:customStyle="1" w:styleId="CharStyle18">
    <w:name w:val="Základní text (2)_"/>
    <w:basedOn w:val="DefaultParagraphFont"/>
    <w:link w:val="Style17"/>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auto"/>
      <w:spacing w:line="250" w:lineRule="auto"/>
    </w:pPr>
    <w:rPr>
      <w:rFonts w:ascii="Arial" w:eastAsia="Arial" w:hAnsi="Arial" w:cs="Arial"/>
      <w:b/>
      <w:bCs/>
      <w:i w:val="0"/>
      <w:iCs w:val="0"/>
      <w:smallCaps w:val="0"/>
      <w:strike w:val="0"/>
      <w:u w:val="none"/>
    </w:rPr>
  </w:style>
  <w:style w:type="paragraph" w:customStyle="1" w:styleId="Style4">
    <w:name w:val="Nadpis #1"/>
    <w:basedOn w:val="Normal"/>
    <w:link w:val="CharStyle5"/>
    <w:pPr>
      <w:widowControl w:val="0"/>
      <w:shd w:val="clear" w:color="auto" w:fill="auto"/>
      <w:jc w:val="center"/>
      <w:outlineLvl w:val="0"/>
    </w:pPr>
    <w:rPr>
      <w:rFonts w:ascii="Arial" w:eastAsia="Arial" w:hAnsi="Arial" w:cs="Arial"/>
      <w:b/>
      <w:bCs/>
      <w:i w:val="0"/>
      <w:iCs w:val="0"/>
      <w:smallCaps w:val="0"/>
      <w:strike w:val="0"/>
      <w:u w:val="none"/>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Základní text"/>
    <w:basedOn w:val="Normal"/>
    <w:link w:val="CharStyle11"/>
    <w:pPr>
      <w:widowControl w:val="0"/>
      <w:shd w:val="clear" w:color="auto" w:fill="auto"/>
      <w:spacing w:after="120" w:line="329" w:lineRule="auto"/>
    </w:pPr>
    <w:rPr>
      <w:rFonts w:ascii="Arial" w:eastAsia="Arial" w:hAnsi="Arial" w:cs="Arial"/>
      <w:b w:val="0"/>
      <w:bCs w:val="0"/>
      <w:i w:val="0"/>
      <w:iCs w:val="0"/>
      <w:smallCaps w:val="0"/>
      <w:strike w:val="0"/>
      <w:sz w:val="19"/>
      <w:szCs w:val="19"/>
      <w:u w:val="none"/>
    </w:rPr>
  </w:style>
  <w:style w:type="paragraph" w:customStyle="1" w:styleId="Style15">
    <w:name w:val="Nadpis #2"/>
    <w:basedOn w:val="Normal"/>
    <w:link w:val="CharStyle16"/>
    <w:pPr>
      <w:widowControl w:val="0"/>
      <w:shd w:val="clear" w:color="auto" w:fill="auto"/>
      <w:spacing w:after="140" w:line="286" w:lineRule="auto"/>
      <w:outlineLvl w:val="1"/>
    </w:pPr>
    <w:rPr>
      <w:rFonts w:ascii="Arial" w:eastAsia="Arial" w:hAnsi="Arial" w:cs="Arial"/>
      <w:b/>
      <w:bCs/>
      <w:i w:val="0"/>
      <w:iCs w:val="0"/>
      <w:smallCaps w:val="0"/>
      <w:strike w:val="0"/>
      <w:sz w:val="22"/>
      <w:szCs w:val="22"/>
      <w:u w:val="none"/>
    </w:rPr>
  </w:style>
  <w:style w:type="paragraph" w:customStyle="1" w:styleId="Style17">
    <w:name w:val="Základní text (2)"/>
    <w:basedOn w:val="Normal"/>
    <w:link w:val="CharStyle18"/>
    <w:pPr>
      <w:widowControl w:val="0"/>
      <w:shd w:val="clear" w:color="auto" w:fill="auto"/>
      <w:spacing w:after="860" w:line="379" w:lineRule="auto"/>
      <w:ind w:left="2440" w:firstLine="2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png"/><Relationship Id="rId14" Type="http://schemas.openxmlformats.org/officeDocument/2006/relationships/image" Target="media/image4.pn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s>
</file>