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70" w:type="dxa"/>
        <w:tblLayout w:type="fixed"/>
        <w:tblCellMar>
          <w:left w:w="70" w:type="dxa"/>
          <w:right w:w="70" w:type="dxa"/>
        </w:tblCellMar>
        <w:tblLook w:val="04A0" w:firstRow="1" w:lastRow="0" w:firstColumn="1" w:lastColumn="0" w:noHBand="0" w:noVBand="1"/>
      </w:tblPr>
      <w:tblGrid>
        <w:gridCol w:w="9210"/>
      </w:tblGrid>
      <w:tr w:rsidR="00190407" w:rsidRPr="006D2566" w14:paraId="27D2C2F3" w14:textId="77777777" w:rsidTr="00190407">
        <w:trPr>
          <w:cantSplit/>
          <w:trHeight w:val="51"/>
        </w:trPr>
        <w:tc>
          <w:tcPr>
            <w:tcW w:w="9210" w:type="dxa"/>
            <w:tcBorders>
              <w:top w:val="single" w:sz="4" w:space="0" w:color="auto"/>
              <w:left w:val="single" w:sz="4" w:space="0" w:color="auto"/>
              <w:bottom w:val="single" w:sz="4" w:space="0" w:color="auto"/>
              <w:right w:val="single" w:sz="4" w:space="0" w:color="auto"/>
            </w:tcBorders>
          </w:tcPr>
          <w:p w14:paraId="4D5F72B1" w14:textId="77777777" w:rsidR="00190407" w:rsidRDefault="00190407">
            <w:pPr>
              <w:rPr>
                <w:rFonts w:cs="Arial"/>
              </w:rPr>
            </w:pPr>
          </w:p>
          <w:p w14:paraId="61BFC5F1" w14:textId="77777777" w:rsidR="00190407" w:rsidRPr="006D2566" w:rsidRDefault="00FC47D8" w:rsidP="00D15977">
            <w:pPr>
              <w:pStyle w:val="Nzev"/>
              <w:spacing w:line="256" w:lineRule="auto"/>
              <w:jc w:val="center"/>
              <w:rPr>
                <w:rFonts w:ascii="Arial" w:hAnsi="Arial" w:cs="Arial"/>
                <w:b/>
                <w:bCs/>
                <w:sz w:val="32"/>
                <w:szCs w:val="32"/>
                <w:lang w:eastAsia="cs-CZ"/>
              </w:rPr>
            </w:pPr>
            <w:r w:rsidRPr="006D2566">
              <w:rPr>
                <w:rFonts w:ascii="Arial" w:hAnsi="Arial" w:cs="Arial"/>
                <w:b/>
                <w:bCs/>
                <w:sz w:val="32"/>
                <w:szCs w:val="32"/>
                <w:lang w:eastAsia="cs-CZ"/>
              </w:rPr>
              <w:t>Prováděcí</w:t>
            </w:r>
            <w:r w:rsidR="006E0FE6" w:rsidRPr="006D2566">
              <w:rPr>
                <w:rFonts w:ascii="Arial" w:hAnsi="Arial" w:cs="Arial"/>
                <w:b/>
                <w:bCs/>
                <w:sz w:val="32"/>
                <w:szCs w:val="32"/>
                <w:lang w:eastAsia="cs-CZ"/>
              </w:rPr>
              <w:t xml:space="preserve"> </w:t>
            </w:r>
            <w:r w:rsidR="00A97422" w:rsidRPr="006D2566">
              <w:rPr>
                <w:rFonts w:ascii="Arial" w:hAnsi="Arial" w:cs="Arial"/>
                <w:b/>
                <w:bCs/>
                <w:sz w:val="32"/>
                <w:szCs w:val="32"/>
                <w:lang w:eastAsia="cs-CZ"/>
              </w:rPr>
              <w:t>smlouva</w:t>
            </w:r>
            <w:r w:rsidRPr="006D2566">
              <w:rPr>
                <w:rFonts w:ascii="Arial" w:hAnsi="Arial" w:cs="Arial"/>
                <w:b/>
                <w:bCs/>
                <w:sz w:val="32"/>
                <w:szCs w:val="32"/>
                <w:lang w:eastAsia="cs-CZ"/>
              </w:rPr>
              <w:t xml:space="preserve"> k Dohodě o dlouhodobé spolupráci</w:t>
            </w:r>
          </w:p>
          <w:p w14:paraId="15199FFF" w14:textId="3385569F" w:rsidR="00190407" w:rsidRPr="006D2566" w:rsidRDefault="00190407">
            <w:pPr>
              <w:pStyle w:val="Nzev"/>
              <w:spacing w:line="256" w:lineRule="auto"/>
              <w:jc w:val="center"/>
              <w:rPr>
                <w:rFonts w:ascii="Arial" w:hAnsi="Arial" w:cs="Arial"/>
                <w:b/>
                <w:bCs/>
                <w:sz w:val="36"/>
                <w:szCs w:val="14"/>
              </w:rPr>
            </w:pPr>
            <w:r w:rsidRPr="006D2566">
              <w:rPr>
                <w:rFonts w:ascii="Arial" w:hAnsi="Arial" w:cs="Arial"/>
                <w:b/>
                <w:bCs/>
                <w:sz w:val="36"/>
                <w:szCs w:val="14"/>
              </w:rPr>
              <w:t>D</w:t>
            </w:r>
            <w:r w:rsidR="00393EFE">
              <w:rPr>
                <w:rFonts w:ascii="Arial" w:hAnsi="Arial" w:cs="Arial"/>
                <w:b/>
                <w:bCs/>
                <w:sz w:val="36"/>
                <w:szCs w:val="14"/>
              </w:rPr>
              <w:t>/1855</w:t>
            </w:r>
            <w:r w:rsidRPr="006D2566">
              <w:rPr>
                <w:rFonts w:ascii="Arial" w:hAnsi="Arial" w:cs="Arial"/>
                <w:b/>
                <w:bCs/>
                <w:sz w:val="36"/>
                <w:szCs w:val="14"/>
              </w:rPr>
              <w:t>/</w:t>
            </w:r>
            <w:r w:rsidR="00157438" w:rsidRPr="006D2566">
              <w:rPr>
                <w:rFonts w:ascii="Arial" w:hAnsi="Arial" w:cs="Arial"/>
                <w:b/>
                <w:bCs/>
                <w:sz w:val="36"/>
                <w:szCs w:val="14"/>
              </w:rPr>
              <w:t>2024</w:t>
            </w:r>
            <w:r w:rsidRPr="006D2566">
              <w:rPr>
                <w:rFonts w:ascii="Arial" w:hAnsi="Arial" w:cs="Arial"/>
                <w:b/>
                <w:bCs/>
                <w:sz w:val="36"/>
                <w:szCs w:val="14"/>
              </w:rPr>
              <w:t>/</w:t>
            </w:r>
            <w:r w:rsidR="00157438" w:rsidRPr="006D2566">
              <w:rPr>
                <w:rFonts w:ascii="Arial" w:hAnsi="Arial" w:cs="Arial"/>
                <w:b/>
                <w:bCs/>
                <w:sz w:val="36"/>
                <w:szCs w:val="14"/>
              </w:rPr>
              <w:t>STR</w:t>
            </w:r>
          </w:p>
          <w:p w14:paraId="131BAD44" w14:textId="77777777" w:rsidR="00190407" w:rsidRPr="006D2566" w:rsidRDefault="00190407">
            <w:pPr>
              <w:jc w:val="center"/>
              <w:rPr>
                <w:rFonts w:cs="Arial"/>
                <w:b/>
              </w:rPr>
            </w:pPr>
          </w:p>
        </w:tc>
      </w:tr>
    </w:tbl>
    <w:p w14:paraId="5B8DB56C" w14:textId="77777777" w:rsidR="00190407" w:rsidRPr="006D2566" w:rsidRDefault="00190407" w:rsidP="00190407">
      <w:pPr>
        <w:spacing w:after="120" w:line="240" w:lineRule="auto"/>
        <w:rPr>
          <w:rFonts w:cs="Arial"/>
        </w:rPr>
      </w:pPr>
    </w:p>
    <w:p w14:paraId="6675E592" w14:textId="77777777" w:rsidR="00190407" w:rsidRPr="006D2566" w:rsidRDefault="00190407" w:rsidP="00190407">
      <w:pPr>
        <w:pStyle w:val="Nadpis1"/>
        <w:rPr>
          <w:sz w:val="24"/>
        </w:rPr>
      </w:pPr>
      <w:r w:rsidRPr="006D2566">
        <w:t>Smluvní strany</w:t>
      </w:r>
    </w:p>
    <w:p w14:paraId="53F4FD1C" w14:textId="77777777" w:rsidR="00190407" w:rsidRPr="006D2566" w:rsidRDefault="00190407" w:rsidP="00190407">
      <w:pPr>
        <w:spacing w:before="120" w:line="240" w:lineRule="auto"/>
        <w:jc w:val="both"/>
        <w:rPr>
          <w:rFonts w:cs="Arial"/>
        </w:rPr>
      </w:pPr>
      <w:r w:rsidRPr="006D2566">
        <w:rPr>
          <w:rFonts w:cs="Arial"/>
          <w:b/>
        </w:rPr>
        <w:t>Zlínský kraj</w:t>
      </w:r>
    </w:p>
    <w:p w14:paraId="789F0AA9" w14:textId="77777777" w:rsidR="00F765B2" w:rsidRPr="006D2566" w:rsidRDefault="00F765B2" w:rsidP="00F765B2">
      <w:pPr>
        <w:pStyle w:val="Normln1"/>
        <w:rPr>
          <w:rFonts w:cs="Arial"/>
        </w:rPr>
      </w:pPr>
      <w:r w:rsidRPr="006D2566">
        <w:rPr>
          <w:rFonts w:cs="Arial"/>
        </w:rPr>
        <w:t>se sídlem třída Tomáše Bati 21, 761 90 Zlín</w:t>
      </w:r>
    </w:p>
    <w:p w14:paraId="08690064" w14:textId="77777777" w:rsidR="00190407" w:rsidRPr="006D2566" w:rsidRDefault="00190407" w:rsidP="00190407">
      <w:pPr>
        <w:pStyle w:val="Normln1"/>
        <w:ind w:left="2836" w:hanging="2835"/>
        <w:rPr>
          <w:rFonts w:cs="Arial"/>
        </w:rPr>
      </w:pPr>
      <w:r w:rsidRPr="006D2566">
        <w:rPr>
          <w:rFonts w:cs="Arial"/>
        </w:rPr>
        <w:t>zastoupený Ing. Radimem Holišem, hejtmanem</w:t>
      </w:r>
    </w:p>
    <w:p w14:paraId="3F40ADB5" w14:textId="77777777" w:rsidR="00190407" w:rsidRPr="006D2566" w:rsidRDefault="00190407" w:rsidP="00190407">
      <w:pPr>
        <w:pStyle w:val="Normln1"/>
        <w:rPr>
          <w:rFonts w:cs="Arial"/>
        </w:rPr>
      </w:pPr>
      <w:r w:rsidRPr="006D2566">
        <w:rPr>
          <w:rFonts w:cs="Arial"/>
        </w:rPr>
        <w:t>IČO: 70891320</w:t>
      </w:r>
    </w:p>
    <w:p w14:paraId="2F54C721" w14:textId="77777777" w:rsidR="00190407" w:rsidRPr="006D2566" w:rsidRDefault="00190407" w:rsidP="00D15977">
      <w:pPr>
        <w:spacing w:line="240" w:lineRule="auto"/>
        <w:rPr>
          <w:rFonts w:cs="Arial"/>
        </w:rPr>
      </w:pPr>
      <w:r w:rsidRPr="006D2566">
        <w:rPr>
          <w:rFonts w:cs="Arial"/>
        </w:rPr>
        <w:t>(dále jako „</w:t>
      </w:r>
      <w:r w:rsidR="00413DC4" w:rsidRPr="006D2566">
        <w:rPr>
          <w:rFonts w:cs="Arial"/>
          <w:b/>
        </w:rPr>
        <w:t>K</w:t>
      </w:r>
      <w:r w:rsidR="00D15977" w:rsidRPr="006D2566">
        <w:rPr>
          <w:rFonts w:cs="Arial"/>
          <w:b/>
        </w:rPr>
        <w:t>raj</w:t>
      </w:r>
      <w:r w:rsidRPr="006D2566">
        <w:rPr>
          <w:rFonts w:cs="Arial"/>
        </w:rPr>
        <w:t xml:space="preserve">“) </w:t>
      </w:r>
    </w:p>
    <w:p w14:paraId="626816AD" w14:textId="77777777" w:rsidR="009A13E7" w:rsidRPr="006D2566" w:rsidRDefault="009A13E7" w:rsidP="00D15977">
      <w:pPr>
        <w:spacing w:line="240" w:lineRule="auto"/>
        <w:rPr>
          <w:rFonts w:cs="Arial"/>
        </w:rPr>
      </w:pPr>
    </w:p>
    <w:p w14:paraId="4E3AD4F2" w14:textId="2E80D5B6" w:rsidR="00190407" w:rsidRPr="006D2566" w:rsidRDefault="00B25F04" w:rsidP="00190407">
      <w:pPr>
        <w:spacing w:before="120" w:line="240" w:lineRule="auto"/>
        <w:jc w:val="both"/>
        <w:rPr>
          <w:rFonts w:cs="Arial"/>
        </w:rPr>
      </w:pPr>
      <w:r>
        <w:rPr>
          <w:rFonts w:cs="Arial"/>
        </w:rPr>
        <w:t>a</w:t>
      </w:r>
    </w:p>
    <w:p w14:paraId="4208298C" w14:textId="77777777" w:rsidR="00F765B2" w:rsidRPr="006D2566" w:rsidRDefault="00F765B2" w:rsidP="00190407">
      <w:pPr>
        <w:spacing w:before="120" w:line="240" w:lineRule="auto"/>
        <w:jc w:val="both"/>
        <w:rPr>
          <w:rFonts w:cs="Arial"/>
        </w:rPr>
      </w:pPr>
    </w:p>
    <w:p w14:paraId="4E2EAD56" w14:textId="77777777" w:rsidR="00D15977" w:rsidRPr="006D2566" w:rsidRDefault="00D15977" w:rsidP="00D15977">
      <w:pPr>
        <w:widowControl w:val="0"/>
        <w:tabs>
          <w:tab w:val="left" w:pos="709"/>
          <w:tab w:val="left" w:pos="2552"/>
        </w:tabs>
        <w:suppressAutoHyphens/>
        <w:spacing w:line="240" w:lineRule="auto"/>
        <w:jc w:val="both"/>
        <w:rPr>
          <w:rFonts w:cs="Arial"/>
          <w:b/>
        </w:rPr>
      </w:pPr>
      <w:r w:rsidRPr="006D2566">
        <w:rPr>
          <w:rFonts w:cs="Arial"/>
          <w:b/>
        </w:rPr>
        <w:t>Univerzita Tomáše Bati ve Zlíně</w:t>
      </w:r>
    </w:p>
    <w:p w14:paraId="6FBC8F09" w14:textId="77777777" w:rsidR="001B71E8" w:rsidRPr="006D2566" w:rsidRDefault="001B71E8" w:rsidP="00D15977">
      <w:pPr>
        <w:widowControl w:val="0"/>
        <w:tabs>
          <w:tab w:val="left" w:pos="709"/>
          <w:tab w:val="left" w:pos="2552"/>
        </w:tabs>
        <w:suppressAutoHyphens/>
        <w:spacing w:line="240" w:lineRule="auto"/>
        <w:jc w:val="both"/>
        <w:rPr>
          <w:rFonts w:cs="Arial"/>
        </w:rPr>
      </w:pPr>
      <w:r w:rsidRPr="006D2566">
        <w:rPr>
          <w:rFonts w:cs="Arial"/>
        </w:rPr>
        <w:t>veřejná vysoká škola zřízená zákonem č. 404/2000 Sb., o zřízení Univerzity Tomáše Bati ve Zlíně</w:t>
      </w:r>
    </w:p>
    <w:p w14:paraId="2FC84175" w14:textId="77777777" w:rsidR="00A67E73" w:rsidRPr="006D2566" w:rsidRDefault="00A67E73" w:rsidP="00A67E73">
      <w:pPr>
        <w:widowControl w:val="0"/>
        <w:tabs>
          <w:tab w:val="left" w:pos="709"/>
          <w:tab w:val="left" w:pos="2552"/>
        </w:tabs>
        <w:suppressAutoHyphens/>
        <w:spacing w:line="240" w:lineRule="auto"/>
        <w:jc w:val="both"/>
        <w:rPr>
          <w:rFonts w:cs="Arial"/>
        </w:rPr>
      </w:pPr>
      <w:r w:rsidRPr="006D2566">
        <w:rPr>
          <w:rFonts w:cs="Arial"/>
        </w:rPr>
        <w:t>se sídlem nám. T. G. Masaryka 5555, 760 01 Zlín</w:t>
      </w:r>
    </w:p>
    <w:p w14:paraId="308402A4" w14:textId="77777777" w:rsidR="00F765B2" w:rsidRPr="006D2566" w:rsidRDefault="00F765B2" w:rsidP="00F765B2">
      <w:pPr>
        <w:widowControl w:val="0"/>
        <w:tabs>
          <w:tab w:val="left" w:pos="709"/>
          <w:tab w:val="left" w:pos="2552"/>
        </w:tabs>
        <w:suppressAutoHyphens/>
        <w:spacing w:line="240" w:lineRule="auto"/>
        <w:jc w:val="both"/>
        <w:rPr>
          <w:rFonts w:cs="Arial"/>
        </w:rPr>
      </w:pPr>
      <w:r w:rsidRPr="006D2566">
        <w:rPr>
          <w:rFonts w:cs="Arial"/>
        </w:rPr>
        <w:t>zastoupená: prof. Mgr. Milanem Adámkem, Ph.D., rektorem</w:t>
      </w:r>
    </w:p>
    <w:p w14:paraId="53661EF3" w14:textId="77777777" w:rsidR="00D15977" w:rsidRPr="006D2566" w:rsidRDefault="00D15977" w:rsidP="00D15977">
      <w:pPr>
        <w:widowControl w:val="0"/>
        <w:tabs>
          <w:tab w:val="left" w:pos="709"/>
          <w:tab w:val="left" w:pos="2552"/>
        </w:tabs>
        <w:suppressAutoHyphens/>
        <w:spacing w:line="240" w:lineRule="auto"/>
        <w:jc w:val="both"/>
        <w:rPr>
          <w:rFonts w:cs="Arial"/>
        </w:rPr>
      </w:pPr>
      <w:r w:rsidRPr="006D2566">
        <w:rPr>
          <w:rFonts w:cs="Arial"/>
        </w:rPr>
        <w:t>IČO: 70883521</w:t>
      </w:r>
    </w:p>
    <w:p w14:paraId="0FBE3429" w14:textId="77777777" w:rsidR="00190407" w:rsidRPr="006D2566" w:rsidRDefault="00190407" w:rsidP="00190407">
      <w:pPr>
        <w:widowControl w:val="0"/>
        <w:tabs>
          <w:tab w:val="left" w:pos="709"/>
          <w:tab w:val="left" w:pos="2552"/>
        </w:tabs>
        <w:suppressAutoHyphens/>
        <w:spacing w:line="240" w:lineRule="auto"/>
        <w:jc w:val="both"/>
        <w:rPr>
          <w:rFonts w:eastAsia="Arial Unicode MS" w:cs="Arial"/>
          <w:kern w:val="2"/>
        </w:rPr>
      </w:pPr>
      <w:r w:rsidRPr="006D2566">
        <w:rPr>
          <w:rFonts w:cs="Arial"/>
        </w:rPr>
        <w:t>(dále jako</w:t>
      </w:r>
      <w:r w:rsidR="0090479B" w:rsidRPr="006D2566">
        <w:rPr>
          <w:rFonts w:cs="Arial"/>
        </w:rPr>
        <w:t xml:space="preserve"> „</w:t>
      </w:r>
      <w:r w:rsidR="0090479B" w:rsidRPr="006D2566">
        <w:rPr>
          <w:rFonts w:cs="Arial"/>
          <w:b/>
          <w:bCs/>
        </w:rPr>
        <w:t>UTB</w:t>
      </w:r>
      <w:r w:rsidR="0090479B" w:rsidRPr="006D2566">
        <w:rPr>
          <w:rFonts w:cs="Arial"/>
        </w:rPr>
        <w:t>“ nebo</w:t>
      </w:r>
      <w:r w:rsidRPr="006D2566">
        <w:rPr>
          <w:rFonts w:cs="Arial"/>
        </w:rPr>
        <w:t xml:space="preserve"> „</w:t>
      </w:r>
      <w:r w:rsidR="00D15977" w:rsidRPr="006D2566">
        <w:rPr>
          <w:rFonts w:cs="Arial"/>
          <w:b/>
        </w:rPr>
        <w:t>Univerzita</w:t>
      </w:r>
      <w:r w:rsidRPr="006D2566">
        <w:rPr>
          <w:rFonts w:cs="Arial"/>
        </w:rPr>
        <w:t xml:space="preserve">“) </w:t>
      </w:r>
    </w:p>
    <w:p w14:paraId="0EE3C13E" w14:textId="77777777" w:rsidR="00190407" w:rsidRPr="006D2566" w:rsidRDefault="00190407" w:rsidP="00190407">
      <w:pPr>
        <w:pStyle w:val="Bezmezer"/>
        <w:rPr>
          <w:rFonts w:ascii="Arial" w:hAnsi="Arial" w:cs="Arial"/>
          <w:sz w:val="20"/>
          <w:szCs w:val="20"/>
        </w:rPr>
      </w:pPr>
    </w:p>
    <w:p w14:paraId="527931C7" w14:textId="77777777" w:rsidR="005F7476" w:rsidRPr="006D2566" w:rsidRDefault="005F7476" w:rsidP="00EE53FB">
      <w:pPr>
        <w:pStyle w:val="Bezmezer"/>
        <w:jc w:val="both"/>
        <w:rPr>
          <w:rFonts w:ascii="Arial" w:hAnsi="Arial" w:cs="Arial"/>
          <w:sz w:val="20"/>
          <w:szCs w:val="20"/>
        </w:rPr>
      </w:pPr>
    </w:p>
    <w:p w14:paraId="0E77795C" w14:textId="46665E45" w:rsidR="00190407" w:rsidRPr="006D2566" w:rsidRDefault="00190407" w:rsidP="00EE53FB">
      <w:pPr>
        <w:pStyle w:val="Bezmezer"/>
        <w:jc w:val="both"/>
        <w:rPr>
          <w:rFonts w:ascii="Arial" w:hAnsi="Arial" w:cs="Arial"/>
          <w:sz w:val="20"/>
          <w:szCs w:val="20"/>
        </w:rPr>
      </w:pPr>
      <w:r w:rsidRPr="006D2566">
        <w:rPr>
          <w:rFonts w:ascii="Arial" w:hAnsi="Arial" w:cs="Arial"/>
          <w:sz w:val="20"/>
          <w:szCs w:val="20"/>
        </w:rPr>
        <w:t xml:space="preserve">uzavírají po předchozím jednání a vzájemném souhlasu tuto </w:t>
      </w:r>
      <w:r w:rsidR="00FC47D8" w:rsidRPr="006D2566">
        <w:rPr>
          <w:rFonts w:ascii="Arial" w:hAnsi="Arial" w:cs="Arial"/>
          <w:sz w:val="20"/>
          <w:szCs w:val="20"/>
        </w:rPr>
        <w:t>Prováděcí smlouv</w:t>
      </w:r>
      <w:r w:rsidR="00755859" w:rsidRPr="006D2566">
        <w:rPr>
          <w:rFonts w:ascii="Arial" w:hAnsi="Arial" w:cs="Arial"/>
          <w:sz w:val="20"/>
          <w:szCs w:val="20"/>
        </w:rPr>
        <w:t>u</w:t>
      </w:r>
      <w:r w:rsidR="00FC47D8" w:rsidRPr="006D2566">
        <w:rPr>
          <w:rFonts w:ascii="Arial" w:hAnsi="Arial" w:cs="Arial"/>
          <w:sz w:val="20"/>
          <w:szCs w:val="20"/>
        </w:rPr>
        <w:t xml:space="preserve"> k Dohodě o dlouhodobé spolupráci </w:t>
      </w:r>
      <w:r w:rsidR="00DF65D8" w:rsidRPr="006D2566">
        <w:rPr>
          <w:rFonts w:ascii="Arial" w:hAnsi="Arial" w:cs="Arial"/>
          <w:sz w:val="20"/>
          <w:szCs w:val="20"/>
        </w:rPr>
        <w:t>(dále jen „</w:t>
      </w:r>
      <w:r w:rsidR="00190D84" w:rsidRPr="006D2566">
        <w:rPr>
          <w:rFonts w:ascii="Arial" w:hAnsi="Arial" w:cs="Arial"/>
          <w:sz w:val="20"/>
          <w:szCs w:val="20"/>
        </w:rPr>
        <w:t>s</w:t>
      </w:r>
      <w:r w:rsidR="00DF65D8" w:rsidRPr="006D2566">
        <w:rPr>
          <w:rFonts w:ascii="Arial" w:hAnsi="Arial" w:cs="Arial"/>
          <w:sz w:val="20"/>
          <w:szCs w:val="20"/>
        </w:rPr>
        <w:t>mlouva“)</w:t>
      </w:r>
      <w:r w:rsidR="00A53ADC" w:rsidRPr="006D2566">
        <w:rPr>
          <w:rFonts w:ascii="Arial" w:hAnsi="Arial" w:cs="Arial"/>
          <w:sz w:val="20"/>
          <w:szCs w:val="20"/>
        </w:rPr>
        <w:t xml:space="preserve"> </w:t>
      </w:r>
      <w:r w:rsidR="00DF65D8" w:rsidRPr="006D2566">
        <w:rPr>
          <w:rFonts w:ascii="Arial" w:hAnsi="Arial" w:cs="Arial"/>
          <w:sz w:val="20"/>
          <w:szCs w:val="20"/>
        </w:rPr>
        <w:t>d</w:t>
      </w:r>
      <w:r w:rsidR="00A53ADC" w:rsidRPr="006D2566">
        <w:rPr>
          <w:rFonts w:ascii="Arial" w:hAnsi="Arial" w:cs="Arial"/>
          <w:sz w:val="20"/>
          <w:szCs w:val="20"/>
        </w:rPr>
        <w:t>le ustanovení § 1746 odst. 2 občanského zákoníku</w:t>
      </w:r>
      <w:r w:rsidR="005F7476" w:rsidRPr="006D2566">
        <w:rPr>
          <w:rFonts w:ascii="Arial" w:hAnsi="Arial" w:cs="Arial"/>
          <w:sz w:val="20"/>
          <w:szCs w:val="20"/>
        </w:rPr>
        <w:t>. Tato smlouva navazuje na mezi stranami d</w:t>
      </w:r>
      <w:r w:rsidR="00472465" w:rsidRPr="006D2566">
        <w:rPr>
          <w:rFonts w:ascii="Arial" w:hAnsi="Arial" w:cs="Arial"/>
          <w:sz w:val="20"/>
          <w:szCs w:val="20"/>
        </w:rPr>
        <w:t xml:space="preserve">říve uzavřenou Dohodu o dlouhodobé spolupráci </w:t>
      </w:r>
      <w:r w:rsidR="00D4139D" w:rsidRPr="006D2566">
        <w:rPr>
          <w:rFonts w:ascii="Arial" w:hAnsi="Arial" w:cs="Arial"/>
          <w:sz w:val="20"/>
          <w:szCs w:val="20"/>
        </w:rPr>
        <w:t xml:space="preserve">ze dne 18. 3. 2024 a smlouvu o poskytnutí individuální dotace (dále také jako „dotační smlouva“) Univerzitě na výstavbu budovy označené jako „U1“ (bývalé sídlo Fakulty technologické UTB ve Zlíně) (dále také jako „budova U1“) </w:t>
      </w:r>
      <w:r w:rsidR="008E7D20" w:rsidRPr="006D2566">
        <w:rPr>
          <w:rFonts w:ascii="Arial" w:hAnsi="Arial" w:cs="Arial"/>
          <w:sz w:val="20"/>
          <w:szCs w:val="20"/>
        </w:rPr>
        <w:t>a představuje tak završení komple</w:t>
      </w:r>
      <w:r w:rsidR="008709D4" w:rsidRPr="006D2566">
        <w:rPr>
          <w:rFonts w:ascii="Arial" w:hAnsi="Arial" w:cs="Arial"/>
          <w:sz w:val="20"/>
          <w:szCs w:val="20"/>
        </w:rPr>
        <w:t xml:space="preserve">xu smluv, jejichž cílem je </w:t>
      </w:r>
      <w:r w:rsidR="00E04B09" w:rsidRPr="006D2566">
        <w:rPr>
          <w:rFonts w:ascii="Arial" w:hAnsi="Arial" w:cs="Arial"/>
          <w:sz w:val="20"/>
          <w:szCs w:val="20"/>
        </w:rPr>
        <w:t xml:space="preserve">rozvoj Zlínského kraje a </w:t>
      </w:r>
      <w:r w:rsidR="00A96E60" w:rsidRPr="006D2566">
        <w:rPr>
          <w:rFonts w:ascii="Arial" w:hAnsi="Arial" w:cs="Arial"/>
          <w:sz w:val="20"/>
          <w:szCs w:val="20"/>
        </w:rPr>
        <w:t xml:space="preserve">s tím související </w:t>
      </w:r>
      <w:r w:rsidR="008709D4" w:rsidRPr="006D2566">
        <w:rPr>
          <w:rFonts w:ascii="Arial" w:hAnsi="Arial" w:cs="Arial"/>
          <w:sz w:val="20"/>
          <w:szCs w:val="20"/>
        </w:rPr>
        <w:t xml:space="preserve">podpora Univerzity jako střediska vzdělávání a rozvoje v </w:t>
      </w:r>
      <w:r w:rsidR="00545009" w:rsidRPr="006D2566">
        <w:rPr>
          <w:rFonts w:ascii="Arial" w:hAnsi="Arial" w:cs="Arial"/>
          <w:sz w:val="20"/>
          <w:szCs w:val="20"/>
        </w:rPr>
        <w:t xml:space="preserve">ve Zlínském </w:t>
      </w:r>
      <w:r w:rsidR="008709D4" w:rsidRPr="006D2566">
        <w:rPr>
          <w:rFonts w:ascii="Arial" w:hAnsi="Arial" w:cs="Arial"/>
          <w:sz w:val="20"/>
          <w:szCs w:val="20"/>
        </w:rPr>
        <w:t>kraji</w:t>
      </w:r>
      <w:r w:rsidR="005F7476" w:rsidRPr="006D2566">
        <w:rPr>
          <w:rFonts w:ascii="Arial" w:hAnsi="Arial" w:cs="Arial"/>
          <w:sz w:val="20"/>
          <w:szCs w:val="20"/>
        </w:rPr>
        <w:t xml:space="preserve">. </w:t>
      </w:r>
      <w:r w:rsidRPr="006D2566">
        <w:rPr>
          <w:rFonts w:ascii="Arial" w:hAnsi="Arial" w:cs="Arial"/>
          <w:sz w:val="20"/>
          <w:szCs w:val="20"/>
        </w:rPr>
        <w:t xml:space="preserve"> </w:t>
      </w:r>
    </w:p>
    <w:p w14:paraId="18777EA3" w14:textId="77777777" w:rsidR="00190407" w:rsidRPr="006D2566" w:rsidRDefault="00A76463" w:rsidP="00190407">
      <w:pPr>
        <w:pStyle w:val="Nadpis1"/>
      </w:pPr>
      <w:r w:rsidRPr="006D2566">
        <w:t>Úvodní ustanovení</w:t>
      </w:r>
    </w:p>
    <w:p w14:paraId="472755F0" w14:textId="77777777" w:rsidR="002C70A5" w:rsidRPr="006D2566" w:rsidRDefault="007933AB" w:rsidP="005B32E2">
      <w:pPr>
        <w:pStyle w:val="Textvbloku"/>
        <w:widowControl w:val="0"/>
        <w:spacing w:before="100"/>
        <w:ind w:right="0"/>
        <w:rPr>
          <w:rFonts w:cs="Arial"/>
        </w:rPr>
      </w:pPr>
      <w:r w:rsidRPr="006D2566">
        <w:rPr>
          <w:rFonts w:cs="Arial"/>
        </w:rPr>
        <w:t xml:space="preserve">Smlouva je uzavírána za účelem naplnění zájmu </w:t>
      </w:r>
      <w:r w:rsidR="000E1673" w:rsidRPr="006D2566">
        <w:rPr>
          <w:rFonts w:cs="Arial"/>
        </w:rPr>
        <w:t>smluvních stran</w:t>
      </w:r>
      <w:r w:rsidRPr="006D2566">
        <w:rPr>
          <w:rFonts w:cs="Arial"/>
        </w:rPr>
        <w:t xml:space="preserve"> na rozvoji území, zejména v oblasti ekonomického rozvoje, vybudování a rozvoje in</w:t>
      </w:r>
      <w:r w:rsidR="00EA0169" w:rsidRPr="006D2566">
        <w:rPr>
          <w:rFonts w:cs="Arial"/>
        </w:rPr>
        <w:t>frastruktury, rozvoje podnikání a</w:t>
      </w:r>
      <w:r w:rsidRPr="006D2566">
        <w:rPr>
          <w:rFonts w:cs="Arial"/>
        </w:rPr>
        <w:t xml:space="preserve"> zvýšení zaměstnanosti</w:t>
      </w:r>
      <w:r w:rsidR="001D6AC5" w:rsidRPr="006D2566">
        <w:rPr>
          <w:rFonts w:cs="Arial"/>
        </w:rPr>
        <w:t>, a to</w:t>
      </w:r>
      <w:r w:rsidR="00152A40" w:rsidRPr="006D2566">
        <w:rPr>
          <w:rFonts w:cs="Arial"/>
        </w:rPr>
        <w:t xml:space="preserve"> v návaznosti na dotační smlouvu</w:t>
      </w:r>
      <w:r w:rsidR="004A679C" w:rsidRPr="006D2566">
        <w:rPr>
          <w:rFonts w:cs="Arial"/>
        </w:rPr>
        <w:t xml:space="preserve">, na jejímž základě Kraj poskytne UTB dotaci na výstavbu budovy U1 ve Zlíně ve výši a za </w:t>
      </w:r>
      <w:r w:rsidR="002C70A5" w:rsidRPr="006D2566">
        <w:rPr>
          <w:rFonts w:cs="Arial"/>
        </w:rPr>
        <w:t xml:space="preserve">podmínek v dotační smlouvě stanovených. Primárním cílem dotační smlouvy je rozvoj UTB, primárním cílem této smlouvy je rozvoj Kraje. </w:t>
      </w:r>
    </w:p>
    <w:p w14:paraId="3B42003E" w14:textId="335C327F" w:rsidR="007933AB" w:rsidRPr="006D2566" w:rsidRDefault="00A90C87" w:rsidP="002C70A5">
      <w:pPr>
        <w:pStyle w:val="Textvbloku"/>
        <w:widowControl w:val="0"/>
        <w:spacing w:before="100"/>
        <w:ind w:left="426" w:right="0"/>
        <w:rPr>
          <w:rFonts w:cs="Arial"/>
        </w:rPr>
      </w:pPr>
      <w:r w:rsidRPr="006D2566">
        <w:rPr>
          <w:rFonts w:cs="Arial"/>
        </w:rPr>
        <w:t xml:space="preserve"> </w:t>
      </w:r>
    </w:p>
    <w:p w14:paraId="7ABD678F" w14:textId="77777777" w:rsidR="00190407" w:rsidRPr="006D2566" w:rsidRDefault="00A56ED0" w:rsidP="00190407">
      <w:pPr>
        <w:pStyle w:val="Nadpis1"/>
      </w:pPr>
      <w:r w:rsidRPr="006D2566">
        <w:t>P</w:t>
      </w:r>
      <w:r w:rsidR="00190407" w:rsidRPr="006D2566">
        <w:t>ředmět smlouvy</w:t>
      </w:r>
    </w:p>
    <w:p w14:paraId="4F3ADA5A" w14:textId="77777777" w:rsidR="00190407" w:rsidRPr="006D2566" w:rsidRDefault="00F53166" w:rsidP="00A71CFD">
      <w:pPr>
        <w:pStyle w:val="Textvbloku"/>
        <w:widowControl w:val="0"/>
        <w:numPr>
          <w:ilvl w:val="0"/>
          <w:numId w:val="4"/>
        </w:numPr>
        <w:spacing w:before="100"/>
        <w:ind w:left="426" w:right="0" w:hanging="426"/>
        <w:rPr>
          <w:rFonts w:cs="Arial"/>
        </w:rPr>
      </w:pPr>
      <w:r w:rsidRPr="006D2566">
        <w:rPr>
          <w:rFonts w:cs="Arial"/>
          <w:bCs/>
        </w:rPr>
        <w:t>Univerzita</w:t>
      </w:r>
      <w:r w:rsidR="00190407" w:rsidRPr="006D2566">
        <w:rPr>
          <w:rFonts w:cs="Arial"/>
          <w:bCs/>
        </w:rPr>
        <w:t xml:space="preserve"> se touto smlouvou zavazuje zajišťovat a vykonávat pro </w:t>
      </w:r>
      <w:r w:rsidR="00413DC4" w:rsidRPr="006D2566">
        <w:rPr>
          <w:rFonts w:cs="Arial"/>
          <w:bCs/>
        </w:rPr>
        <w:t>K</w:t>
      </w:r>
      <w:r w:rsidRPr="006D2566">
        <w:rPr>
          <w:rFonts w:cs="Arial"/>
          <w:bCs/>
        </w:rPr>
        <w:t>raj tyto činnosti:</w:t>
      </w:r>
      <w:r w:rsidR="00190407" w:rsidRPr="006D2566">
        <w:rPr>
          <w:rFonts w:cs="Arial"/>
        </w:rPr>
        <w:t xml:space="preserve"> </w:t>
      </w:r>
      <w:bookmarkStart w:id="0" w:name="_Hlk152570342"/>
      <w:bookmarkStart w:id="1" w:name="_Hlk152603150"/>
    </w:p>
    <w:p w14:paraId="1FD77CD9" w14:textId="77777777" w:rsidR="00BC6D4A" w:rsidRPr="006D2566" w:rsidRDefault="00BC6D4A" w:rsidP="00BC6D4A">
      <w:pPr>
        <w:pStyle w:val="Nadpis2"/>
        <w:numPr>
          <w:ilvl w:val="0"/>
          <w:numId w:val="0"/>
        </w:numPr>
        <w:ind w:left="425"/>
      </w:pPr>
      <w:bookmarkStart w:id="2" w:name="_Hlk152603202"/>
      <w:bookmarkEnd w:id="0"/>
      <w:r w:rsidRPr="006D2566">
        <w:t xml:space="preserve">1.1. </w:t>
      </w:r>
      <w:r w:rsidRPr="006D2566">
        <w:rPr>
          <w:u w:val="single"/>
        </w:rPr>
        <w:t xml:space="preserve">Vzdělávání </w:t>
      </w:r>
    </w:p>
    <w:p w14:paraId="28DD559E" w14:textId="77777777" w:rsidR="00A5452D" w:rsidRPr="006D2566" w:rsidRDefault="00BC6D4A" w:rsidP="00BC6D4A">
      <w:pPr>
        <w:widowControl w:val="0"/>
        <w:tabs>
          <w:tab w:val="left" w:pos="-1980"/>
          <w:tab w:val="left" w:pos="284"/>
        </w:tabs>
        <w:adjustRightInd w:val="0"/>
        <w:spacing w:before="240" w:line="240" w:lineRule="auto"/>
        <w:ind w:left="425"/>
        <w:jc w:val="both"/>
        <w:textAlignment w:val="baseline"/>
        <w:outlineLvl w:val="0"/>
        <w:rPr>
          <w:rFonts w:cs="Arial"/>
          <w:u w:val="single"/>
        </w:rPr>
      </w:pPr>
      <w:r w:rsidRPr="006D2566">
        <w:rPr>
          <w:rFonts w:cs="Arial"/>
          <w:u w:val="single"/>
        </w:rPr>
        <w:t xml:space="preserve">1.1.1. </w:t>
      </w:r>
      <w:r w:rsidR="00A5452D" w:rsidRPr="006D2566">
        <w:rPr>
          <w:rFonts w:cs="Arial"/>
          <w:u w:val="single"/>
        </w:rPr>
        <w:t>Vzdělávací aktivity</w:t>
      </w:r>
    </w:p>
    <w:p w14:paraId="4E2A5E7F" w14:textId="62CD162F" w:rsidR="00BC6D4A" w:rsidRPr="006D2566" w:rsidRDefault="00BC6D4A" w:rsidP="00BC6D4A">
      <w:pPr>
        <w:widowControl w:val="0"/>
        <w:tabs>
          <w:tab w:val="left" w:pos="-1980"/>
          <w:tab w:val="left" w:pos="284"/>
        </w:tabs>
        <w:adjustRightInd w:val="0"/>
        <w:spacing w:before="240" w:line="240" w:lineRule="auto"/>
        <w:ind w:left="425"/>
        <w:jc w:val="both"/>
        <w:textAlignment w:val="baseline"/>
        <w:outlineLvl w:val="0"/>
        <w:rPr>
          <w:rFonts w:cs="Arial"/>
        </w:rPr>
      </w:pPr>
      <w:r w:rsidRPr="006D2566">
        <w:rPr>
          <w:rFonts w:cs="Arial"/>
        </w:rPr>
        <w:t xml:space="preserve">Součástí závazku Univerzity je kompletní výkon níže uvedených činností, jejichž realizací je sledován zájem Kraje na vytvoření atraktivního prostředí pro studenty Univerzity, zamezení jejich odlivu ze Zlínského kraje po absolvování studia, dále vznik a vývoj studijních programů potřebných pro rozvoj </w:t>
      </w:r>
      <w:r w:rsidR="00AE721D" w:rsidRPr="006D2566">
        <w:rPr>
          <w:rFonts w:cs="Arial"/>
        </w:rPr>
        <w:t>Zlínského k</w:t>
      </w:r>
      <w:r w:rsidRPr="006D2566">
        <w:rPr>
          <w:rFonts w:cs="Arial"/>
        </w:rPr>
        <w:t>raje.</w:t>
      </w:r>
    </w:p>
    <w:p w14:paraId="4A780EA5" w14:textId="77777777" w:rsidR="00BC6D4A" w:rsidRPr="006D2566" w:rsidRDefault="00BC6D4A" w:rsidP="00BC6D4A">
      <w:pPr>
        <w:widowControl w:val="0"/>
        <w:tabs>
          <w:tab w:val="left" w:pos="-1980"/>
          <w:tab w:val="left" w:pos="284"/>
        </w:tabs>
        <w:adjustRightInd w:val="0"/>
        <w:spacing w:before="240" w:line="240" w:lineRule="auto"/>
        <w:ind w:left="425"/>
        <w:jc w:val="both"/>
        <w:textAlignment w:val="baseline"/>
        <w:outlineLvl w:val="0"/>
        <w:rPr>
          <w:rFonts w:cs="Arial"/>
        </w:rPr>
      </w:pPr>
      <w:r w:rsidRPr="006D2566">
        <w:rPr>
          <w:rFonts w:cs="Arial"/>
        </w:rPr>
        <w:lastRenderedPageBreak/>
        <w:t>Snahou Kraje je zajistit vzdělávací aktivity</w:t>
      </w:r>
      <w:r w:rsidRPr="006D2566">
        <w:t xml:space="preserve"> </w:t>
      </w:r>
      <w:r w:rsidRPr="006D2566">
        <w:rPr>
          <w:rFonts w:cs="Arial"/>
        </w:rPr>
        <w:t xml:space="preserve">přispívající k rozvoji regionu. Tyto aktivity by měly směřovat k propojení firem </w:t>
      </w:r>
      <w:r w:rsidR="00F56A5E" w:rsidRPr="006D2566">
        <w:rPr>
          <w:rFonts w:cs="Arial"/>
        </w:rPr>
        <w:t xml:space="preserve">s Krajem </w:t>
      </w:r>
      <w:r w:rsidRPr="006D2566">
        <w:rPr>
          <w:rFonts w:cs="Arial"/>
        </w:rPr>
        <w:t>a UTB napříč různými odvětvími.</w:t>
      </w:r>
    </w:p>
    <w:p w14:paraId="7AD6A7FB" w14:textId="77777777" w:rsidR="00BC6D4A" w:rsidRPr="006D2566" w:rsidRDefault="00BC6D4A" w:rsidP="00BC6D4A">
      <w:pPr>
        <w:widowControl w:val="0"/>
        <w:tabs>
          <w:tab w:val="left" w:pos="-1980"/>
          <w:tab w:val="left" w:pos="284"/>
        </w:tabs>
        <w:adjustRightInd w:val="0"/>
        <w:spacing w:before="240" w:line="240" w:lineRule="auto"/>
        <w:ind w:left="425"/>
        <w:jc w:val="both"/>
        <w:textAlignment w:val="baseline"/>
        <w:outlineLvl w:val="0"/>
        <w:rPr>
          <w:rFonts w:cs="Arial"/>
        </w:rPr>
      </w:pPr>
      <w:r w:rsidRPr="006D2566">
        <w:rPr>
          <w:rFonts w:cs="Arial"/>
        </w:rPr>
        <w:t>Činnosti dle tohoto odstavce budou Univerzitou zajišťovány (a udržovány po celou dobu trvání smlouvy) a cílů musí být dosaženo (není-li u jednotlivé aktivity uvedeno dřívější datum) nejpozději do 31.12.2034.</w:t>
      </w:r>
    </w:p>
    <w:p w14:paraId="17F7326F" w14:textId="77777777" w:rsidR="000911F0" w:rsidRPr="006D2566" w:rsidRDefault="000911F0" w:rsidP="000911F0">
      <w:pPr>
        <w:spacing w:before="240" w:after="120" w:line="240" w:lineRule="auto"/>
        <w:ind w:left="425"/>
        <w:jc w:val="both"/>
        <w:rPr>
          <w:rFonts w:cs="Arial"/>
        </w:rPr>
      </w:pPr>
      <w:r w:rsidRPr="006D2566">
        <w:rPr>
          <w:rFonts w:cs="Arial"/>
        </w:rPr>
        <w:t>Součástí závazku Univerzity jsou zejména následující činnosti:</w:t>
      </w:r>
    </w:p>
    <w:p w14:paraId="015695AF"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zahájení výuky nově akreditovaných studijních </w:t>
      </w:r>
      <w:r w:rsidR="005118C2" w:rsidRPr="006D2566">
        <w:rPr>
          <w:rFonts w:ascii="Arial" w:hAnsi="Arial" w:cs="Arial"/>
          <w:sz w:val="20"/>
          <w:szCs w:val="20"/>
        </w:rPr>
        <w:t>programů,</w:t>
      </w:r>
      <w:r w:rsidRPr="006D2566">
        <w:rPr>
          <w:rFonts w:ascii="Arial" w:hAnsi="Arial" w:cs="Arial"/>
          <w:sz w:val="20"/>
          <w:szCs w:val="20"/>
        </w:rPr>
        <w:t xml:space="preserve"> resp. studijních programů s prodlouženou akreditací v souladu s </w:t>
      </w:r>
      <w:r w:rsidR="00571FFF" w:rsidRPr="006D2566">
        <w:rPr>
          <w:rFonts w:ascii="Arial" w:hAnsi="Arial" w:cs="Arial"/>
          <w:sz w:val="20"/>
          <w:szCs w:val="20"/>
        </w:rPr>
        <w:t>Krajskou přílohou Národní výzkumné a inovační strategie pro inteligentní specializaci České republiky za Zlínský kraj (dále také jako „RIS3“)</w:t>
      </w:r>
      <w:r w:rsidRPr="006D2566">
        <w:rPr>
          <w:rFonts w:ascii="Arial" w:hAnsi="Arial" w:cs="Arial"/>
          <w:sz w:val="20"/>
          <w:szCs w:val="20"/>
        </w:rPr>
        <w:t xml:space="preserve"> a dalšími strategickými dokumenty Kraje (primárně strojírenství a výrobní technologie, polovodičové materiály, radiologie, gastronomie a výživa, záchranářství) včetně následného prodloužení akreditace; </w:t>
      </w:r>
    </w:p>
    <w:p w14:paraId="71B90761"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vytvoření studijních míst u nově akreditovaných studijních programů/akreditovaných studijních programů s prodlouženou akreditací;</w:t>
      </w:r>
    </w:p>
    <w:p w14:paraId="625D05E7"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zajištění využívání nově vybudované infrastruktury budovy U1 studenty;</w:t>
      </w:r>
    </w:p>
    <w:p w14:paraId="25B8696D"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zajištění akreditace studijních programů v anglickém jazyce;</w:t>
      </w:r>
    </w:p>
    <w:p w14:paraId="2EB153C4"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realizace přednášek/workshopů pro základní a střední školy;</w:t>
      </w:r>
    </w:p>
    <w:p w14:paraId="63E73F85"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realizace přednášek/workshopů pro veřejnost;</w:t>
      </w:r>
    </w:p>
    <w:p w14:paraId="397CCFCC"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zajištění zahraničních stáží akademických pracovníků UTB;</w:t>
      </w:r>
    </w:p>
    <w:p w14:paraId="043C8FF7"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realizace adaptačních/doučovacích kurzů pro studenty;</w:t>
      </w:r>
    </w:p>
    <w:p w14:paraId="226BBBD1"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vytvoření a implementace metodiky zapojení odborníků z praxe do přípravy studijních programů;</w:t>
      </w:r>
    </w:p>
    <w:p w14:paraId="1A110689"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realizace šetření kvality absolventů mezi zaměstnavateli;</w:t>
      </w:r>
    </w:p>
    <w:p w14:paraId="1A3485CC"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realizace šetření kvality výuky mezi studenty;</w:t>
      </w:r>
    </w:p>
    <w:p w14:paraId="6BFD9648"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zajištění vyvážené struktury akademických pracovníků;</w:t>
      </w:r>
    </w:p>
    <w:p w14:paraId="7A7B4AAE"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realizace tzv. „mobilit“ – studijních zahraničních stáží studentů;</w:t>
      </w:r>
    </w:p>
    <w:p w14:paraId="66ECDF3C"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spolupráce s firmami ze Zlínského kraje;</w:t>
      </w:r>
    </w:p>
    <w:p w14:paraId="283CDB89" w14:textId="77777777" w:rsidR="000911F0" w:rsidRPr="006D2566" w:rsidRDefault="000911F0" w:rsidP="0043552B">
      <w:pPr>
        <w:pStyle w:val="Odstavecseseznamem"/>
        <w:widowControl w:val="0"/>
        <w:numPr>
          <w:ilvl w:val="0"/>
          <w:numId w:val="8"/>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zajištění požadovaného počtu studentů přijatých do prvních ročníků nově akreditovaných studijních programů/studijních programů s prodlouženou akreditací.</w:t>
      </w:r>
    </w:p>
    <w:p w14:paraId="41BEEF56" w14:textId="77777777" w:rsidR="00BC6D4A" w:rsidRPr="006D2566" w:rsidRDefault="00BC6D4A" w:rsidP="00BC6D4A">
      <w:pPr>
        <w:pStyle w:val="Odstavecseseznamem"/>
        <w:widowControl w:val="0"/>
        <w:tabs>
          <w:tab w:val="left" w:pos="-1980"/>
          <w:tab w:val="left" w:pos="644"/>
        </w:tabs>
        <w:adjustRightInd w:val="0"/>
        <w:spacing w:after="120" w:line="240" w:lineRule="auto"/>
        <w:jc w:val="both"/>
        <w:textAlignment w:val="baseline"/>
        <w:outlineLvl w:val="0"/>
        <w:rPr>
          <w:rFonts w:ascii="Arial" w:hAnsi="Arial" w:cs="Arial"/>
          <w:sz w:val="20"/>
          <w:szCs w:val="20"/>
        </w:rPr>
      </w:pPr>
    </w:p>
    <w:p w14:paraId="54F0848B" w14:textId="77777777" w:rsidR="00BC6D4A" w:rsidRPr="006D2566" w:rsidRDefault="00BC6D4A" w:rsidP="00BC6D4A">
      <w:pPr>
        <w:pStyle w:val="Odstavecseseznamem"/>
        <w:widowControl w:val="0"/>
        <w:tabs>
          <w:tab w:val="left" w:pos="-1980"/>
          <w:tab w:val="left" w:pos="644"/>
        </w:tabs>
        <w:adjustRightInd w:val="0"/>
        <w:spacing w:after="120" w:line="240" w:lineRule="auto"/>
        <w:jc w:val="both"/>
        <w:textAlignment w:val="baseline"/>
        <w:outlineLvl w:val="0"/>
        <w:rPr>
          <w:rFonts w:cs="Arial"/>
        </w:rPr>
      </w:pPr>
    </w:p>
    <w:p w14:paraId="2A199B38" w14:textId="77777777" w:rsidR="00256E95" w:rsidRPr="006D2566" w:rsidRDefault="00256E95" w:rsidP="00256E95">
      <w:pPr>
        <w:widowControl w:val="0"/>
        <w:tabs>
          <w:tab w:val="left" w:pos="-1980"/>
          <w:tab w:val="left" w:pos="644"/>
        </w:tabs>
        <w:adjustRightInd w:val="0"/>
        <w:spacing w:after="120" w:line="240" w:lineRule="auto"/>
        <w:ind w:left="426"/>
        <w:jc w:val="both"/>
        <w:textAlignment w:val="baseline"/>
        <w:outlineLvl w:val="0"/>
        <w:rPr>
          <w:rFonts w:cs="Arial"/>
          <w:u w:val="single"/>
        </w:rPr>
      </w:pPr>
      <w:r w:rsidRPr="006D2566">
        <w:rPr>
          <w:rFonts w:cs="Arial"/>
          <w:u w:val="single"/>
        </w:rPr>
        <w:t>1.1.2. Měřitelné výstupy (indikátory)</w:t>
      </w:r>
    </w:p>
    <w:p w14:paraId="33647B33" w14:textId="77777777" w:rsidR="00256E95" w:rsidRPr="006D2566" w:rsidRDefault="00256E95" w:rsidP="00256E95">
      <w:pPr>
        <w:widowControl w:val="0"/>
        <w:tabs>
          <w:tab w:val="left" w:pos="-1980"/>
          <w:tab w:val="left" w:pos="644"/>
        </w:tabs>
        <w:adjustRightInd w:val="0"/>
        <w:spacing w:after="120" w:line="240" w:lineRule="auto"/>
        <w:ind w:left="426"/>
        <w:jc w:val="both"/>
        <w:textAlignment w:val="baseline"/>
        <w:outlineLvl w:val="0"/>
        <w:rPr>
          <w:rFonts w:cs="Arial"/>
        </w:rPr>
      </w:pPr>
      <w:r w:rsidRPr="006D2566">
        <w:rPr>
          <w:rFonts w:cs="Arial"/>
        </w:rPr>
        <w:t xml:space="preserve">Ze strany Kraje bude požadováno naplnění níže uvedených měřitelných </w:t>
      </w:r>
      <w:r w:rsidRPr="006D2566">
        <w:rPr>
          <w:rFonts w:cs="Arial"/>
          <w:b/>
        </w:rPr>
        <w:t>výstupů</w:t>
      </w:r>
      <w:r w:rsidRPr="006D2566">
        <w:rPr>
          <w:rFonts w:cs="Arial"/>
        </w:rPr>
        <w:t xml:space="preserve"> (indikátorů) výše uvedených činností:</w:t>
      </w:r>
    </w:p>
    <w:p w14:paraId="30D734C9" w14:textId="104BD759" w:rsidR="00256E95" w:rsidRPr="006D2566" w:rsidRDefault="00256E95"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zahájení výuky</w:t>
      </w:r>
      <w:r w:rsidRPr="006D2566">
        <w:rPr>
          <w:rFonts w:ascii="Arial" w:hAnsi="Arial" w:cs="Arial"/>
          <w:sz w:val="20"/>
          <w:szCs w:val="20"/>
          <w:u w:val="single"/>
        </w:rPr>
        <w:t xml:space="preserve"> v min. 7 nově akreditovaných studijních programech/ studijních programech s prodlouženou akreditací</w:t>
      </w:r>
      <w:r w:rsidRPr="006D2566">
        <w:rPr>
          <w:rFonts w:ascii="Arial" w:hAnsi="Arial" w:cs="Arial"/>
          <w:sz w:val="20"/>
          <w:szCs w:val="20"/>
        </w:rPr>
        <w:t xml:space="preserve"> na UTB v souladu s RIS3 a dalšími strategickými dokumenty Kraje, kdy každý studijní program</w:t>
      </w:r>
      <w:r w:rsidR="005805C3" w:rsidRPr="006D2566">
        <w:rPr>
          <w:rFonts w:ascii="Arial" w:hAnsi="Arial" w:cs="Arial"/>
          <w:sz w:val="20"/>
          <w:szCs w:val="20"/>
        </w:rPr>
        <w:t>, není-li stanoveno jinak,</w:t>
      </w:r>
      <w:r w:rsidRPr="006D2566">
        <w:rPr>
          <w:rFonts w:ascii="Arial" w:hAnsi="Arial" w:cs="Arial"/>
          <w:sz w:val="20"/>
          <w:szCs w:val="20"/>
        </w:rPr>
        <w:t xml:space="preserve"> je pro účely smluvních pokut vnímán jako samostatný indikátor, a to:</w:t>
      </w:r>
    </w:p>
    <w:p w14:paraId="4B10D404" w14:textId="77777777" w:rsidR="00256E95" w:rsidRPr="006D2566" w:rsidRDefault="00256E95" w:rsidP="00256E95">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5FA284DA" w14:textId="77777777" w:rsidR="00256E95" w:rsidRPr="006D2566" w:rsidRDefault="00256E95" w:rsidP="00256E95">
      <w:pPr>
        <w:pStyle w:val="Odstavecseseznamem"/>
        <w:widowControl w:val="0"/>
        <w:tabs>
          <w:tab w:val="left" w:pos="-1980"/>
          <w:tab w:val="left" w:pos="426"/>
        </w:tabs>
        <w:adjustRightInd w:val="0"/>
        <w:spacing w:after="120" w:line="240" w:lineRule="auto"/>
        <w:ind w:left="1440"/>
        <w:jc w:val="both"/>
        <w:textAlignment w:val="baseline"/>
        <w:outlineLvl w:val="0"/>
        <w:rPr>
          <w:rFonts w:ascii="Arial" w:hAnsi="Arial" w:cs="Arial"/>
          <w:sz w:val="20"/>
          <w:szCs w:val="20"/>
        </w:rPr>
      </w:pPr>
      <w:r w:rsidRPr="006D2566">
        <w:rPr>
          <w:rFonts w:ascii="Arial" w:hAnsi="Arial" w:cs="Arial"/>
          <w:sz w:val="20"/>
          <w:szCs w:val="20"/>
        </w:rPr>
        <w:t>a1)</w:t>
      </w:r>
      <w:r w:rsidRPr="006D2566">
        <w:rPr>
          <w:rFonts w:ascii="Arial" w:hAnsi="Arial" w:cs="Arial"/>
          <w:sz w:val="20"/>
          <w:szCs w:val="20"/>
        </w:rPr>
        <w:tab/>
      </w:r>
    </w:p>
    <w:p w14:paraId="78CF9282" w14:textId="77777777" w:rsidR="00256E95" w:rsidRPr="006D2566" w:rsidRDefault="00256E95" w:rsidP="00872436">
      <w:pPr>
        <w:pStyle w:val="Odstavecseseznamem"/>
        <w:widowControl w:val="0"/>
        <w:numPr>
          <w:ilvl w:val="0"/>
          <w:numId w:val="12"/>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Nový studijní program/y v oblasti vzdělávání Strojírenství, technologie a materiály – bakalářské studium, studijní kapacita: </w:t>
      </w:r>
      <w:r w:rsidR="004D4AB4" w:rsidRPr="006D2566">
        <w:rPr>
          <w:rFonts w:ascii="Arial" w:hAnsi="Arial" w:cs="Arial"/>
          <w:sz w:val="20"/>
          <w:szCs w:val="20"/>
        </w:rPr>
        <w:t xml:space="preserve">min. </w:t>
      </w:r>
      <w:r w:rsidRPr="006D2566">
        <w:rPr>
          <w:rFonts w:ascii="Arial" w:hAnsi="Arial" w:cs="Arial"/>
          <w:sz w:val="20"/>
          <w:szCs w:val="20"/>
        </w:rPr>
        <w:t xml:space="preserve">120 míst. Předpokládaný název „Strojírenství a výrobní technologie“. </w:t>
      </w:r>
    </w:p>
    <w:p w14:paraId="4E3473F8" w14:textId="77777777" w:rsidR="00256E95" w:rsidRPr="006D2566" w:rsidRDefault="00256E95" w:rsidP="00872436">
      <w:pPr>
        <w:pStyle w:val="Odstavecseseznamem"/>
        <w:widowControl w:val="0"/>
        <w:numPr>
          <w:ilvl w:val="0"/>
          <w:numId w:val="12"/>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Nový studijní program/y v oblasti vzdělávání Zdravotnické obory – bakalářské studium, studijní kapacita: </w:t>
      </w:r>
      <w:r w:rsidR="004D4AB4" w:rsidRPr="006D2566">
        <w:rPr>
          <w:rFonts w:ascii="Arial" w:hAnsi="Arial" w:cs="Arial"/>
          <w:sz w:val="20"/>
          <w:szCs w:val="20"/>
        </w:rPr>
        <w:t>min.</w:t>
      </w:r>
      <w:r w:rsidR="001C1506" w:rsidRPr="006D2566">
        <w:rPr>
          <w:rFonts w:ascii="Arial" w:hAnsi="Arial" w:cs="Arial"/>
          <w:sz w:val="20"/>
          <w:szCs w:val="20"/>
        </w:rPr>
        <w:t xml:space="preserve"> </w:t>
      </w:r>
      <w:r w:rsidR="000C0C47" w:rsidRPr="006D2566">
        <w:rPr>
          <w:rFonts w:ascii="Arial" w:hAnsi="Arial" w:cs="Arial"/>
          <w:sz w:val="20"/>
          <w:szCs w:val="20"/>
        </w:rPr>
        <w:t>2</w:t>
      </w:r>
      <w:r w:rsidRPr="006D2566">
        <w:rPr>
          <w:rFonts w:ascii="Arial" w:hAnsi="Arial" w:cs="Arial"/>
          <w:sz w:val="20"/>
          <w:szCs w:val="20"/>
        </w:rPr>
        <w:t>0 míst. Předpokládaný název „Zdravotnický záchranář“.</w:t>
      </w:r>
    </w:p>
    <w:p w14:paraId="4D51DCEA" w14:textId="77777777" w:rsidR="00256E95" w:rsidRPr="006D2566" w:rsidRDefault="00256E95" w:rsidP="00872436">
      <w:pPr>
        <w:pStyle w:val="Odstavecseseznamem"/>
        <w:widowControl w:val="0"/>
        <w:numPr>
          <w:ilvl w:val="0"/>
          <w:numId w:val="12"/>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Studijní program s prodlouženou akreditací či nový studijní program/y v oblasti vzdělávání Potravinářství – bakalářské studium, studijní kapacita: </w:t>
      </w:r>
      <w:r w:rsidR="004D4AB4" w:rsidRPr="006D2566">
        <w:rPr>
          <w:rFonts w:ascii="Arial" w:hAnsi="Arial" w:cs="Arial"/>
          <w:sz w:val="20"/>
          <w:szCs w:val="20"/>
        </w:rPr>
        <w:t>min.</w:t>
      </w:r>
      <w:r w:rsidR="001C1506" w:rsidRPr="006D2566">
        <w:rPr>
          <w:rFonts w:ascii="Arial" w:hAnsi="Arial" w:cs="Arial"/>
          <w:sz w:val="20"/>
          <w:szCs w:val="20"/>
        </w:rPr>
        <w:t xml:space="preserve"> </w:t>
      </w:r>
      <w:r w:rsidRPr="006D2566">
        <w:rPr>
          <w:rFonts w:ascii="Arial" w:hAnsi="Arial" w:cs="Arial"/>
          <w:sz w:val="20"/>
          <w:szCs w:val="20"/>
        </w:rPr>
        <w:t>60</w:t>
      </w:r>
      <w:r w:rsidR="00640856" w:rsidRPr="006D2566">
        <w:rPr>
          <w:rFonts w:ascii="Arial" w:hAnsi="Arial" w:cs="Arial"/>
          <w:sz w:val="20"/>
          <w:szCs w:val="20"/>
        </w:rPr>
        <w:t xml:space="preserve"> míst</w:t>
      </w:r>
      <w:r w:rsidRPr="006D2566">
        <w:rPr>
          <w:rFonts w:ascii="Arial" w:hAnsi="Arial" w:cs="Arial"/>
          <w:sz w:val="20"/>
          <w:szCs w:val="20"/>
        </w:rPr>
        <w:t>. Prodloužená akreditace příp. nová akreditace bude navazovat na stávající studijní program „Technologie a hodnocení potravin“.</w:t>
      </w:r>
    </w:p>
    <w:p w14:paraId="5894E575" w14:textId="77777777" w:rsidR="00256E95" w:rsidRPr="006D2566" w:rsidRDefault="00256E95" w:rsidP="00872436">
      <w:pPr>
        <w:pStyle w:val="Odstavecseseznamem"/>
        <w:widowControl w:val="0"/>
        <w:numPr>
          <w:ilvl w:val="0"/>
          <w:numId w:val="12"/>
        </w:numPr>
        <w:tabs>
          <w:tab w:val="left" w:pos="-1980"/>
          <w:tab w:val="left" w:pos="426"/>
        </w:tabs>
        <w:adjustRightInd w:val="0"/>
        <w:spacing w:after="240" w:line="240" w:lineRule="auto"/>
        <w:jc w:val="both"/>
        <w:textAlignment w:val="baseline"/>
        <w:outlineLvl w:val="0"/>
        <w:rPr>
          <w:rFonts w:ascii="Arial" w:hAnsi="Arial" w:cs="Arial"/>
          <w:sz w:val="20"/>
          <w:szCs w:val="20"/>
        </w:rPr>
      </w:pPr>
      <w:r w:rsidRPr="006D2566">
        <w:rPr>
          <w:rFonts w:ascii="Arial" w:hAnsi="Arial" w:cs="Arial"/>
          <w:sz w:val="20"/>
          <w:szCs w:val="20"/>
        </w:rPr>
        <w:t xml:space="preserve">Studijní program s prodlouženou akreditací či nový studijní program/y v oblasti vzdělávání Chemie – bakalářské studium, studijní kapacita: </w:t>
      </w:r>
      <w:r w:rsidR="004D4AB4" w:rsidRPr="006D2566">
        <w:rPr>
          <w:rFonts w:ascii="Arial" w:hAnsi="Arial" w:cs="Arial"/>
          <w:sz w:val="20"/>
          <w:szCs w:val="20"/>
        </w:rPr>
        <w:t>min.</w:t>
      </w:r>
      <w:r w:rsidR="001C1506" w:rsidRPr="006D2566">
        <w:rPr>
          <w:rFonts w:ascii="Arial" w:hAnsi="Arial" w:cs="Arial"/>
          <w:sz w:val="20"/>
          <w:szCs w:val="20"/>
        </w:rPr>
        <w:t xml:space="preserve"> </w:t>
      </w:r>
      <w:r w:rsidRPr="006D2566">
        <w:rPr>
          <w:rFonts w:ascii="Arial" w:hAnsi="Arial" w:cs="Arial"/>
          <w:sz w:val="20"/>
          <w:szCs w:val="20"/>
        </w:rPr>
        <w:t>60</w:t>
      </w:r>
      <w:r w:rsidR="00640856" w:rsidRPr="006D2566">
        <w:rPr>
          <w:rFonts w:ascii="Arial" w:hAnsi="Arial" w:cs="Arial"/>
          <w:sz w:val="20"/>
          <w:szCs w:val="20"/>
        </w:rPr>
        <w:t xml:space="preserve"> míst</w:t>
      </w:r>
      <w:r w:rsidRPr="006D2566">
        <w:rPr>
          <w:rFonts w:ascii="Arial" w:hAnsi="Arial" w:cs="Arial"/>
          <w:sz w:val="20"/>
          <w:szCs w:val="20"/>
        </w:rPr>
        <w:t>. Prodloužená akreditace příp. nová akreditace bude navazovat na stávající studijní program „Materiály a technologie“.</w:t>
      </w:r>
    </w:p>
    <w:p w14:paraId="63339B49" w14:textId="77777777" w:rsidR="00256E95" w:rsidRPr="006D2566" w:rsidRDefault="00256E95" w:rsidP="00256E95">
      <w:pPr>
        <w:pStyle w:val="Odstavecseseznamem"/>
        <w:widowControl w:val="0"/>
        <w:tabs>
          <w:tab w:val="left" w:pos="-1980"/>
          <w:tab w:val="left" w:pos="426"/>
        </w:tabs>
        <w:adjustRightInd w:val="0"/>
        <w:spacing w:after="240" w:line="240" w:lineRule="auto"/>
        <w:ind w:left="1440"/>
        <w:jc w:val="both"/>
        <w:textAlignment w:val="baseline"/>
        <w:outlineLvl w:val="0"/>
        <w:rPr>
          <w:rFonts w:ascii="Arial" w:hAnsi="Arial" w:cs="Arial"/>
          <w:sz w:val="20"/>
          <w:szCs w:val="20"/>
        </w:rPr>
      </w:pPr>
      <w:r w:rsidRPr="006D2566">
        <w:rPr>
          <w:rFonts w:ascii="Arial" w:hAnsi="Arial" w:cs="Arial"/>
          <w:sz w:val="20"/>
          <w:szCs w:val="20"/>
          <w:u w:val="single"/>
        </w:rPr>
        <w:t>Zahájení výuky</w:t>
      </w:r>
      <w:r w:rsidRPr="006D2566">
        <w:rPr>
          <w:rFonts w:ascii="Arial" w:hAnsi="Arial" w:cs="Arial"/>
          <w:sz w:val="20"/>
          <w:szCs w:val="20"/>
        </w:rPr>
        <w:t xml:space="preserve"> těchto studijních programů bude v akademickém roce </w:t>
      </w:r>
      <w:r w:rsidRPr="006D2566">
        <w:rPr>
          <w:rFonts w:ascii="Arial" w:hAnsi="Arial" w:cs="Arial"/>
          <w:sz w:val="20"/>
          <w:szCs w:val="20"/>
          <w:u w:val="single"/>
        </w:rPr>
        <w:t xml:space="preserve">2027/2028. </w:t>
      </w:r>
    </w:p>
    <w:p w14:paraId="4DD91AEE" w14:textId="77777777" w:rsidR="00256E95" w:rsidRPr="006D2566" w:rsidRDefault="00256E95" w:rsidP="00256E95">
      <w:pPr>
        <w:pStyle w:val="Odstavecseseznamem"/>
        <w:widowControl w:val="0"/>
        <w:tabs>
          <w:tab w:val="left" w:pos="-1980"/>
          <w:tab w:val="left" w:pos="426"/>
        </w:tabs>
        <w:adjustRightInd w:val="0"/>
        <w:spacing w:after="240" w:line="240" w:lineRule="auto"/>
        <w:jc w:val="both"/>
        <w:textAlignment w:val="baseline"/>
        <w:outlineLvl w:val="0"/>
        <w:rPr>
          <w:rFonts w:ascii="Arial" w:hAnsi="Arial" w:cs="Arial"/>
          <w:sz w:val="20"/>
          <w:szCs w:val="20"/>
        </w:rPr>
      </w:pPr>
    </w:p>
    <w:p w14:paraId="1CEB0D61" w14:textId="77777777" w:rsidR="00256E95" w:rsidRPr="006D2566" w:rsidRDefault="00256E95" w:rsidP="00256E95">
      <w:pPr>
        <w:pStyle w:val="Odstavecseseznamem"/>
        <w:widowControl w:val="0"/>
        <w:tabs>
          <w:tab w:val="left" w:pos="-1980"/>
          <w:tab w:val="left" w:pos="426"/>
        </w:tabs>
        <w:adjustRightInd w:val="0"/>
        <w:spacing w:after="240" w:line="240" w:lineRule="auto"/>
        <w:jc w:val="both"/>
        <w:textAlignment w:val="baseline"/>
        <w:outlineLvl w:val="0"/>
        <w:rPr>
          <w:rFonts w:ascii="Arial" w:hAnsi="Arial" w:cs="Arial"/>
          <w:sz w:val="20"/>
          <w:szCs w:val="20"/>
        </w:rPr>
      </w:pPr>
    </w:p>
    <w:p w14:paraId="006D11D1" w14:textId="77777777" w:rsidR="00256E95" w:rsidRPr="006D2566" w:rsidRDefault="00256E95" w:rsidP="00256E95">
      <w:pPr>
        <w:pStyle w:val="Odstavecseseznamem"/>
        <w:widowControl w:val="0"/>
        <w:tabs>
          <w:tab w:val="left" w:pos="-1980"/>
          <w:tab w:val="left" w:pos="426"/>
        </w:tabs>
        <w:adjustRightInd w:val="0"/>
        <w:spacing w:before="120" w:after="120" w:line="240" w:lineRule="auto"/>
        <w:ind w:left="1440"/>
        <w:jc w:val="both"/>
        <w:textAlignment w:val="baseline"/>
        <w:outlineLvl w:val="0"/>
        <w:rPr>
          <w:rFonts w:ascii="Arial" w:hAnsi="Arial" w:cs="Arial"/>
          <w:sz w:val="20"/>
          <w:szCs w:val="20"/>
        </w:rPr>
      </w:pPr>
      <w:r w:rsidRPr="006D2566">
        <w:rPr>
          <w:rFonts w:ascii="Arial" w:hAnsi="Arial" w:cs="Arial"/>
          <w:sz w:val="20"/>
          <w:szCs w:val="20"/>
        </w:rPr>
        <w:lastRenderedPageBreak/>
        <w:t>a2)</w:t>
      </w:r>
    </w:p>
    <w:p w14:paraId="73512EA7" w14:textId="77777777" w:rsidR="00256E95" w:rsidRPr="006D2566" w:rsidRDefault="00256E95" w:rsidP="00872436">
      <w:pPr>
        <w:pStyle w:val="Odstavecseseznamem"/>
        <w:widowControl w:val="0"/>
        <w:numPr>
          <w:ilvl w:val="0"/>
          <w:numId w:val="13"/>
        </w:numPr>
        <w:tabs>
          <w:tab w:val="left" w:pos="-1980"/>
          <w:tab w:val="left" w:pos="426"/>
        </w:tabs>
        <w:adjustRightInd w:val="0"/>
        <w:spacing w:before="120"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Nový studijní program/y v oblasti vzdělávání Zdravotnické obory – bakalářské studium, studijní kapacita: </w:t>
      </w:r>
      <w:r w:rsidR="004D4AB4" w:rsidRPr="006D2566">
        <w:rPr>
          <w:rFonts w:ascii="Arial" w:hAnsi="Arial" w:cs="Arial"/>
          <w:sz w:val="20"/>
          <w:szCs w:val="20"/>
        </w:rPr>
        <w:t>min.</w:t>
      </w:r>
      <w:r w:rsidR="001C1506" w:rsidRPr="006D2566">
        <w:rPr>
          <w:rFonts w:ascii="Arial" w:hAnsi="Arial" w:cs="Arial"/>
          <w:sz w:val="20"/>
          <w:szCs w:val="20"/>
        </w:rPr>
        <w:t xml:space="preserve"> </w:t>
      </w:r>
      <w:r w:rsidRPr="006D2566">
        <w:rPr>
          <w:rFonts w:ascii="Arial" w:hAnsi="Arial" w:cs="Arial"/>
          <w:sz w:val="20"/>
          <w:szCs w:val="20"/>
        </w:rPr>
        <w:t>20 míst. Předpokládaný název „Radiologická asistence“.</w:t>
      </w:r>
    </w:p>
    <w:p w14:paraId="0C77B190" w14:textId="77777777" w:rsidR="00256E95" w:rsidRPr="006D2566" w:rsidRDefault="00256E95" w:rsidP="00872436">
      <w:pPr>
        <w:pStyle w:val="Odstavecseseznamem"/>
        <w:widowControl w:val="0"/>
        <w:numPr>
          <w:ilvl w:val="0"/>
          <w:numId w:val="13"/>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Nový studijní program/y v oblasti vzdělávání Potravinářství – navazující magisterské studium, studijní kapacita: </w:t>
      </w:r>
      <w:r w:rsidR="004D4AB4" w:rsidRPr="006D2566">
        <w:rPr>
          <w:rFonts w:ascii="Arial" w:hAnsi="Arial" w:cs="Arial"/>
          <w:sz w:val="20"/>
          <w:szCs w:val="20"/>
        </w:rPr>
        <w:t>min.</w:t>
      </w:r>
      <w:r w:rsidR="001C1506" w:rsidRPr="006D2566">
        <w:rPr>
          <w:rFonts w:ascii="Arial" w:hAnsi="Arial" w:cs="Arial"/>
          <w:sz w:val="20"/>
          <w:szCs w:val="20"/>
        </w:rPr>
        <w:t xml:space="preserve"> </w:t>
      </w:r>
      <w:r w:rsidRPr="006D2566">
        <w:rPr>
          <w:rFonts w:ascii="Arial" w:hAnsi="Arial" w:cs="Arial"/>
          <w:sz w:val="20"/>
          <w:szCs w:val="20"/>
        </w:rPr>
        <w:t>60 míst. Předpokládaný název „Gastronomie a výživa“.</w:t>
      </w:r>
    </w:p>
    <w:p w14:paraId="66E387C0" w14:textId="77777777" w:rsidR="00256E95" w:rsidRPr="006D2566" w:rsidRDefault="00256E95" w:rsidP="00872436">
      <w:pPr>
        <w:pStyle w:val="Odstavecseseznamem"/>
        <w:widowControl w:val="0"/>
        <w:numPr>
          <w:ilvl w:val="0"/>
          <w:numId w:val="13"/>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Nový studijní program/y v oblasti vzdělávání Chemie/Elektrotechnika/Technická kybernetika – bakalářské studium, studijní kapacita: </w:t>
      </w:r>
      <w:r w:rsidR="004D4AB4" w:rsidRPr="006D2566">
        <w:rPr>
          <w:rFonts w:ascii="Arial" w:hAnsi="Arial" w:cs="Arial"/>
          <w:sz w:val="20"/>
          <w:szCs w:val="20"/>
        </w:rPr>
        <w:t xml:space="preserve">min. </w:t>
      </w:r>
      <w:r w:rsidRPr="006D2566">
        <w:rPr>
          <w:rFonts w:ascii="Arial" w:hAnsi="Arial" w:cs="Arial"/>
          <w:sz w:val="20"/>
          <w:szCs w:val="20"/>
        </w:rPr>
        <w:t>60 míst. Předpokládaný název „Polovodičové materiály“.</w:t>
      </w:r>
    </w:p>
    <w:p w14:paraId="41DBB18F" w14:textId="77777777" w:rsidR="00256E95" w:rsidRPr="006D2566" w:rsidRDefault="00256E95" w:rsidP="00256E95">
      <w:pPr>
        <w:pStyle w:val="Odstavecseseznamem"/>
        <w:widowControl w:val="0"/>
        <w:tabs>
          <w:tab w:val="left" w:pos="-1980"/>
          <w:tab w:val="left" w:pos="426"/>
        </w:tabs>
        <w:adjustRightInd w:val="0"/>
        <w:spacing w:after="240" w:line="240" w:lineRule="auto"/>
        <w:ind w:left="1440"/>
        <w:jc w:val="both"/>
        <w:textAlignment w:val="baseline"/>
        <w:outlineLvl w:val="0"/>
        <w:rPr>
          <w:rFonts w:ascii="Arial" w:hAnsi="Arial" w:cs="Arial"/>
          <w:sz w:val="20"/>
          <w:szCs w:val="20"/>
        </w:rPr>
      </w:pPr>
      <w:r w:rsidRPr="006D2566">
        <w:rPr>
          <w:rFonts w:ascii="Arial" w:hAnsi="Arial" w:cs="Arial"/>
          <w:sz w:val="20"/>
          <w:szCs w:val="20"/>
          <w:u w:val="single"/>
        </w:rPr>
        <w:t>Zahájení výuky</w:t>
      </w:r>
      <w:r w:rsidRPr="006D2566">
        <w:rPr>
          <w:rFonts w:ascii="Arial" w:hAnsi="Arial" w:cs="Arial"/>
          <w:sz w:val="20"/>
          <w:szCs w:val="20"/>
        </w:rPr>
        <w:t xml:space="preserve"> těchto studijních programů bude v akademickém roce </w:t>
      </w:r>
      <w:r w:rsidRPr="006D2566">
        <w:rPr>
          <w:rFonts w:ascii="Arial" w:hAnsi="Arial" w:cs="Arial"/>
          <w:sz w:val="20"/>
          <w:szCs w:val="20"/>
          <w:u w:val="single"/>
        </w:rPr>
        <w:t xml:space="preserve">2028/2029. </w:t>
      </w:r>
    </w:p>
    <w:p w14:paraId="24378881" w14:textId="77777777" w:rsidR="00BC6D4A" w:rsidRPr="006D2566" w:rsidRDefault="00BC6D4A" w:rsidP="00BC6D4A">
      <w:pPr>
        <w:pStyle w:val="Odstavecseseznamem"/>
        <w:widowControl w:val="0"/>
        <w:tabs>
          <w:tab w:val="left" w:pos="-1980"/>
          <w:tab w:val="left" w:pos="426"/>
        </w:tabs>
        <w:adjustRightInd w:val="0"/>
        <w:spacing w:after="120" w:line="240" w:lineRule="auto"/>
        <w:ind w:left="1440"/>
        <w:jc w:val="both"/>
        <w:textAlignment w:val="baseline"/>
        <w:outlineLvl w:val="0"/>
        <w:rPr>
          <w:rFonts w:ascii="Arial" w:hAnsi="Arial" w:cs="Arial"/>
          <w:sz w:val="20"/>
          <w:szCs w:val="20"/>
        </w:rPr>
      </w:pPr>
    </w:p>
    <w:p w14:paraId="017C7045" w14:textId="77777777" w:rsidR="00CE4396" w:rsidRPr="006D2566" w:rsidRDefault="00CE4396" w:rsidP="00CE4396">
      <w:pPr>
        <w:widowControl w:val="0"/>
        <w:tabs>
          <w:tab w:val="left" w:pos="-1980"/>
          <w:tab w:val="left" w:pos="644"/>
        </w:tabs>
        <w:adjustRightInd w:val="0"/>
        <w:spacing w:after="120" w:line="240" w:lineRule="auto"/>
        <w:ind w:left="426"/>
        <w:jc w:val="both"/>
        <w:textAlignment w:val="baseline"/>
        <w:outlineLvl w:val="0"/>
        <w:rPr>
          <w:rFonts w:cs="Arial"/>
        </w:rPr>
      </w:pPr>
      <w:r w:rsidRPr="006D2566">
        <w:rPr>
          <w:rFonts w:cs="Arial"/>
        </w:rPr>
        <w:t>Výstup v sobě zahrnuje také vyvinutí veškeré možné snahy, kterou lze po UTB spravedlivě požadovat</w:t>
      </w:r>
      <w:r w:rsidR="00582E50" w:rsidRPr="006D2566">
        <w:rPr>
          <w:rFonts w:cs="Arial"/>
        </w:rPr>
        <w:t>,</w:t>
      </w:r>
      <w:r w:rsidRPr="006D2566">
        <w:rPr>
          <w:rFonts w:cs="Arial"/>
        </w:rPr>
        <w:t xml:space="preserve"> o maximální naplnění akreditovaných studijních programů studenty v každém akademickém roce a povinnost podání žádosti o prodloužení akreditace tak, aby uvedené studijní programy (včetně studijních programů s prodlouženou akreditací) byly realizovány po celou dobu trvání smlouvy. </w:t>
      </w:r>
    </w:p>
    <w:p w14:paraId="1DEBAB69" w14:textId="77777777" w:rsidR="00CE4396" w:rsidRPr="006D2566" w:rsidRDefault="00CE4396" w:rsidP="00CE4396">
      <w:pPr>
        <w:widowControl w:val="0"/>
        <w:tabs>
          <w:tab w:val="left" w:pos="-1980"/>
          <w:tab w:val="left" w:pos="644"/>
        </w:tabs>
        <w:adjustRightInd w:val="0"/>
        <w:spacing w:after="120" w:line="240" w:lineRule="auto"/>
        <w:ind w:left="426"/>
        <w:jc w:val="both"/>
        <w:textAlignment w:val="baseline"/>
        <w:outlineLvl w:val="0"/>
        <w:rPr>
          <w:rFonts w:cs="Arial"/>
        </w:rPr>
      </w:pPr>
      <w:r w:rsidRPr="006D2566">
        <w:rPr>
          <w:rFonts w:cs="Arial"/>
        </w:rPr>
        <w:t xml:space="preserve">Prodloužená akreditace bude zahrnovat inovaci stávajících oborů v oblasti projektového řízení, digitálních kompetencí i prvků naplňujících Green </w:t>
      </w:r>
      <w:proofErr w:type="spellStart"/>
      <w:r w:rsidRPr="006D2566">
        <w:rPr>
          <w:rFonts w:cs="Arial"/>
        </w:rPr>
        <w:t>Deal</w:t>
      </w:r>
      <w:proofErr w:type="spellEnd"/>
      <w:r w:rsidRPr="006D2566">
        <w:rPr>
          <w:rFonts w:cs="Arial"/>
        </w:rPr>
        <w:t xml:space="preserve"> EU, a tím posílení jejich atraktivity. </w:t>
      </w:r>
    </w:p>
    <w:p w14:paraId="751B924A" w14:textId="77777777" w:rsidR="00CE4396" w:rsidRPr="006D2566" w:rsidRDefault="00CE4396" w:rsidP="00CE4396">
      <w:pPr>
        <w:widowControl w:val="0"/>
        <w:tabs>
          <w:tab w:val="left" w:pos="-1980"/>
          <w:tab w:val="left" w:pos="644"/>
        </w:tabs>
        <w:adjustRightInd w:val="0"/>
        <w:spacing w:after="120" w:line="240" w:lineRule="auto"/>
        <w:ind w:left="426"/>
        <w:jc w:val="both"/>
        <w:textAlignment w:val="baseline"/>
        <w:outlineLvl w:val="0"/>
        <w:rPr>
          <w:rFonts w:cs="Arial"/>
        </w:rPr>
      </w:pPr>
      <w:r w:rsidRPr="006D2566">
        <w:rPr>
          <w:rFonts w:cs="Arial"/>
        </w:rPr>
        <w:t>Každoroční průběžná zpráva o plnění dle 1.1.3. bude obsahovat popis aktivit vedoucích k naplnění cílového stavu za každý akademický rok. Splnění indikátorů bude sledováno po celou dobu trvání smlouvy, kdy konečný stav bude popsán ve zprávě za rok 2034.</w:t>
      </w:r>
    </w:p>
    <w:p w14:paraId="3DC82099" w14:textId="77777777" w:rsidR="00CE4396" w:rsidRPr="006D2566" w:rsidRDefault="00CE4396" w:rsidP="00CE4396">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41976B9E" w14:textId="7CAD83D3" w:rsidR="00E92394" w:rsidRPr="006D2566" w:rsidRDefault="00CE4396" w:rsidP="009F4191">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vytvoření (a následné udržení) </w:t>
      </w:r>
      <w:r w:rsidR="001F0670" w:rsidRPr="006D2566">
        <w:rPr>
          <w:rFonts w:ascii="Arial" w:hAnsi="Arial" w:cs="Arial"/>
          <w:sz w:val="20"/>
          <w:szCs w:val="20"/>
        </w:rPr>
        <w:t xml:space="preserve">celkově </w:t>
      </w:r>
      <w:r w:rsidRPr="006D2566">
        <w:rPr>
          <w:rFonts w:ascii="Arial" w:hAnsi="Arial" w:cs="Arial"/>
          <w:sz w:val="20"/>
          <w:szCs w:val="20"/>
        </w:rPr>
        <w:t xml:space="preserve">min. </w:t>
      </w:r>
      <w:r w:rsidR="00685860" w:rsidRPr="006D2566">
        <w:rPr>
          <w:rFonts w:ascii="Arial" w:hAnsi="Arial" w:cs="Arial"/>
          <w:sz w:val="20"/>
          <w:szCs w:val="20"/>
          <w:u w:val="single"/>
        </w:rPr>
        <w:t>4</w:t>
      </w:r>
      <w:r w:rsidR="00097E4D" w:rsidRPr="006D2566">
        <w:rPr>
          <w:rFonts w:ascii="Arial" w:hAnsi="Arial" w:cs="Arial"/>
          <w:sz w:val="20"/>
          <w:szCs w:val="20"/>
          <w:u w:val="single"/>
        </w:rPr>
        <w:t>0</w:t>
      </w:r>
      <w:r w:rsidR="00685860" w:rsidRPr="006D2566">
        <w:rPr>
          <w:rFonts w:ascii="Arial" w:hAnsi="Arial" w:cs="Arial"/>
          <w:sz w:val="20"/>
          <w:szCs w:val="20"/>
          <w:u w:val="single"/>
        </w:rPr>
        <w:t>0</w:t>
      </w:r>
      <w:r w:rsidRPr="006D2566">
        <w:rPr>
          <w:rFonts w:ascii="Arial" w:hAnsi="Arial" w:cs="Arial"/>
          <w:sz w:val="20"/>
          <w:szCs w:val="20"/>
          <w:u w:val="single"/>
        </w:rPr>
        <w:t xml:space="preserve"> studijních míst</w:t>
      </w:r>
      <w:r w:rsidRPr="006D2566">
        <w:rPr>
          <w:rFonts w:ascii="Arial" w:hAnsi="Arial" w:cs="Arial"/>
          <w:sz w:val="20"/>
          <w:szCs w:val="20"/>
        </w:rPr>
        <w:t xml:space="preserve"> u nově akreditovaných studijních či studijních programů s prodlouženou akreditací</w:t>
      </w:r>
      <w:r w:rsidR="009135A6" w:rsidRPr="006D2566">
        <w:rPr>
          <w:rFonts w:ascii="Arial" w:hAnsi="Arial" w:cs="Arial"/>
          <w:sz w:val="20"/>
          <w:szCs w:val="20"/>
        </w:rPr>
        <w:t>, kdy není-li dále stanoveno jinak, nemusí se jednat o studijní místa v programech dle bodu a)</w:t>
      </w:r>
      <w:r w:rsidR="007D4145" w:rsidRPr="006D2566">
        <w:rPr>
          <w:rFonts w:ascii="Arial" w:hAnsi="Arial" w:cs="Arial"/>
          <w:sz w:val="20"/>
          <w:szCs w:val="20"/>
        </w:rPr>
        <w:t>.</w:t>
      </w:r>
      <w:r w:rsidRPr="006D2566">
        <w:rPr>
          <w:rFonts w:ascii="Arial" w:hAnsi="Arial" w:cs="Arial"/>
          <w:sz w:val="20"/>
          <w:szCs w:val="20"/>
        </w:rPr>
        <w:t xml:space="preserve"> </w:t>
      </w:r>
    </w:p>
    <w:p w14:paraId="690864A9" w14:textId="04AF64AB" w:rsidR="00CC140D" w:rsidRPr="006D2566" w:rsidRDefault="00CE4396" w:rsidP="00741C1D">
      <w:pPr>
        <w:widowControl w:val="0"/>
        <w:tabs>
          <w:tab w:val="left" w:pos="-1980"/>
          <w:tab w:val="left" w:pos="426"/>
        </w:tabs>
        <w:adjustRightInd w:val="0"/>
        <w:spacing w:after="120" w:line="240" w:lineRule="auto"/>
        <w:ind w:left="708"/>
        <w:jc w:val="both"/>
        <w:textAlignment w:val="baseline"/>
        <w:outlineLvl w:val="0"/>
        <w:rPr>
          <w:rFonts w:cs="Arial"/>
        </w:rPr>
      </w:pPr>
      <w:r w:rsidRPr="006D2566">
        <w:rPr>
          <w:rFonts w:cs="Arial"/>
        </w:rPr>
        <w:t xml:space="preserve">Konkrétně bude sledováno vytvoření </w:t>
      </w:r>
      <w:r w:rsidR="00097E4D" w:rsidRPr="006D2566">
        <w:rPr>
          <w:rFonts w:cs="Arial"/>
          <w:u w:val="single"/>
        </w:rPr>
        <w:t>26</w:t>
      </w:r>
      <w:r w:rsidR="001918E6" w:rsidRPr="006D2566">
        <w:rPr>
          <w:rFonts w:cs="Arial"/>
          <w:u w:val="single"/>
        </w:rPr>
        <w:t>0</w:t>
      </w:r>
      <w:r w:rsidRPr="006D2566">
        <w:rPr>
          <w:rFonts w:cs="Arial"/>
          <w:u w:val="single"/>
        </w:rPr>
        <w:t xml:space="preserve"> studijních míst</w:t>
      </w:r>
      <w:r w:rsidRPr="006D2566">
        <w:rPr>
          <w:rFonts w:cs="Arial"/>
        </w:rPr>
        <w:t xml:space="preserve"> u nově akreditovaných studijních programů/studijních programů s prodlouženou akreditací k zahájení akademického roku 2027/2028</w:t>
      </w:r>
      <w:r w:rsidR="00B010A5" w:rsidRPr="006D2566">
        <w:rPr>
          <w:rFonts w:cs="Arial"/>
        </w:rPr>
        <w:t xml:space="preserve">, z čehož musí být počet míst min. 120 v novém studijním programu/ech v oblasti vzdělávání Strojírenství, technologie a materiály – bakalářské studium, </w:t>
      </w:r>
      <w:r w:rsidR="00F9001F" w:rsidRPr="006D2566">
        <w:rPr>
          <w:rFonts w:cs="Arial"/>
        </w:rPr>
        <w:t>p</w:t>
      </w:r>
      <w:r w:rsidR="00B010A5" w:rsidRPr="006D2566">
        <w:rPr>
          <w:rFonts w:cs="Arial"/>
        </w:rPr>
        <w:t>ředpokládaný název „Strojírenství a výrobní technologie“</w:t>
      </w:r>
      <w:r w:rsidR="007639AD" w:rsidRPr="006D2566">
        <w:rPr>
          <w:rFonts w:cs="Arial"/>
        </w:rPr>
        <w:t>.</w:t>
      </w:r>
      <w:r w:rsidR="00B010A5" w:rsidRPr="006D2566">
        <w:rPr>
          <w:rFonts w:cs="Arial"/>
        </w:rPr>
        <w:t xml:space="preserve"> </w:t>
      </w:r>
      <w:r w:rsidR="007639AD" w:rsidRPr="006D2566">
        <w:rPr>
          <w:rFonts w:cs="Arial"/>
        </w:rPr>
        <w:t xml:space="preserve">K zahájení akademického roku 2028/2029 bude dále sledováno </w:t>
      </w:r>
      <w:r w:rsidR="00741C1D" w:rsidRPr="006D2566">
        <w:rPr>
          <w:rFonts w:cs="Arial"/>
        </w:rPr>
        <w:t xml:space="preserve">vytvoření </w:t>
      </w:r>
      <w:r w:rsidRPr="006D2566">
        <w:rPr>
          <w:rFonts w:cs="Arial"/>
        </w:rPr>
        <w:t>dalších</w:t>
      </w:r>
      <w:r w:rsidRPr="006D2566">
        <w:rPr>
          <w:rFonts w:cs="Arial"/>
          <w:u w:val="single"/>
        </w:rPr>
        <w:t xml:space="preserve"> 1</w:t>
      </w:r>
      <w:r w:rsidR="0054778C" w:rsidRPr="006D2566">
        <w:rPr>
          <w:rFonts w:cs="Arial"/>
          <w:u w:val="single"/>
        </w:rPr>
        <w:t>4</w:t>
      </w:r>
      <w:r w:rsidRPr="006D2566">
        <w:rPr>
          <w:rFonts w:cs="Arial"/>
          <w:u w:val="single"/>
        </w:rPr>
        <w:t>0 studijních míst</w:t>
      </w:r>
      <w:r w:rsidR="00F9001F" w:rsidRPr="006D2566">
        <w:rPr>
          <w:rFonts w:cs="Arial"/>
        </w:rPr>
        <w:t xml:space="preserve">, z čehož musí být </w:t>
      </w:r>
      <w:r w:rsidR="00CC140D" w:rsidRPr="006D2566">
        <w:rPr>
          <w:rFonts w:cs="Arial"/>
        </w:rPr>
        <w:t xml:space="preserve">počet míst </w:t>
      </w:r>
      <w:r w:rsidR="000B6170" w:rsidRPr="006D2566">
        <w:rPr>
          <w:rFonts w:cs="Arial"/>
        </w:rPr>
        <w:t>min. 60 v n</w:t>
      </w:r>
      <w:r w:rsidR="00CC140D" w:rsidRPr="006D2566">
        <w:rPr>
          <w:rFonts w:cs="Arial"/>
        </w:rPr>
        <w:t>ov</w:t>
      </w:r>
      <w:r w:rsidR="000B6170" w:rsidRPr="006D2566">
        <w:rPr>
          <w:rFonts w:cs="Arial"/>
        </w:rPr>
        <w:t>ém</w:t>
      </w:r>
      <w:r w:rsidR="00CC140D" w:rsidRPr="006D2566">
        <w:rPr>
          <w:rFonts w:cs="Arial"/>
        </w:rPr>
        <w:t xml:space="preserve"> studijní</w:t>
      </w:r>
      <w:r w:rsidR="000B6170" w:rsidRPr="006D2566">
        <w:rPr>
          <w:rFonts w:cs="Arial"/>
        </w:rPr>
        <w:t>m</w:t>
      </w:r>
      <w:r w:rsidR="00CC140D" w:rsidRPr="006D2566">
        <w:rPr>
          <w:rFonts w:cs="Arial"/>
        </w:rPr>
        <w:t xml:space="preserve"> program</w:t>
      </w:r>
      <w:r w:rsidR="000B6170" w:rsidRPr="006D2566">
        <w:rPr>
          <w:rFonts w:cs="Arial"/>
        </w:rPr>
        <w:t>u</w:t>
      </w:r>
      <w:r w:rsidR="00CC140D" w:rsidRPr="006D2566">
        <w:rPr>
          <w:rFonts w:cs="Arial"/>
        </w:rPr>
        <w:t>/</w:t>
      </w:r>
      <w:r w:rsidR="000B6170" w:rsidRPr="006D2566">
        <w:rPr>
          <w:rFonts w:cs="Arial"/>
        </w:rPr>
        <w:t>ech</w:t>
      </w:r>
      <w:r w:rsidR="00CC140D" w:rsidRPr="006D2566">
        <w:rPr>
          <w:rFonts w:cs="Arial"/>
        </w:rPr>
        <w:t xml:space="preserve"> v oblasti vzdělávání Chemie/Elektrotechnika/Technická kybernetika – bakalářské studium</w:t>
      </w:r>
      <w:r w:rsidR="000B6170" w:rsidRPr="006D2566">
        <w:rPr>
          <w:rFonts w:cs="Arial"/>
        </w:rPr>
        <w:t>,</w:t>
      </w:r>
      <w:r w:rsidR="00CC140D" w:rsidRPr="006D2566">
        <w:rPr>
          <w:rFonts w:cs="Arial"/>
        </w:rPr>
        <w:t xml:space="preserve"> </w:t>
      </w:r>
      <w:r w:rsidR="000B6170" w:rsidRPr="006D2566">
        <w:rPr>
          <w:rFonts w:cs="Arial"/>
        </w:rPr>
        <w:t>p</w:t>
      </w:r>
      <w:r w:rsidR="00CC140D" w:rsidRPr="006D2566">
        <w:rPr>
          <w:rFonts w:cs="Arial"/>
        </w:rPr>
        <w:t>ředpokládaný název „Polovodičové materiály“.</w:t>
      </w:r>
    </w:p>
    <w:p w14:paraId="020AA68D" w14:textId="77777777" w:rsidR="00CE4396" w:rsidRPr="006D2566" w:rsidRDefault="00F51505" w:rsidP="00E92394">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Uváděný p</w:t>
      </w:r>
      <w:r w:rsidR="00CE37F8" w:rsidRPr="006D2566">
        <w:rPr>
          <w:rFonts w:ascii="Arial" w:hAnsi="Arial" w:cs="Arial"/>
          <w:sz w:val="20"/>
          <w:szCs w:val="20"/>
        </w:rPr>
        <w:t>očet s</w:t>
      </w:r>
      <w:r w:rsidR="00E53F40" w:rsidRPr="006D2566">
        <w:rPr>
          <w:rFonts w:ascii="Arial" w:hAnsi="Arial" w:cs="Arial"/>
          <w:sz w:val="20"/>
          <w:szCs w:val="20"/>
        </w:rPr>
        <w:t>tudijní</w:t>
      </w:r>
      <w:r w:rsidR="00CE37F8" w:rsidRPr="006D2566">
        <w:rPr>
          <w:rFonts w:ascii="Arial" w:hAnsi="Arial" w:cs="Arial"/>
          <w:sz w:val="20"/>
          <w:szCs w:val="20"/>
        </w:rPr>
        <w:t xml:space="preserve">ch </w:t>
      </w:r>
      <w:r w:rsidR="00E53F40" w:rsidRPr="006D2566">
        <w:rPr>
          <w:rFonts w:ascii="Arial" w:hAnsi="Arial" w:cs="Arial"/>
          <w:sz w:val="20"/>
          <w:szCs w:val="20"/>
        </w:rPr>
        <w:t>míst j</w:t>
      </w:r>
      <w:r w:rsidR="00CE37F8" w:rsidRPr="006D2566">
        <w:rPr>
          <w:rFonts w:ascii="Arial" w:hAnsi="Arial" w:cs="Arial"/>
          <w:sz w:val="20"/>
          <w:szCs w:val="20"/>
        </w:rPr>
        <w:t>e</w:t>
      </w:r>
      <w:r w:rsidR="00E53F40" w:rsidRPr="006D2566">
        <w:rPr>
          <w:rFonts w:ascii="Arial" w:hAnsi="Arial" w:cs="Arial"/>
          <w:sz w:val="20"/>
          <w:szCs w:val="20"/>
        </w:rPr>
        <w:t xml:space="preserve"> vztažen ke kapacitě </w:t>
      </w:r>
      <w:r w:rsidR="007E655C" w:rsidRPr="006D2566">
        <w:rPr>
          <w:rFonts w:ascii="Arial" w:hAnsi="Arial" w:cs="Arial"/>
          <w:sz w:val="20"/>
          <w:szCs w:val="20"/>
        </w:rPr>
        <w:t>prvního</w:t>
      </w:r>
      <w:r w:rsidR="00E53F40" w:rsidRPr="006D2566">
        <w:rPr>
          <w:rFonts w:ascii="Arial" w:hAnsi="Arial" w:cs="Arial"/>
          <w:sz w:val="20"/>
          <w:szCs w:val="20"/>
        </w:rPr>
        <w:t xml:space="preserve"> ročníku</w:t>
      </w:r>
      <w:r w:rsidR="007E655C" w:rsidRPr="006D2566">
        <w:rPr>
          <w:rFonts w:ascii="Arial" w:hAnsi="Arial" w:cs="Arial"/>
          <w:sz w:val="20"/>
          <w:szCs w:val="20"/>
        </w:rPr>
        <w:t xml:space="preserve"> studijní</w:t>
      </w:r>
      <w:r w:rsidR="00707E57" w:rsidRPr="006D2566">
        <w:rPr>
          <w:rFonts w:ascii="Arial" w:hAnsi="Arial" w:cs="Arial"/>
          <w:sz w:val="20"/>
          <w:szCs w:val="20"/>
        </w:rPr>
        <w:t>ch</w:t>
      </w:r>
      <w:r w:rsidR="007E655C" w:rsidRPr="006D2566">
        <w:rPr>
          <w:rFonts w:ascii="Arial" w:hAnsi="Arial" w:cs="Arial"/>
          <w:sz w:val="20"/>
          <w:szCs w:val="20"/>
        </w:rPr>
        <w:t xml:space="preserve"> program</w:t>
      </w:r>
      <w:r w:rsidR="00707E57" w:rsidRPr="006D2566">
        <w:rPr>
          <w:rFonts w:ascii="Arial" w:hAnsi="Arial" w:cs="Arial"/>
          <w:sz w:val="20"/>
          <w:szCs w:val="20"/>
        </w:rPr>
        <w:t>ů</w:t>
      </w:r>
      <w:r w:rsidRPr="006D2566">
        <w:rPr>
          <w:rFonts w:ascii="Arial" w:hAnsi="Arial" w:cs="Arial"/>
          <w:sz w:val="20"/>
          <w:szCs w:val="20"/>
        </w:rPr>
        <w:t>.</w:t>
      </w:r>
    </w:p>
    <w:p w14:paraId="6DA42C10"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4E3B4E89" w14:textId="77777777" w:rsidR="00BC6D4A" w:rsidRPr="006D2566" w:rsidRDefault="00BC6D4A"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u w:val="single"/>
        </w:rPr>
        <w:t>přesun výuky</w:t>
      </w:r>
      <w:r w:rsidRPr="006D2566">
        <w:rPr>
          <w:rFonts w:ascii="Arial" w:hAnsi="Arial" w:cs="Arial"/>
          <w:sz w:val="20"/>
          <w:szCs w:val="20"/>
        </w:rPr>
        <w:t xml:space="preserve">, studijního zázemí a laboratoří do nově postavené </w:t>
      </w:r>
      <w:r w:rsidRPr="006D2566">
        <w:rPr>
          <w:rFonts w:ascii="Arial" w:hAnsi="Arial" w:cs="Arial"/>
          <w:sz w:val="20"/>
          <w:szCs w:val="20"/>
          <w:u w:val="single"/>
        </w:rPr>
        <w:t>budovy U1</w:t>
      </w:r>
      <w:r w:rsidRPr="006D2566">
        <w:rPr>
          <w:rFonts w:ascii="Arial" w:hAnsi="Arial" w:cs="Arial"/>
          <w:sz w:val="20"/>
          <w:szCs w:val="20"/>
        </w:rPr>
        <w:t xml:space="preserve">, kdy počet studentů využívajících budovu v každém </w:t>
      </w:r>
      <w:r w:rsidR="00CE1F65" w:rsidRPr="006D2566">
        <w:rPr>
          <w:rFonts w:ascii="Arial" w:hAnsi="Arial" w:cs="Arial"/>
          <w:sz w:val="20"/>
          <w:szCs w:val="20"/>
        </w:rPr>
        <w:t xml:space="preserve">kalendářním </w:t>
      </w:r>
      <w:r w:rsidRPr="006D2566">
        <w:rPr>
          <w:rFonts w:ascii="Arial" w:hAnsi="Arial" w:cs="Arial"/>
          <w:sz w:val="20"/>
          <w:szCs w:val="20"/>
        </w:rPr>
        <w:t>roce bude min. 1.200, přesun výuky musí proběhnout nejpozději do 24 měsíců po kolaudaci stavby</w:t>
      </w:r>
      <w:r w:rsidR="00B71695" w:rsidRPr="006D2566">
        <w:t xml:space="preserve"> </w:t>
      </w:r>
      <w:r w:rsidR="00B71695" w:rsidRPr="006D2566">
        <w:rPr>
          <w:rFonts w:ascii="Arial" w:hAnsi="Arial" w:cs="Arial"/>
          <w:sz w:val="20"/>
          <w:szCs w:val="20"/>
        </w:rPr>
        <w:t>budovy U1</w:t>
      </w:r>
      <w:r w:rsidR="00E342E8" w:rsidRPr="006D2566">
        <w:rPr>
          <w:rFonts w:ascii="Arial" w:hAnsi="Arial" w:cs="Arial"/>
          <w:sz w:val="20"/>
          <w:szCs w:val="20"/>
        </w:rPr>
        <w:t>.</w:t>
      </w:r>
    </w:p>
    <w:p w14:paraId="5440BDC0"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52BC62BD" w14:textId="77777777" w:rsidR="00BC6D4A" w:rsidRPr="006D2566" w:rsidRDefault="00BC6D4A"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u w:val="single"/>
        </w:rPr>
        <w:t>výuka v anglickém jazyce</w:t>
      </w:r>
      <w:r w:rsidRPr="006D2566">
        <w:rPr>
          <w:rFonts w:ascii="Arial" w:hAnsi="Arial" w:cs="Arial"/>
          <w:sz w:val="20"/>
          <w:szCs w:val="20"/>
        </w:rPr>
        <w:t>:</w:t>
      </w:r>
    </w:p>
    <w:p w14:paraId="2024CD65" w14:textId="77777777" w:rsidR="009D24E4" w:rsidRPr="006D2566" w:rsidRDefault="00DF6DB8" w:rsidP="00DF6DB8">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P</w:t>
      </w:r>
      <w:r w:rsidR="009D24E4" w:rsidRPr="006D2566">
        <w:rPr>
          <w:rFonts w:ascii="Arial" w:hAnsi="Arial" w:cs="Arial"/>
          <w:sz w:val="20"/>
          <w:szCs w:val="20"/>
        </w:rPr>
        <w:t xml:space="preserve">o dobu trvání smlouvy udržení min. 5 stávajících nebo </w:t>
      </w:r>
      <w:r w:rsidR="004A3525" w:rsidRPr="006D2566">
        <w:rPr>
          <w:rFonts w:ascii="Arial" w:hAnsi="Arial" w:cs="Arial"/>
          <w:sz w:val="20"/>
          <w:szCs w:val="20"/>
        </w:rPr>
        <w:t xml:space="preserve">vytvoření </w:t>
      </w:r>
      <w:r w:rsidR="009D24E4" w:rsidRPr="006D2566">
        <w:rPr>
          <w:rFonts w:ascii="Arial" w:hAnsi="Arial" w:cs="Arial"/>
          <w:sz w:val="20"/>
          <w:szCs w:val="20"/>
        </w:rPr>
        <w:t>nových navazujících magisterských a 4 stávajících nebo nových doktorských studijních programů v anglickém jazyce na Fakultě technologické UTB</w:t>
      </w:r>
      <w:r w:rsidRPr="006D2566">
        <w:rPr>
          <w:rFonts w:ascii="Arial" w:hAnsi="Arial" w:cs="Arial"/>
          <w:sz w:val="20"/>
          <w:szCs w:val="20"/>
        </w:rPr>
        <w:t>. D</w:t>
      </w:r>
      <w:r w:rsidR="009D24E4" w:rsidRPr="006D2566">
        <w:rPr>
          <w:rFonts w:ascii="Arial" w:hAnsi="Arial" w:cs="Arial"/>
          <w:sz w:val="20"/>
          <w:szCs w:val="20"/>
        </w:rPr>
        <w:t xml:space="preserve">o 31.12.2029 získání akreditace pro výuku v anglickém jazyce pro 3 stávající bakalářské studijní programy vyučované v současnosti v českém jazyce nebo pro </w:t>
      </w:r>
      <w:r w:rsidR="000E5400" w:rsidRPr="006D2566">
        <w:rPr>
          <w:rFonts w:ascii="Arial" w:hAnsi="Arial" w:cs="Arial"/>
          <w:sz w:val="20"/>
          <w:szCs w:val="20"/>
        </w:rPr>
        <w:t xml:space="preserve">3 </w:t>
      </w:r>
      <w:r w:rsidR="009D24E4" w:rsidRPr="006D2566">
        <w:rPr>
          <w:rFonts w:ascii="Arial" w:hAnsi="Arial" w:cs="Arial"/>
          <w:sz w:val="20"/>
          <w:szCs w:val="20"/>
        </w:rPr>
        <w:t>nové bakalářské studijní programy Fakulty technologické UTB</w:t>
      </w:r>
      <w:r w:rsidR="00C33170" w:rsidRPr="006D2566">
        <w:rPr>
          <w:rFonts w:ascii="Arial" w:hAnsi="Arial" w:cs="Arial"/>
          <w:sz w:val="20"/>
          <w:szCs w:val="20"/>
        </w:rPr>
        <w:t xml:space="preserve"> (kombinace je možná, tj. může </w:t>
      </w:r>
      <w:r w:rsidR="0051407C" w:rsidRPr="006D2566">
        <w:rPr>
          <w:rFonts w:ascii="Arial" w:hAnsi="Arial" w:cs="Arial"/>
          <w:sz w:val="20"/>
          <w:szCs w:val="20"/>
        </w:rPr>
        <w:t xml:space="preserve">být akreditován </w:t>
      </w:r>
      <w:r w:rsidR="00F26AAA" w:rsidRPr="006D2566">
        <w:rPr>
          <w:rFonts w:ascii="Arial" w:hAnsi="Arial" w:cs="Arial"/>
          <w:sz w:val="20"/>
          <w:szCs w:val="20"/>
        </w:rPr>
        <w:t xml:space="preserve">např. </w:t>
      </w:r>
      <w:r w:rsidR="0051407C" w:rsidRPr="006D2566">
        <w:rPr>
          <w:rFonts w:ascii="Arial" w:hAnsi="Arial" w:cs="Arial"/>
          <w:sz w:val="20"/>
          <w:szCs w:val="20"/>
        </w:rPr>
        <w:t>1 stávající a 2 nové programy)</w:t>
      </w:r>
      <w:r w:rsidR="009D24E4" w:rsidRPr="006D2566">
        <w:rPr>
          <w:rFonts w:ascii="Arial" w:hAnsi="Arial" w:cs="Arial"/>
          <w:sz w:val="20"/>
          <w:szCs w:val="20"/>
        </w:rPr>
        <w:t>;</w:t>
      </w:r>
    </w:p>
    <w:p w14:paraId="3EE86246" w14:textId="77777777" w:rsidR="00BC6D4A" w:rsidRPr="006D2566" w:rsidRDefault="00FD0F42" w:rsidP="00BC6D4A">
      <w:pPr>
        <w:widowControl w:val="0"/>
        <w:tabs>
          <w:tab w:val="left" w:pos="-1980"/>
          <w:tab w:val="left" w:pos="644"/>
        </w:tabs>
        <w:adjustRightInd w:val="0"/>
        <w:spacing w:after="120" w:line="240" w:lineRule="auto"/>
        <w:ind w:left="426"/>
        <w:jc w:val="both"/>
        <w:textAlignment w:val="baseline"/>
        <w:outlineLvl w:val="0"/>
        <w:rPr>
          <w:rFonts w:cs="Arial"/>
        </w:rPr>
      </w:pPr>
      <w:r w:rsidRPr="006D2566">
        <w:rPr>
          <w:rFonts w:cs="Arial"/>
        </w:rPr>
        <w:t xml:space="preserve">Výstup v sobě zahrnuje také vyvinutí veškeré možné snahy, kterou lze po UTB spravedlivě požadovat o maximální naplnění akreditovaných studijních programů studenty v každém akademickém roce. </w:t>
      </w:r>
      <w:r w:rsidR="00BC6D4A" w:rsidRPr="006D2566">
        <w:rPr>
          <w:rFonts w:cs="Arial"/>
        </w:rPr>
        <w:t xml:space="preserve">Průběžná </w:t>
      </w:r>
      <w:r w:rsidR="00C82324" w:rsidRPr="006D2566">
        <w:rPr>
          <w:rFonts w:cs="Arial"/>
        </w:rPr>
        <w:t>z</w:t>
      </w:r>
      <w:r w:rsidR="00BC6D4A" w:rsidRPr="006D2566">
        <w:rPr>
          <w:rFonts w:cs="Arial"/>
        </w:rPr>
        <w:t>práva o plnění</w:t>
      </w:r>
      <w:r w:rsidR="00C82324" w:rsidRPr="006D2566">
        <w:rPr>
          <w:rFonts w:cs="Arial"/>
        </w:rPr>
        <w:t xml:space="preserve"> dle 1.1.3.</w:t>
      </w:r>
      <w:r w:rsidR="00BC6D4A" w:rsidRPr="006D2566">
        <w:rPr>
          <w:rFonts w:cs="Arial"/>
        </w:rPr>
        <w:t xml:space="preserve"> bude obsahovat popis aktivit vedoucích k naplnění cílového stavu za každý </w:t>
      </w:r>
      <w:r w:rsidR="0035781F" w:rsidRPr="006D2566">
        <w:rPr>
          <w:rFonts w:cs="Arial"/>
        </w:rPr>
        <w:t>kalendářní</w:t>
      </w:r>
      <w:r w:rsidR="00BC6D4A" w:rsidRPr="006D2566">
        <w:rPr>
          <w:rFonts w:cs="Arial"/>
        </w:rPr>
        <w:t xml:space="preserve"> rok. </w:t>
      </w:r>
      <w:r w:rsidR="008C558F" w:rsidRPr="006D2566">
        <w:rPr>
          <w:rFonts w:cs="Arial"/>
        </w:rPr>
        <w:t>P</w:t>
      </w:r>
      <w:r w:rsidR="00BC6D4A" w:rsidRPr="006D2566">
        <w:rPr>
          <w:rFonts w:cs="Arial"/>
        </w:rPr>
        <w:t xml:space="preserve">lnění indikátorů musí </w:t>
      </w:r>
      <w:r w:rsidR="00D73C8C" w:rsidRPr="006D2566">
        <w:rPr>
          <w:rFonts w:cs="Arial"/>
        </w:rPr>
        <w:t xml:space="preserve">trvat </w:t>
      </w:r>
      <w:r w:rsidR="008C558F" w:rsidRPr="006D2566">
        <w:rPr>
          <w:rFonts w:cs="Arial"/>
        </w:rPr>
        <w:t xml:space="preserve">až </w:t>
      </w:r>
      <w:r w:rsidR="00D73C8C" w:rsidRPr="006D2566">
        <w:rPr>
          <w:rFonts w:cs="Arial"/>
        </w:rPr>
        <w:t>do</w:t>
      </w:r>
      <w:r w:rsidR="00BC6D4A" w:rsidRPr="006D2566">
        <w:rPr>
          <w:rFonts w:cs="Arial"/>
        </w:rPr>
        <w:t> 31.12.2034, konečný stav bude popsán ve zprávě za rok 2034.</w:t>
      </w:r>
    </w:p>
    <w:p w14:paraId="740EF550"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7CE5EEC0" w14:textId="77777777" w:rsidR="009F76DE" w:rsidRPr="006D2566" w:rsidRDefault="009F76DE"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min. 500 </w:t>
      </w:r>
      <w:r w:rsidRPr="006D2566">
        <w:rPr>
          <w:rFonts w:ascii="Arial" w:hAnsi="Arial" w:cs="Arial"/>
          <w:sz w:val="20"/>
          <w:szCs w:val="20"/>
          <w:u w:val="single"/>
        </w:rPr>
        <w:t>přednášek/workshopů</w:t>
      </w:r>
      <w:r w:rsidRPr="006D2566">
        <w:rPr>
          <w:rFonts w:ascii="Arial" w:hAnsi="Arial" w:cs="Arial"/>
          <w:sz w:val="20"/>
          <w:szCs w:val="20"/>
        </w:rPr>
        <w:t xml:space="preserve"> realizovaných Fakultou technologickou UTB </w:t>
      </w:r>
      <w:r w:rsidRPr="006D2566">
        <w:rPr>
          <w:rFonts w:ascii="Arial" w:hAnsi="Arial" w:cs="Arial"/>
          <w:sz w:val="20"/>
          <w:szCs w:val="20"/>
          <w:u w:val="single"/>
        </w:rPr>
        <w:t>pro základní/střední školy</w:t>
      </w:r>
      <w:r w:rsidRPr="006D2566">
        <w:rPr>
          <w:rFonts w:ascii="Arial" w:hAnsi="Arial" w:cs="Arial"/>
          <w:sz w:val="20"/>
          <w:szCs w:val="20"/>
        </w:rPr>
        <w:t xml:space="preserve"> v období let 2025 až 2030. Výchozí stav</w:t>
      </w:r>
      <w:r w:rsidR="00576396" w:rsidRPr="006D2566">
        <w:rPr>
          <w:rFonts w:ascii="Arial" w:hAnsi="Arial" w:cs="Arial"/>
          <w:sz w:val="20"/>
          <w:szCs w:val="20"/>
        </w:rPr>
        <w:t xml:space="preserve"> je</w:t>
      </w:r>
      <w:r w:rsidRPr="006D2566">
        <w:rPr>
          <w:rFonts w:ascii="Arial" w:hAnsi="Arial" w:cs="Arial"/>
          <w:sz w:val="20"/>
          <w:szCs w:val="20"/>
        </w:rPr>
        <w:t xml:space="preserve"> 50 přednášek/workshopů za rok 2024. Každý kalendářní rok se musí uskutečnit tento minimální počet přednášek/workshopů </w:t>
      </w:r>
      <w:r w:rsidRPr="006D2566">
        <w:rPr>
          <w:rFonts w:ascii="Arial" w:hAnsi="Arial" w:cs="Arial"/>
          <w:sz w:val="20"/>
          <w:szCs w:val="20"/>
        </w:rPr>
        <w:lastRenderedPageBreak/>
        <w:t>(dílčí hodnota indikátoru):</w:t>
      </w:r>
    </w:p>
    <w:tbl>
      <w:tblPr>
        <w:tblStyle w:val="Mkatabulky"/>
        <w:tblW w:w="0" w:type="auto"/>
        <w:tblLook w:val="04A0" w:firstRow="1" w:lastRow="0" w:firstColumn="1" w:lastColumn="0" w:noHBand="0" w:noVBand="1"/>
      </w:tblPr>
      <w:tblGrid>
        <w:gridCol w:w="4531"/>
        <w:gridCol w:w="4531"/>
      </w:tblGrid>
      <w:tr w:rsidR="00BC6D4A" w:rsidRPr="006D2566" w14:paraId="0CAA58D4" w14:textId="77777777" w:rsidTr="00086885">
        <w:tc>
          <w:tcPr>
            <w:tcW w:w="4531" w:type="dxa"/>
          </w:tcPr>
          <w:p w14:paraId="1C054326"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Kalendářní rok</w:t>
            </w:r>
          </w:p>
        </w:tc>
        <w:tc>
          <w:tcPr>
            <w:tcW w:w="4531" w:type="dxa"/>
          </w:tcPr>
          <w:p w14:paraId="10EDC4F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počet přednášek/workshopů</w:t>
            </w:r>
          </w:p>
        </w:tc>
      </w:tr>
      <w:tr w:rsidR="00BC6D4A" w:rsidRPr="006D2566" w14:paraId="070D9449" w14:textId="77777777" w:rsidTr="00086885">
        <w:tc>
          <w:tcPr>
            <w:tcW w:w="4531" w:type="dxa"/>
          </w:tcPr>
          <w:p w14:paraId="7E1E84B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2025</w:t>
            </w:r>
          </w:p>
        </w:tc>
        <w:tc>
          <w:tcPr>
            <w:tcW w:w="4531" w:type="dxa"/>
          </w:tcPr>
          <w:p w14:paraId="73D68086"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60</w:t>
            </w:r>
          </w:p>
        </w:tc>
      </w:tr>
      <w:tr w:rsidR="00BC6D4A" w:rsidRPr="006D2566" w14:paraId="37EB9C49" w14:textId="77777777" w:rsidTr="00086885">
        <w:tc>
          <w:tcPr>
            <w:tcW w:w="4531" w:type="dxa"/>
          </w:tcPr>
          <w:p w14:paraId="2EFE74E2"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2026</w:t>
            </w:r>
          </w:p>
        </w:tc>
        <w:tc>
          <w:tcPr>
            <w:tcW w:w="4531" w:type="dxa"/>
          </w:tcPr>
          <w:p w14:paraId="72D6DD10"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70</w:t>
            </w:r>
          </w:p>
        </w:tc>
      </w:tr>
      <w:tr w:rsidR="00BC6D4A" w:rsidRPr="006D2566" w14:paraId="348EDDE1" w14:textId="77777777" w:rsidTr="00086885">
        <w:tc>
          <w:tcPr>
            <w:tcW w:w="4531" w:type="dxa"/>
          </w:tcPr>
          <w:p w14:paraId="64D75E8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2027</w:t>
            </w:r>
          </w:p>
        </w:tc>
        <w:tc>
          <w:tcPr>
            <w:tcW w:w="4531" w:type="dxa"/>
          </w:tcPr>
          <w:p w14:paraId="3552623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80</w:t>
            </w:r>
          </w:p>
        </w:tc>
      </w:tr>
      <w:tr w:rsidR="00BC6D4A" w:rsidRPr="006D2566" w14:paraId="5340FBED" w14:textId="77777777" w:rsidTr="00086885">
        <w:tc>
          <w:tcPr>
            <w:tcW w:w="4531" w:type="dxa"/>
          </w:tcPr>
          <w:p w14:paraId="67E2CAE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2028</w:t>
            </w:r>
          </w:p>
        </w:tc>
        <w:tc>
          <w:tcPr>
            <w:tcW w:w="4531" w:type="dxa"/>
          </w:tcPr>
          <w:p w14:paraId="028F6C7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90</w:t>
            </w:r>
          </w:p>
        </w:tc>
      </w:tr>
      <w:tr w:rsidR="00BC6D4A" w:rsidRPr="006D2566" w14:paraId="2F72D8F3" w14:textId="77777777" w:rsidTr="00086885">
        <w:tc>
          <w:tcPr>
            <w:tcW w:w="4531" w:type="dxa"/>
          </w:tcPr>
          <w:p w14:paraId="7F0DA61D"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2029</w:t>
            </w:r>
          </w:p>
        </w:tc>
        <w:tc>
          <w:tcPr>
            <w:tcW w:w="4531" w:type="dxa"/>
          </w:tcPr>
          <w:p w14:paraId="49AA9069"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100</w:t>
            </w:r>
          </w:p>
        </w:tc>
      </w:tr>
      <w:tr w:rsidR="00BC6D4A" w:rsidRPr="006D2566" w14:paraId="27EE163E" w14:textId="77777777" w:rsidTr="00086885">
        <w:tc>
          <w:tcPr>
            <w:tcW w:w="4531" w:type="dxa"/>
          </w:tcPr>
          <w:p w14:paraId="63F99CB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2030</w:t>
            </w:r>
          </w:p>
        </w:tc>
        <w:tc>
          <w:tcPr>
            <w:tcW w:w="4531" w:type="dxa"/>
          </w:tcPr>
          <w:p w14:paraId="79FE32C1"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100</w:t>
            </w:r>
          </w:p>
        </w:tc>
      </w:tr>
    </w:tbl>
    <w:p w14:paraId="73D81360" w14:textId="77777777" w:rsidR="00BC6D4A" w:rsidRPr="006D2566" w:rsidRDefault="00BC6D4A" w:rsidP="00BC6D4A">
      <w:pPr>
        <w:ind w:firstLine="708"/>
      </w:pPr>
    </w:p>
    <w:p w14:paraId="436C3553" w14:textId="77777777" w:rsidR="00BC6D4A" w:rsidRPr="006D2566" w:rsidRDefault="00BC6D4A" w:rsidP="00BC6D4A">
      <w:pPr>
        <w:ind w:firstLine="708"/>
      </w:pPr>
    </w:p>
    <w:p w14:paraId="294676EA" w14:textId="77777777" w:rsidR="008D49DC" w:rsidRPr="006D2566" w:rsidRDefault="008D49DC"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min. 100 </w:t>
      </w:r>
      <w:r w:rsidRPr="006D2566">
        <w:rPr>
          <w:rFonts w:ascii="Arial" w:hAnsi="Arial" w:cs="Arial"/>
          <w:sz w:val="20"/>
          <w:szCs w:val="20"/>
          <w:u w:val="single"/>
        </w:rPr>
        <w:t>přednášek/workshopů</w:t>
      </w:r>
      <w:r w:rsidRPr="006D2566">
        <w:rPr>
          <w:rFonts w:ascii="Arial" w:hAnsi="Arial" w:cs="Arial"/>
          <w:sz w:val="20"/>
          <w:szCs w:val="20"/>
        </w:rPr>
        <w:t xml:space="preserve"> realizovaných Fakultou technologickou UTB </w:t>
      </w:r>
      <w:r w:rsidRPr="006D2566">
        <w:rPr>
          <w:rFonts w:ascii="Arial" w:hAnsi="Arial" w:cs="Arial"/>
          <w:sz w:val="20"/>
          <w:szCs w:val="20"/>
          <w:u w:val="single"/>
        </w:rPr>
        <w:t>pro veřejnost</w:t>
      </w:r>
      <w:r w:rsidRPr="006D2566">
        <w:rPr>
          <w:rFonts w:ascii="Arial" w:hAnsi="Arial" w:cs="Arial"/>
          <w:sz w:val="20"/>
          <w:szCs w:val="20"/>
        </w:rPr>
        <w:t xml:space="preserve"> v období let 2025 až 2030. Výchozí stav </w:t>
      </w:r>
      <w:r w:rsidR="003C3D5F" w:rsidRPr="006D2566">
        <w:rPr>
          <w:rFonts w:ascii="Arial" w:hAnsi="Arial" w:cs="Arial"/>
          <w:sz w:val="20"/>
          <w:szCs w:val="20"/>
        </w:rPr>
        <w:t xml:space="preserve">je </w:t>
      </w:r>
      <w:r w:rsidRPr="006D2566">
        <w:rPr>
          <w:rFonts w:ascii="Arial" w:hAnsi="Arial" w:cs="Arial"/>
          <w:sz w:val="20"/>
          <w:szCs w:val="20"/>
        </w:rPr>
        <w:t>10 přednášek/workshopů za rok 2024. Každý kalendářní rok se musí uskutečnit tento minimální počet přednášek/workshopů (dílčí hodnota indikátoru);</w:t>
      </w:r>
    </w:p>
    <w:tbl>
      <w:tblPr>
        <w:tblStyle w:val="Mkatabulky"/>
        <w:tblW w:w="0" w:type="auto"/>
        <w:tblLook w:val="04A0" w:firstRow="1" w:lastRow="0" w:firstColumn="1" w:lastColumn="0" w:noHBand="0" w:noVBand="1"/>
      </w:tblPr>
      <w:tblGrid>
        <w:gridCol w:w="4531"/>
        <w:gridCol w:w="4531"/>
      </w:tblGrid>
      <w:tr w:rsidR="00BC6D4A" w:rsidRPr="006D2566" w14:paraId="449A6C38" w14:textId="77777777" w:rsidTr="00086885">
        <w:tc>
          <w:tcPr>
            <w:tcW w:w="4531" w:type="dxa"/>
          </w:tcPr>
          <w:p w14:paraId="0F4CA69C"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Kalendářní rok</w:t>
            </w:r>
          </w:p>
        </w:tc>
        <w:tc>
          <w:tcPr>
            <w:tcW w:w="4531" w:type="dxa"/>
          </w:tcPr>
          <w:p w14:paraId="0AA0599C"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počet přednášek/workshopů</w:t>
            </w:r>
          </w:p>
        </w:tc>
      </w:tr>
      <w:tr w:rsidR="00BC6D4A" w:rsidRPr="006D2566" w14:paraId="48E1D1CE" w14:textId="77777777" w:rsidTr="00086885">
        <w:tc>
          <w:tcPr>
            <w:tcW w:w="4531" w:type="dxa"/>
          </w:tcPr>
          <w:p w14:paraId="7336832C"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2025</w:t>
            </w:r>
          </w:p>
        </w:tc>
        <w:tc>
          <w:tcPr>
            <w:tcW w:w="4531" w:type="dxa"/>
          </w:tcPr>
          <w:p w14:paraId="0D531F3B"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12</w:t>
            </w:r>
          </w:p>
        </w:tc>
      </w:tr>
      <w:tr w:rsidR="00BC6D4A" w:rsidRPr="006D2566" w14:paraId="79FF93B1" w14:textId="77777777" w:rsidTr="00086885">
        <w:tc>
          <w:tcPr>
            <w:tcW w:w="4531" w:type="dxa"/>
          </w:tcPr>
          <w:p w14:paraId="1A3AAE9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2026</w:t>
            </w:r>
          </w:p>
        </w:tc>
        <w:tc>
          <w:tcPr>
            <w:tcW w:w="4531" w:type="dxa"/>
          </w:tcPr>
          <w:p w14:paraId="5848C021"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14</w:t>
            </w:r>
          </w:p>
        </w:tc>
      </w:tr>
      <w:tr w:rsidR="00BC6D4A" w:rsidRPr="006D2566" w14:paraId="67745BE6" w14:textId="77777777" w:rsidTr="00086885">
        <w:tc>
          <w:tcPr>
            <w:tcW w:w="4531" w:type="dxa"/>
          </w:tcPr>
          <w:p w14:paraId="5CD1E81B"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2027</w:t>
            </w:r>
          </w:p>
        </w:tc>
        <w:tc>
          <w:tcPr>
            <w:tcW w:w="4531" w:type="dxa"/>
          </w:tcPr>
          <w:p w14:paraId="7BC248EB"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16</w:t>
            </w:r>
          </w:p>
        </w:tc>
      </w:tr>
      <w:tr w:rsidR="00BC6D4A" w:rsidRPr="006D2566" w14:paraId="2B386B78" w14:textId="77777777" w:rsidTr="00086885">
        <w:tc>
          <w:tcPr>
            <w:tcW w:w="4531" w:type="dxa"/>
          </w:tcPr>
          <w:p w14:paraId="75F6828F"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2028</w:t>
            </w:r>
          </w:p>
        </w:tc>
        <w:tc>
          <w:tcPr>
            <w:tcW w:w="4531" w:type="dxa"/>
          </w:tcPr>
          <w:p w14:paraId="0CFB9965"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18</w:t>
            </w:r>
          </w:p>
        </w:tc>
      </w:tr>
      <w:tr w:rsidR="00BC6D4A" w:rsidRPr="006D2566" w14:paraId="27A32C41" w14:textId="77777777" w:rsidTr="00086885">
        <w:tc>
          <w:tcPr>
            <w:tcW w:w="4531" w:type="dxa"/>
          </w:tcPr>
          <w:p w14:paraId="2E7FA1C7"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2029</w:t>
            </w:r>
          </w:p>
        </w:tc>
        <w:tc>
          <w:tcPr>
            <w:tcW w:w="4531" w:type="dxa"/>
          </w:tcPr>
          <w:p w14:paraId="716E1832"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w:t>
            </w:r>
          </w:p>
        </w:tc>
      </w:tr>
      <w:tr w:rsidR="00BC6D4A" w:rsidRPr="006D2566" w14:paraId="19127011" w14:textId="77777777" w:rsidTr="00086885">
        <w:tc>
          <w:tcPr>
            <w:tcW w:w="4531" w:type="dxa"/>
          </w:tcPr>
          <w:p w14:paraId="39E5774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2030</w:t>
            </w:r>
          </w:p>
        </w:tc>
        <w:tc>
          <w:tcPr>
            <w:tcW w:w="4531" w:type="dxa"/>
          </w:tcPr>
          <w:p w14:paraId="331DCB71"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w:t>
            </w:r>
          </w:p>
        </w:tc>
      </w:tr>
    </w:tbl>
    <w:p w14:paraId="7361F09F"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0F5909A9" w14:textId="77777777" w:rsidR="004F7824" w:rsidRPr="006D2566" w:rsidRDefault="004F7824"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min. 50 </w:t>
      </w:r>
      <w:r w:rsidRPr="006D2566">
        <w:rPr>
          <w:rFonts w:ascii="Arial" w:hAnsi="Arial" w:cs="Arial"/>
          <w:sz w:val="20"/>
          <w:szCs w:val="20"/>
          <w:u w:val="single"/>
        </w:rPr>
        <w:t>zahraničních stáží akademických pracovníků</w:t>
      </w:r>
      <w:r w:rsidRPr="006D2566">
        <w:rPr>
          <w:rFonts w:ascii="Arial" w:hAnsi="Arial" w:cs="Arial"/>
          <w:sz w:val="20"/>
          <w:szCs w:val="20"/>
        </w:rPr>
        <w:t xml:space="preserve"> realizovaných Fakultou technologickou UTB v období let 2025 až 2030. Výchozí stav </w:t>
      </w:r>
      <w:r w:rsidR="00824E80" w:rsidRPr="006D2566">
        <w:rPr>
          <w:rFonts w:ascii="Arial" w:hAnsi="Arial" w:cs="Arial"/>
          <w:sz w:val="20"/>
          <w:szCs w:val="20"/>
        </w:rPr>
        <w:t xml:space="preserve">je </w:t>
      </w:r>
      <w:r w:rsidRPr="006D2566">
        <w:rPr>
          <w:rFonts w:ascii="Arial" w:hAnsi="Arial" w:cs="Arial"/>
          <w:sz w:val="20"/>
          <w:szCs w:val="20"/>
        </w:rPr>
        <w:t>5 zahraničních stáží akademických pracovníků za rok 2024. Každý kalendářní rok se musí uskutečnit tento minimální počet zahraničních stáží (dílčí hodnota indikátoru);</w:t>
      </w:r>
    </w:p>
    <w:tbl>
      <w:tblPr>
        <w:tblStyle w:val="Mkatabulky"/>
        <w:tblW w:w="0" w:type="auto"/>
        <w:tblLook w:val="04A0" w:firstRow="1" w:lastRow="0" w:firstColumn="1" w:lastColumn="0" w:noHBand="0" w:noVBand="1"/>
      </w:tblPr>
      <w:tblGrid>
        <w:gridCol w:w="4531"/>
        <w:gridCol w:w="4531"/>
      </w:tblGrid>
      <w:tr w:rsidR="00BC6D4A" w:rsidRPr="006D2566" w14:paraId="6F8680B9" w14:textId="77777777" w:rsidTr="00086885">
        <w:tc>
          <w:tcPr>
            <w:tcW w:w="4531" w:type="dxa"/>
          </w:tcPr>
          <w:p w14:paraId="65D462A6" w14:textId="77777777" w:rsidR="00BC6D4A" w:rsidRPr="006D2566" w:rsidRDefault="00174246" w:rsidP="00086885">
            <w:pPr>
              <w:pStyle w:val="Odstavecseseznamem"/>
              <w:rPr>
                <w:rFonts w:ascii="Arial" w:hAnsi="Arial" w:cs="Arial"/>
                <w:sz w:val="20"/>
                <w:szCs w:val="20"/>
              </w:rPr>
            </w:pPr>
            <w:r w:rsidRPr="006D2566">
              <w:rPr>
                <w:rFonts w:ascii="Arial" w:hAnsi="Arial" w:cs="Arial"/>
                <w:sz w:val="20"/>
                <w:szCs w:val="20"/>
              </w:rPr>
              <w:t>Kalendářní</w:t>
            </w:r>
            <w:r w:rsidR="00BC6D4A" w:rsidRPr="006D2566">
              <w:rPr>
                <w:rFonts w:ascii="Arial" w:hAnsi="Arial" w:cs="Arial"/>
                <w:sz w:val="20"/>
                <w:szCs w:val="20"/>
              </w:rPr>
              <w:t xml:space="preserve"> rok</w:t>
            </w:r>
          </w:p>
        </w:tc>
        <w:tc>
          <w:tcPr>
            <w:tcW w:w="4531" w:type="dxa"/>
          </w:tcPr>
          <w:p w14:paraId="1FD9545F"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počet zahraničních stáží</w:t>
            </w:r>
          </w:p>
        </w:tc>
      </w:tr>
      <w:tr w:rsidR="00BC6D4A" w:rsidRPr="006D2566" w14:paraId="349F6A03" w14:textId="77777777" w:rsidTr="00086885">
        <w:tc>
          <w:tcPr>
            <w:tcW w:w="4531" w:type="dxa"/>
          </w:tcPr>
          <w:p w14:paraId="16052C99"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2025</w:t>
            </w:r>
          </w:p>
        </w:tc>
        <w:tc>
          <w:tcPr>
            <w:tcW w:w="4531" w:type="dxa"/>
          </w:tcPr>
          <w:p w14:paraId="5F8CB8EE"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6</w:t>
            </w:r>
          </w:p>
        </w:tc>
      </w:tr>
      <w:tr w:rsidR="00BC6D4A" w:rsidRPr="006D2566" w14:paraId="686A8635" w14:textId="77777777" w:rsidTr="00086885">
        <w:tc>
          <w:tcPr>
            <w:tcW w:w="4531" w:type="dxa"/>
          </w:tcPr>
          <w:p w14:paraId="62B2CFF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2026</w:t>
            </w:r>
          </w:p>
        </w:tc>
        <w:tc>
          <w:tcPr>
            <w:tcW w:w="4531" w:type="dxa"/>
          </w:tcPr>
          <w:p w14:paraId="00E19054"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7</w:t>
            </w:r>
          </w:p>
        </w:tc>
      </w:tr>
      <w:tr w:rsidR="00BC6D4A" w:rsidRPr="006D2566" w14:paraId="17EFC43F" w14:textId="77777777" w:rsidTr="00086885">
        <w:tc>
          <w:tcPr>
            <w:tcW w:w="4531" w:type="dxa"/>
          </w:tcPr>
          <w:p w14:paraId="59AB9916"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2027</w:t>
            </w:r>
          </w:p>
        </w:tc>
        <w:tc>
          <w:tcPr>
            <w:tcW w:w="4531" w:type="dxa"/>
          </w:tcPr>
          <w:p w14:paraId="271CD3A2"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8</w:t>
            </w:r>
          </w:p>
        </w:tc>
      </w:tr>
      <w:tr w:rsidR="00BC6D4A" w:rsidRPr="006D2566" w14:paraId="6D0B00BA" w14:textId="77777777" w:rsidTr="00086885">
        <w:tc>
          <w:tcPr>
            <w:tcW w:w="4531" w:type="dxa"/>
          </w:tcPr>
          <w:p w14:paraId="644868EB"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2028</w:t>
            </w:r>
          </w:p>
        </w:tc>
        <w:tc>
          <w:tcPr>
            <w:tcW w:w="4531" w:type="dxa"/>
          </w:tcPr>
          <w:p w14:paraId="48EDFCE0"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9</w:t>
            </w:r>
          </w:p>
        </w:tc>
      </w:tr>
      <w:tr w:rsidR="00BC6D4A" w:rsidRPr="006D2566" w14:paraId="01BAB14D" w14:textId="77777777" w:rsidTr="00086885">
        <w:tc>
          <w:tcPr>
            <w:tcW w:w="4531" w:type="dxa"/>
          </w:tcPr>
          <w:p w14:paraId="5A27DA3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2029</w:t>
            </w:r>
          </w:p>
        </w:tc>
        <w:tc>
          <w:tcPr>
            <w:tcW w:w="4531" w:type="dxa"/>
          </w:tcPr>
          <w:p w14:paraId="45EBCA3F"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10</w:t>
            </w:r>
          </w:p>
        </w:tc>
      </w:tr>
      <w:tr w:rsidR="00BC6D4A" w:rsidRPr="006D2566" w14:paraId="14411EAF" w14:textId="77777777" w:rsidTr="00086885">
        <w:tc>
          <w:tcPr>
            <w:tcW w:w="4531" w:type="dxa"/>
          </w:tcPr>
          <w:p w14:paraId="7230855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2030</w:t>
            </w:r>
          </w:p>
        </w:tc>
        <w:tc>
          <w:tcPr>
            <w:tcW w:w="4531" w:type="dxa"/>
          </w:tcPr>
          <w:p w14:paraId="4A78B83F"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10</w:t>
            </w:r>
          </w:p>
        </w:tc>
      </w:tr>
    </w:tbl>
    <w:p w14:paraId="2142D23A"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1B87CCD2" w14:textId="77777777" w:rsidR="00253551" w:rsidRPr="006D2566" w:rsidRDefault="00253551"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min. </w:t>
      </w:r>
      <w:r w:rsidRPr="006D2566">
        <w:rPr>
          <w:rFonts w:ascii="Arial" w:hAnsi="Arial" w:cs="Arial"/>
          <w:sz w:val="20"/>
          <w:szCs w:val="20"/>
          <w:u w:val="single"/>
        </w:rPr>
        <w:t>500 studentů podpořených adaptačními/doučovacími kurzy</w:t>
      </w:r>
      <w:r w:rsidRPr="006D2566">
        <w:rPr>
          <w:rFonts w:ascii="Arial" w:hAnsi="Arial" w:cs="Arial"/>
          <w:sz w:val="20"/>
          <w:szCs w:val="20"/>
        </w:rPr>
        <w:t xml:space="preserve"> realizovaný</w:t>
      </w:r>
      <w:r w:rsidR="00BB3F46" w:rsidRPr="006D2566">
        <w:rPr>
          <w:rFonts w:ascii="Arial" w:hAnsi="Arial" w:cs="Arial"/>
          <w:sz w:val="20"/>
          <w:szCs w:val="20"/>
        </w:rPr>
        <w:t>mi</w:t>
      </w:r>
      <w:r w:rsidRPr="006D2566">
        <w:rPr>
          <w:rFonts w:ascii="Arial" w:hAnsi="Arial" w:cs="Arial"/>
          <w:sz w:val="20"/>
          <w:szCs w:val="20"/>
        </w:rPr>
        <w:t xml:space="preserve"> Fakultou technologickou UTB v období let 2025 až 2030. Výchozí stav </w:t>
      </w:r>
      <w:r w:rsidR="00BB3F46" w:rsidRPr="006D2566">
        <w:rPr>
          <w:rFonts w:ascii="Arial" w:hAnsi="Arial" w:cs="Arial"/>
          <w:sz w:val="20"/>
          <w:szCs w:val="20"/>
        </w:rPr>
        <w:t xml:space="preserve">je </w:t>
      </w:r>
      <w:r w:rsidRPr="006D2566">
        <w:rPr>
          <w:rFonts w:ascii="Arial" w:hAnsi="Arial" w:cs="Arial"/>
          <w:sz w:val="20"/>
          <w:szCs w:val="20"/>
        </w:rPr>
        <w:t>50 studentů podpořených adaptačními/doučovacími kurzy v roce 2024. Každý rok se musí podpořit tento minimální počet studentů (dílčí hodnota indikátoru)</w:t>
      </w:r>
      <w:r w:rsidR="00BB3F46" w:rsidRPr="006D2566">
        <w:rPr>
          <w:rFonts w:ascii="Arial" w:hAnsi="Arial" w:cs="Arial"/>
          <w:sz w:val="20"/>
          <w:szCs w:val="20"/>
        </w:rPr>
        <w:t>:</w:t>
      </w:r>
    </w:p>
    <w:tbl>
      <w:tblPr>
        <w:tblStyle w:val="Mkatabulky"/>
        <w:tblW w:w="0" w:type="auto"/>
        <w:tblLook w:val="04A0" w:firstRow="1" w:lastRow="0" w:firstColumn="1" w:lastColumn="0" w:noHBand="0" w:noVBand="1"/>
      </w:tblPr>
      <w:tblGrid>
        <w:gridCol w:w="4531"/>
        <w:gridCol w:w="4531"/>
      </w:tblGrid>
      <w:tr w:rsidR="00BC6D4A" w:rsidRPr="006D2566" w14:paraId="02039642" w14:textId="77777777" w:rsidTr="00086885">
        <w:tc>
          <w:tcPr>
            <w:tcW w:w="4531" w:type="dxa"/>
          </w:tcPr>
          <w:p w14:paraId="43C94E49" w14:textId="77777777" w:rsidR="00BC6D4A" w:rsidRPr="006D2566" w:rsidRDefault="00886201" w:rsidP="00086885">
            <w:pPr>
              <w:pStyle w:val="Odstavecseseznamem"/>
              <w:rPr>
                <w:rFonts w:ascii="Arial" w:hAnsi="Arial" w:cs="Arial"/>
                <w:sz w:val="20"/>
                <w:szCs w:val="20"/>
              </w:rPr>
            </w:pPr>
            <w:r w:rsidRPr="006D2566">
              <w:rPr>
                <w:rFonts w:ascii="Arial" w:hAnsi="Arial" w:cs="Arial"/>
                <w:sz w:val="20"/>
                <w:szCs w:val="20"/>
              </w:rPr>
              <w:lastRenderedPageBreak/>
              <w:t>Kalendářní</w:t>
            </w:r>
            <w:r w:rsidR="00BC6D4A" w:rsidRPr="006D2566">
              <w:rPr>
                <w:rFonts w:ascii="Arial" w:hAnsi="Arial" w:cs="Arial"/>
                <w:sz w:val="20"/>
                <w:szCs w:val="20"/>
              </w:rPr>
              <w:t xml:space="preserve"> rok</w:t>
            </w:r>
          </w:p>
        </w:tc>
        <w:tc>
          <w:tcPr>
            <w:tcW w:w="4531" w:type="dxa"/>
          </w:tcPr>
          <w:p w14:paraId="1CCD10A0"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 xml:space="preserve">počet </w:t>
            </w:r>
            <w:r w:rsidR="00C91E83" w:rsidRPr="006D2566">
              <w:rPr>
                <w:rFonts w:ascii="Arial" w:hAnsi="Arial" w:cs="Arial"/>
                <w:sz w:val="20"/>
                <w:szCs w:val="20"/>
              </w:rPr>
              <w:t>studentů</w:t>
            </w:r>
          </w:p>
        </w:tc>
      </w:tr>
      <w:tr w:rsidR="00BC6D4A" w:rsidRPr="006D2566" w14:paraId="15602953" w14:textId="77777777" w:rsidTr="00086885">
        <w:tc>
          <w:tcPr>
            <w:tcW w:w="4531" w:type="dxa"/>
          </w:tcPr>
          <w:p w14:paraId="5EA80411"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2025</w:t>
            </w:r>
          </w:p>
        </w:tc>
        <w:tc>
          <w:tcPr>
            <w:tcW w:w="4531" w:type="dxa"/>
          </w:tcPr>
          <w:p w14:paraId="6EB0F2D1"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60</w:t>
            </w:r>
          </w:p>
        </w:tc>
      </w:tr>
      <w:tr w:rsidR="00BC6D4A" w:rsidRPr="006D2566" w14:paraId="4F688D5A" w14:textId="77777777" w:rsidTr="00086885">
        <w:tc>
          <w:tcPr>
            <w:tcW w:w="4531" w:type="dxa"/>
          </w:tcPr>
          <w:p w14:paraId="251E101F"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2026</w:t>
            </w:r>
          </w:p>
        </w:tc>
        <w:tc>
          <w:tcPr>
            <w:tcW w:w="4531" w:type="dxa"/>
          </w:tcPr>
          <w:p w14:paraId="0D5D4D3B"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70</w:t>
            </w:r>
          </w:p>
        </w:tc>
      </w:tr>
      <w:tr w:rsidR="00BC6D4A" w:rsidRPr="006D2566" w14:paraId="4EE050C6" w14:textId="77777777" w:rsidTr="00086885">
        <w:tc>
          <w:tcPr>
            <w:tcW w:w="4531" w:type="dxa"/>
          </w:tcPr>
          <w:p w14:paraId="79038305"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2027</w:t>
            </w:r>
          </w:p>
        </w:tc>
        <w:tc>
          <w:tcPr>
            <w:tcW w:w="4531" w:type="dxa"/>
          </w:tcPr>
          <w:p w14:paraId="16C6420B"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80</w:t>
            </w:r>
          </w:p>
        </w:tc>
      </w:tr>
      <w:tr w:rsidR="00BC6D4A" w:rsidRPr="006D2566" w14:paraId="23C51DAA" w14:textId="77777777" w:rsidTr="00086885">
        <w:tc>
          <w:tcPr>
            <w:tcW w:w="4531" w:type="dxa"/>
          </w:tcPr>
          <w:p w14:paraId="0E879F4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2028</w:t>
            </w:r>
          </w:p>
        </w:tc>
        <w:tc>
          <w:tcPr>
            <w:tcW w:w="4531" w:type="dxa"/>
          </w:tcPr>
          <w:p w14:paraId="03F687D1"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90</w:t>
            </w:r>
          </w:p>
        </w:tc>
      </w:tr>
      <w:tr w:rsidR="00BC6D4A" w:rsidRPr="006D2566" w14:paraId="1E7F7981" w14:textId="77777777" w:rsidTr="00086885">
        <w:tc>
          <w:tcPr>
            <w:tcW w:w="4531" w:type="dxa"/>
          </w:tcPr>
          <w:p w14:paraId="5C0FDA33"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2029</w:t>
            </w:r>
          </w:p>
        </w:tc>
        <w:tc>
          <w:tcPr>
            <w:tcW w:w="4531" w:type="dxa"/>
          </w:tcPr>
          <w:p w14:paraId="6732AF64"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100</w:t>
            </w:r>
          </w:p>
        </w:tc>
      </w:tr>
      <w:tr w:rsidR="00BC6D4A" w:rsidRPr="006D2566" w14:paraId="7A412DA4" w14:textId="77777777" w:rsidTr="00086885">
        <w:tc>
          <w:tcPr>
            <w:tcW w:w="4531" w:type="dxa"/>
          </w:tcPr>
          <w:p w14:paraId="1B650C1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2030</w:t>
            </w:r>
          </w:p>
        </w:tc>
        <w:tc>
          <w:tcPr>
            <w:tcW w:w="4531" w:type="dxa"/>
          </w:tcPr>
          <w:p w14:paraId="0E8E0ACE"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100</w:t>
            </w:r>
          </w:p>
        </w:tc>
      </w:tr>
    </w:tbl>
    <w:p w14:paraId="3180DE3F"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37DADF7E" w14:textId="77777777" w:rsidR="00BC6D4A" w:rsidRPr="006D2566" w:rsidRDefault="00BC6D4A" w:rsidP="0043552B">
      <w:pPr>
        <w:pStyle w:val="Odstavecseseznamem"/>
        <w:widowControl w:val="0"/>
        <w:numPr>
          <w:ilvl w:val="0"/>
          <w:numId w:val="9"/>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u w:val="single"/>
        </w:rPr>
        <w:t>metodika zapojení odborníků z praxe</w:t>
      </w:r>
    </w:p>
    <w:p w14:paraId="62BCBEFC" w14:textId="77777777" w:rsidR="00BC6D4A" w:rsidRPr="006D2566" w:rsidRDefault="00BC6D4A" w:rsidP="00BC6D4A">
      <w:pPr>
        <w:pStyle w:val="Odstavecseseznamem"/>
        <w:widowControl w:val="0"/>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i1) do 31.12.2025 vytvoření metodiky zapojení odborníků z praxe do přípravy studijních programů</w:t>
      </w:r>
      <w:r w:rsidR="00DD0440" w:rsidRPr="006D2566">
        <w:rPr>
          <w:rFonts w:ascii="Arial" w:hAnsi="Arial" w:cs="Arial"/>
          <w:sz w:val="20"/>
          <w:szCs w:val="20"/>
        </w:rPr>
        <w:t>;</w:t>
      </w:r>
      <w:r w:rsidRPr="006D2566">
        <w:rPr>
          <w:rFonts w:ascii="Arial" w:hAnsi="Arial" w:cs="Arial"/>
          <w:sz w:val="20"/>
          <w:szCs w:val="20"/>
        </w:rPr>
        <w:t xml:space="preserve"> </w:t>
      </w:r>
    </w:p>
    <w:p w14:paraId="7DF7BE0F" w14:textId="77777777" w:rsidR="00BC6D4A" w:rsidRPr="006D2566" w:rsidRDefault="00BC6D4A" w:rsidP="00BC6D4A">
      <w:pPr>
        <w:pStyle w:val="Odstavecseseznamem"/>
        <w:widowControl w:val="0"/>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i2) implementace metodiky od 1.1.2026 (od tohoto roku bude v rámci každoroční zprávy </w:t>
      </w:r>
      <w:r w:rsidR="006C47A7" w:rsidRPr="006D2566">
        <w:rPr>
          <w:rFonts w:ascii="Arial" w:hAnsi="Arial" w:cs="Arial"/>
          <w:sz w:val="20"/>
          <w:szCs w:val="20"/>
        </w:rPr>
        <w:t xml:space="preserve">dle bodu 1.1.3. </w:t>
      </w:r>
      <w:r w:rsidRPr="006D2566">
        <w:rPr>
          <w:rFonts w:ascii="Arial" w:hAnsi="Arial" w:cs="Arial"/>
          <w:sz w:val="20"/>
          <w:szCs w:val="20"/>
        </w:rPr>
        <w:t>informace o počtu zapojených odborníků z praxe na základě této metodiky)</w:t>
      </w:r>
      <w:r w:rsidR="00DA3A5C" w:rsidRPr="006D2566">
        <w:rPr>
          <w:rFonts w:ascii="Arial" w:hAnsi="Arial" w:cs="Arial"/>
          <w:sz w:val="20"/>
          <w:szCs w:val="20"/>
        </w:rPr>
        <w:t>.</w:t>
      </w:r>
    </w:p>
    <w:p w14:paraId="24433099" w14:textId="77777777" w:rsidR="00BC6D4A" w:rsidRPr="006D2566" w:rsidRDefault="00BC6D4A" w:rsidP="00BC6D4A">
      <w:pPr>
        <w:pStyle w:val="Odstavecseseznamem"/>
        <w:widowControl w:val="0"/>
        <w:tabs>
          <w:tab w:val="left" w:pos="-1980"/>
          <w:tab w:val="left" w:pos="644"/>
        </w:tabs>
        <w:adjustRightInd w:val="0"/>
        <w:spacing w:after="120" w:line="240" w:lineRule="auto"/>
        <w:jc w:val="both"/>
        <w:textAlignment w:val="baseline"/>
        <w:outlineLvl w:val="0"/>
        <w:rPr>
          <w:rFonts w:ascii="Arial" w:hAnsi="Arial" w:cs="Arial"/>
          <w:sz w:val="20"/>
          <w:szCs w:val="20"/>
        </w:rPr>
      </w:pPr>
    </w:p>
    <w:p w14:paraId="40AC2DD5" w14:textId="77777777" w:rsidR="00916D15" w:rsidRPr="006D2566" w:rsidRDefault="00916D15" w:rsidP="0043552B">
      <w:pPr>
        <w:pStyle w:val="Odstavecseseznamem"/>
        <w:widowControl w:val="0"/>
        <w:numPr>
          <w:ilvl w:val="0"/>
          <w:numId w:val="9"/>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realizace pravidelných </w:t>
      </w:r>
      <w:r w:rsidRPr="006D2566">
        <w:rPr>
          <w:rFonts w:ascii="Arial" w:hAnsi="Arial" w:cs="Arial"/>
          <w:sz w:val="20"/>
          <w:szCs w:val="20"/>
          <w:u w:val="single"/>
        </w:rPr>
        <w:t>šetření kvality absolventů</w:t>
      </w:r>
      <w:r w:rsidRPr="006D2566">
        <w:rPr>
          <w:rFonts w:ascii="Arial" w:hAnsi="Arial" w:cs="Arial"/>
          <w:sz w:val="20"/>
          <w:szCs w:val="20"/>
        </w:rPr>
        <w:t xml:space="preserve"> Fakulty technologické UTB mezi zaměstnavateli v tříletých cyklech (2027/2030/2033), tento výstup bude hodnocen v rámci každoroční zprávy </w:t>
      </w:r>
      <w:r w:rsidR="006C47A7" w:rsidRPr="006D2566">
        <w:rPr>
          <w:rFonts w:ascii="Arial" w:hAnsi="Arial" w:cs="Arial"/>
          <w:sz w:val="20"/>
          <w:szCs w:val="20"/>
        </w:rPr>
        <w:t xml:space="preserve">dle 1.1.3. </w:t>
      </w:r>
      <w:r w:rsidRPr="006D2566">
        <w:rPr>
          <w:rFonts w:ascii="Arial" w:hAnsi="Arial" w:cs="Arial"/>
          <w:sz w:val="20"/>
          <w:szCs w:val="20"/>
        </w:rPr>
        <w:t>pouze v letech konání šetření. Obsahem zprávy budou i anonymizované výsledky šetření;</w:t>
      </w:r>
    </w:p>
    <w:p w14:paraId="28670C76" w14:textId="77777777" w:rsidR="00BC6D4A" w:rsidRPr="006D2566" w:rsidRDefault="00BC6D4A" w:rsidP="00BC6D4A">
      <w:pPr>
        <w:pStyle w:val="Odstavecseseznamem"/>
        <w:widowControl w:val="0"/>
        <w:tabs>
          <w:tab w:val="left" w:pos="-1980"/>
          <w:tab w:val="left" w:pos="644"/>
        </w:tabs>
        <w:adjustRightInd w:val="0"/>
        <w:spacing w:after="120" w:line="240" w:lineRule="auto"/>
        <w:jc w:val="both"/>
        <w:textAlignment w:val="baseline"/>
        <w:outlineLvl w:val="0"/>
        <w:rPr>
          <w:rFonts w:ascii="Arial" w:hAnsi="Arial" w:cs="Arial"/>
          <w:sz w:val="20"/>
          <w:szCs w:val="20"/>
        </w:rPr>
      </w:pPr>
    </w:p>
    <w:p w14:paraId="1455DAAB" w14:textId="77777777" w:rsidR="00E3015B" w:rsidRPr="006D2566" w:rsidRDefault="00E3015B" w:rsidP="0043552B">
      <w:pPr>
        <w:pStyle w:val="Odstavecseseznamem"/>
        <w:widowControl w:val="0"/>
        <w:numPr>
          <w:ilvl w:val="0"/>
          <w:numId w:val="9"/>
        </w:numPr>
        <w:tabs>
          <w:tab w:val="left" w:pos="-1980"/>
          <w:tab w:val="left" w:pos="644"/>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realizace dvou </w:t>
      </w:r>
      <w:r w:rsidRPr="006D2566">
        <w:rPr>
          <w:rFonts w:ascii="Arial" w:hAnsi="Arial" w:cs="Arial"/>
          <w:sz w:val="20"/>
          <w:szCs w:val="20"/>
          <w:u w:val="single"/>
        </w:rPr>
        <w:t>šetření kvality výuky</w:t>
      </w:r>
      <w:r w:rsidRPr="006D2566">
        <w:rPr>
          <w:rFonts w:ascii="Arial" w:hAnsi="Arial" w:cs="Arial"/>
          <w:sz w:val="20"/>
          <w:szCs w:val="20"/>
        </w:rPr>
        <w:t xml:space="preserve"> mezi studenty Fakulty technologické UTB v každém akademickém roce, obsahem každoroční zprávy </w:t>
      </w:r>
      <w:r w:rsidR="005350E4" w:rsidRPr="006D2566">
        <w:rPr>
          <w:rFonts w:ascii="Arial" w:hAnsi="Arial" w:cs="Arial"/>
          <w:sz w:val="20"/>
          <w:szCs w:val="20"/>
        </w:rPr>
        <w:t xml:space="preserve">dle 1.1.3. </w:t>
      </w:r>
      <w:r w:rsidRPr="006D2566">
        <w:rPr>
          <w:rFonts w:ascii="Arial" w:hAnsi="Arial" w:cs="Arial"/>
          <w:sz w:val="20"/>
          <w:szCs w:val="20"/>
        </w:rPr>
        <w:t>budou i anonymizované výsledky šetření;</w:t>
      </w:r>
    </w:p>
    <w:p w14:paraId="3CB296C2" w14:textId="77777777" w:rsidR="00BC6D4A" w:rsidRPr="006D2566" w:rsidRDefault="00BC6D4A" w:rsidP="00BC6D4A">
      <w:pPr>
        <w:pStyle w:val="Odstavecseseznamem"/>
        <w:widowControl w:val="0"/>
        <w:tabs>
          <w:tab w:val="left" w:pos="-1980"/>
          <w:tab w:val="left" w:pos="644"/>
        </w:tabs>
        <w:adjustRightInd w:val="0"/>
        <w:spacing w:after="120" w:line="240" w:lineRule="auto"/>
        <w:jc w:val="both"/>
        <w:textAlignment w:val="baseline"/>
        <w:outlineLvl w:val="0"/>
        <w:rPr>
          <w:rFonts w:ascii="Arial" w:hAnsi="Arial" w:cs="Arial"/>
          <w:sz w:val="20"/>
          <w:szCs w:val="20"/>
        </w:rPr>
      </w:pPr>
    </w:p>
    <w:p w14:paraId="2A4E52A4" w14:textId="77777777" w:rsidR="00BC6D4A" w:rsidRPr="006D2566" w:rsidRDefault="00BC6D4A"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udržení požadované </w:t>
      </w:r>
      <w:r w:rsidRPr="006D2566">
        <w:rPr>
          <w:rFonts w:ascii="Arial" w:hAnsi="Arial" w:cs="Arial"/>
          <w:sz w:val="20"/>
          <w:szCs w:val="20"/>
          <w:u w:val="single"/>
        </w:rPr>
        <w:t>struktury akademických pracovníků</w:t>
      </w:r>
      <w:r w:rsidRPr="006D2566">
        <w:rPr>
          <w:rFonts w:ascii="Arial" w:hAnsi="Arial" w:cs="Arial"/>
          <w:sz w:val="20"/>
          <w:szCs w:val="20"/>
        </w:rPr>
        <w:t xml:space="preserve"> Fakulty technologické UTB v každém roce trvání smlouvy, a to minimálně 45 % docentů a profesorů, z toho nejméně podíl 15 % profesorů;</w:t>
      </w:r>
    </w:p>
    <w:p w14:paraId="19C51FF8"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3A681E06" w14:textId="77777777" w:rsidR="001376D5" w:rsidRDefault="001376D5"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ascii="Arial" w:hAnsi="Arial" w:cs="Arial"/>
          <w:sz w:val="20"/>
          <w:szCs w:val="20"/>
        </w:rPr>
      </w:pPr>
      <w:r w:rsidRPr="006D2566">
        <w:rPr>
          <w:rFonts w:ascii="Arial" w:hAnsi="Arial" w:cs="Arial"/>
          <w:sz w:val="20"/>
          <w:szCs w:val="20"/>
        </w:rPr>
        <w:t xml:space="preserve">zajištění tzv. </w:t>
      </w:r>
      <w:r w:rsidRPr="006D2566">
        <w:rPr>
          <w:rFonts w:ascii="Arial" w:hAnsi="Arial" w:cs="Arial"/>
          <w:sz w:val="20"/>
          <w:szCs w:val="20"/>
          <w:u w:val="single"/>
        </w:rPr>
        <w:t>„mobilit“</w:t>
      </w:r>
      <w:r w:rsidRPr="006D2566">
        <w:rPr>
          <w:rFonts w:ascii="Arial" w:hAnsi="Arial" w:cs="Arial"/>
          <w:sz w:val="20"/>
          <w:szCs w:val="20"/>
        </w:rPr>
        <w:t xml:space="preserve"> – minimálně 285 stáží studentů</w:t>
      </w:r>
      <w:r w:rsidR="00A36615" w:rsidRPr="006D2566">
        <w:rPr>
          <w:rFonts w:ascii="Arial" w:hAnsi="Arial" w:cs="Arial"/>
          <w:sz w:val="20"/>
          <w:szCs w:val="20"/>
        </w:rPr>
        <w:t>, a to stáž</w:t>
      </w:r>
      <w:r w:rsidR="00A54CE6" w:rsidRPr="006D2566">
        <w:rPr>
          <w:rFonts w:ascii="Arial" w:hAnsi="Arial" w:cs="Arial"/>
          <w:sz w:val="20"/>
          <w:szCs w:val="20"/>
        </w:rPr>
        <w:t>í</w:t>
      </w:r>
      <w:r w:rsidR="00A36615" w:rsidRPr="006D2566">
        <w:rPr>
          <w:rFonts w:ascii="Arial" w:hAnsi="Arial" w:cs="Arial"/>
          <w:sz w:val="20"/>
          <w:szCs w:val="20"/>
        </w:rPr>
        <w:t xml:space="preserve"> studentů UTB</w:t>
      </w:r>
      <w:r w:rsidRPr="006D2566">
        <w:rPr>
          <w:rFonts w:ascii="Arial" w:hAnsi="Arial" w:cs="Arial"/>
          <w:sz w:val="20"/>
          <w:szCs w:val="20"/>
        </w:rPr>
        <w:t xml:space="preserve"> v zahraničí (výjezd</w:t>
      </w:r>
      <w:r w:rsidR="00A54CE6" w:rsidRPr="006D2566">
        <w:rPr>
          <w:rFonts w:ascii="Arial" w:hAnsi="Arial" w:cs="Arial"/>
          <w:sz w:val="20"/>
          <w:szCs w:val="20"/>
        </w:rPr>
        <w:t>ů</w:t>
      </w:r>
      <w:r w:rsidRPr="006D2566">
        <w:rPr>
          <w:rFonts w:ascii="Arial" w:hAnsi="Arial" w:cs="Arial"/>
          <w:sz w:val="20"/>
          <w:szCs w:val="20"/>
        </w:rPr>
        <w:t xml:space="preserve">) a </w:t>
      </w:r>
      <w:r w:rsidR="00A36615" w:rsidRPr="006D2566">
        <w:rPr>
          <w:rFonts w:ascii="Arial" w:hAnsi="Arial" w:cs="Arial"/>
          <w:sz w:val="20"/>
          <w:szCs w:val="20"/>
        </w:rPr>
        <w:t>stáž</w:t>
      </w:r>
      <w:r w:rsidR="00A54CE6" w:rsidRPr="006D2566">
        <w:rPr>
          <w:rFonts w:ascii="Arial" w:hAnsi="Arial" w:cs="Arial"/>
          <w:sz w:val="20"/>
          <w:szCs w:val="20"/>
        </w:rPr>
        <w:t>í</w:t>
      </w:r>
      <w:r w:rsidR="00A36615" w:rsidRPr="006D2566">
        <w:rPr>
          <w:rFonts w:ascii="Arial" w:hAnsi="Arial" w:cs="Arial"/>
          <w:sz w:val="20"/>
          <w:szCs w:val="20"/>
        </w:rPr>
        <w:t xml:space="preserve"> </w:t>
      </w:r>
      <w:r w:rsidRPr="006D2566">
        <w:rPr>
          <w:rFonts w:ascii="Arial" w:hAnsi="Arial" w:cs="Arial"/>
          <w:sz w:val="20"/>
          <w:szCs w:val="20"/>
        </w:rPr>
        <w:t>zahraničních studentů na Fakultě technologické UTB (příjezd</w:t>
      </w:r>
      <w:r w:rsidR="00A54CE6" w:rsidRPr="006D2566">
        <w:rPr>
          <w:rFonts w:ascii="Arial" w:hAnsi="Arial" w:cs="Arial"/>
          <w:sz w:val="20"/>
          <w:szCs w:val="20"/>
        </w:rPr>
        <w:t>ů</w:t>
      </w:r>
      <w:r w:rsidRPr="006D2566">
        <w:rPr>
          <w:rFonts w:ascii="Arial" w:hAnsi="Arial" w:cs="Arial"/>
          <w:sz w:val="20"/>
          <w:szCs w:val="20"/>
        </w:rPr>
        <w:t>) v období let 202</w:t>
      </w:r>
      <w:r w:rsidR="00BA5B13" w:rsidRPr="006D2566">
        <w:rPr>
          <w:rFonts w:ascii="Arial" w:hAnsi="Arial" w:cs="Arial"/>
          <w:sz w:val="20"/>
          <w:szCs w:val="20"/>
        </w:rPr>
        <w:t>5</w:t>
      </w:r>
      <w:r w:rsidRPr="006D2566">
        <w:rPr>
          <w:rFonts w:ascii="Arial" w:hAnsi="Arial" w:cs="Arial"/>
          <w:sz w:val="20"/>
          <w:szCs w:val="20"/>
        </w:rPr>
        <w:t xml:space="preserve"> až 2030 v délce minimálně 4 týdnů u jednoho studenta. Výchozí stav </w:t>
      </w:r>
      <w:r w:rsidR="003B2301" w:rsidRPr="006D2566">
        <w:rPr>
          <w:rFonts w:ascii="Arial" w:hAnsi="Arial" w:cs="Arial"/>
          <w:sz w:val="20"/>
          <w:szCs w:val="20"/>
        </w:rPr>
        <w:t xml:space="preserve">je </w:t>
      </w:r>
      <w:r w:rsidRPr="006D2566">
        <w:rPr>
          <w:rFonts w:ascii="Arial" w:hAnsi="Arial" w:cs="Arial"/>
          <w:sz w:val="20"/>
          <w:szCs w:val="20"/>
        </w:rPr>
        <w:t>30</w:t>
      </w:r>
      <w:r w:rsidR="00A36615" w:rsidRPr="006D2566">
        <w:rPr>
          <w:rFonts w:ascii="Arial" w:hAnsi="Arial" w:cs="Arial"/>
          <w:sz w:val="20"/>
          <w:szCs w:val="20"/>
        </w:rPr>
        <w:t xml:space="preserve"> stáží v</w:t>
      </w:r>
      <w:r w:rsidR="00A54CE6" w:rsidRPr="006D2566">
        <w:rPr>
          <w:rFonts w:ascii="Arial" w:hAnsi="Arial" w:cs="Arial"/>
          <w:sz w:val="20"/>
          <w:szCs w:val="20"/>
        </w:rPr>
        <w:t> roce 2024</w:t>
      </w:r>
      <w:r w:rsidRPr="006D2566">
        <w:rPr>
          <w:rFonts w:ascii="Arial" w:hAnsi="Arial" w:cs="Arial"/>
          <w:sz w:val="20"/>
          <w:szCs w:val="20"/>
        </w:rPr>
        <w:t>. Každý rok se musí uskutečnit tento minimální počet mobilit (dílčí hodnota indikátoru);</w:t>
      </w:r>
    </w:p>
    <w:p w14:paraId="3DFAC4D5" w14:textId="77777777" w:rsidR="00507432" w:rsidRPr="00507432" w:rsidRDefault="00507432" w:rsidP="00507432">
      <w:pPr>
        <w:pStyle w:val="Odstavecseseznamem"/>
        <w:rPr>
          <w:rFonts w:ascii="Arial" w:hAnsi="Arial" w:cs="Arial"/>
          <w:sz w:val="20"/>
          <w:szCs w:val="20"/>
        </w:rPr>
      </w:pPr>
    </w:p>
    <w:p w14:paraId="52450C6E" w14:textId="77777777" w:rsidR="00507432" w:rsidRPr="006D2566" w:rsidRDefault="00507432" w:rsidP="00507432">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tbl>
      <w:tblPr>
        <w:tblStyle w:val="Mkatabulky"/>
        <w:tblW w:w="0" w:type="auto"/>
        <w:tblLook w:val="04A0" w:firstRow="1" w:lastRow="0" w:firstColumn="1" w:lastColumn="0" w:noHBand="0" w:noVBand="1"/>
      </w:tblPr>
      <w:tblGrid>
        <w:gridCol w:w="4531"/>
        <w:gridCol w:w="4531"/>
      </w:tblGrid>
      <w:tr w:rsidR="00BC6D4A" w:rsidRPr="006D2566" w14:paraId="13DB4790" w14:textId="77777777" w:rsidTr="00086885">
        <w:tc>
          <w:tcPr>
            <w:tcW w:w="4531" w:type="dxa"/>
          </w:tcPr>
          <w:p w14:paraId="4754971C" w14:textId="77777777" w:rsidR="00BC6D4A" w:rsidRPr="006D2566" w:rsidRDefault="00FF05FF" w:rsidP="00086885">
            <w:pPr>
              <w:pStyle w:val="Odstavecseseznamem"/>
              <w:rPr>
                <w:rFonts w:ascii="Arial" w:hAnsi="Arial" w:cs="Arial"/>
                <w:sz w:val="20"/>
                <w:szCs w:val="20"/>
              </w:rPr>
            </w:pPr>
            <w:r w:rsidRPr="006D2566">
              <w:rPr>
                <w:rFonts w:ascii="Arial" w:hAnsi="Arial" w:cs="Arial"/>
                <w:sz w:val="20"/>
                <w:szCs w:val="20"/>
              </w:rPr>
              <w:t>K</w:t>
            </w:r>
            <w:r w:rsidR="00BA5B13" w:rsidRPr="006D2566">
              <w:rPr>
                <w:rFonts w:ascii="Arial" w:hAnsi="Arial" w:cs="Arial"/>
                <w:sz w:val="20"/>
                <w:szCs w:val="20"/>
              </w:rPr>
              <w:t>alendářní</w:t>
            </w:r>
            <w:r w:rsidR="00BC6D4A" w:rsidRPr="006D2566">
              <w:rPr>
                <w:rFonts w:ascii="Arial" w:hAnsi="Arial" w:cs="Arial"/>
                <w:sz w:val="20"/>
                <w:szCs w:val="20"/>
              </w:rPr>
              <w:t xml:space="preserve"> rok</w:t>
            </w:r>
          </w:p>
        </w:tc>
        <w:tc>
          <w:tcPr>
            <w:tcW w:w="4531" w:type="dxa"/>
          </w:tcPr>
          <w:p w14:paraId="1335D93A"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 xml:space="preserve">počet </w:t>
            </w:r>
            <w:r w:rsidR="005A5965" w:rsidRPr="006D2566">
              <w:rPr>
                <w:rFonts w:ascii="Arial" w:hAnsi="Arial" w:cs="Arial"/>
                <w:sz w:val="20"/>
                <w:szCs w:val="20"/>
              </w:rPr>
              <w:t>mobilit</w:t>
            </w:r>
          </w:p>
        </w:tc>
      </w:tr>
      <w:tr w:rsidR="00BC6D4A" w:rsidRPr="006D2566" w14:paraId="658D5140" w14:textId="77777777" w:rsidTr="00086885">
        <w:tc>
          <w:tcPr>
            <w:tcW w:w="4531" w:type="dxa"/>
          </w:tcPr>
          <w:p w14:paraId="5E550959"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w:t>
            </w:r>
            <w:r w:rsidR="00034CB2" w:rsidRPr="006D2566">
              <w:rPr>
                <w:rFonts w:ascii="Arial" w:hAnsi="Arial" w:cs="Arial"/>
                <w:sz w:val="20"/>
                <w:szCs w:val="20"/>
              </w:rPr>
              <w:t>5</w:t>
            </w:r>
          </w:p>
        </w:tc>
        <w:tc>
          <w:tcPr>
            <w:tcW w:w="4531" w:type="dxa"/>
          </w:tcPr>
          <w:p w14:paraId="7F547159"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35</w:t>
            </w:r>
          </w:p>
        </w:tc>
      </w:tr>
      <w:tr w:rsidR="00BC6D4A" w:rsidRPr="006D2566" w14:paraId="07282DD8" w14:textId="77777777" w:rsidTr="00086885">
        <w:tc>
          <w:tcPr>
            <w:tcW w:w="4531" w:type="dxa"/>
          </w:tcPr>
          <w:p w14:paraId="7972F012"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w:t>
            </w:r>
            <w:r w:rsidR="00034CB2" w:rsidRPr="006D2566">
              <w:rPr>
                <w:rFonts w:ascii="Arial" w:hAnsi="Arial" w:cs="Arial"/>
                <w:sz w:val="20"/>
                <w:szCs w:val="20"/>
              </w:rPr>
              <w:t>6</w:t>
            </w:r>
          </w:p>
        </w:tc>
        <w:tc>
          <w:tcPr>
            <w:tcW w:w="4531" w:type="dxa"/>
          </w:tcPr>
          <w:p w14:paraId="4970CAFD"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40</w:t>
            </w:r>
          </w:p>
        </w:tc>
      </w:tr>
      <w:tr w:rsidR="00BC6D4A" w:rsidRPr="006D2566" w14:paraId="58E5CE3F" w14:textId="77777777" w:rsidTr="00086885">
        <w:tc>
          <w:tcPr>
            <w:tcW w:w="4531" w:type="dxa"/>
          </w:tcPr>
          <w:p w14:paraId="2B737A75"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w:t>
            </w:r>
            <w:r w:rsidR="00034CB2" w:rsidRPr="006D2566">
              <w:rPr>
                <w:rFonts w:ascii="Arial" w:hAnsi="Arial" w:cs="Arial"/>
                <w:sz w:val="20"/>
                <w:szCs w:val="20"/>
              </w:rPr>
              <w:t>7</w:t>
            </w:r>
          </w:p>
        </w:tc>
        <w:tc>
          <w:tcPr>
            <w:tcW w:w="4531" w:type="dxa"/>
          </w:tcPr>
          <w:p w14:paraId="082D9CD2"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45</w:t>
            </w:r>
          </w:p>
        </w:tc>
      </w:tr>
      <w:tr w:rsidR="00BC6D4A" w:rsidRPr="006D2566" w14:paraId="06EBC8AF" w14:textId="77777777" w:rsidTr="00086885">
        <w:tc>
          <w:tcPr>
            <w:tcW w:w="4531" w:type="dxa"/>
          </w:tcPr>
          <w:p w14:paraId="03263C4E"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w:t>
            </w:r>
            <w:r w:rsidR="00034CB2" w:rsidRPr="006D2566">
              <w:rPr>
                <w:rFonts w:ascii="Arial" w:hAnsi="Arial" w:cs="Arial"/>
                <w:sz w:val="20"/>
                <w:szCs w:val="20"/>
              </w:rPr>
              <w:t>8</w:t>
            </w:r>
          </w:p>
        </w:tc>
        <w:tc>
          <w:tcPr>
            <w:tcW w:w="4531" w:type="dxa"/>
          </w:tcPr>
          <w:p w14:paraId="6CE421A6"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50</w:t>
            </w:r>
          </w:p>
        </w:tc>
      </w:tr>
      <w:tr w:rsidR="00BC6D4A" w:rsidRPr="006D2566" w14:paraId="118E0335" w14:textId="77777777" w:rsidTr="00086885">
        <w:tc>
          <w:tcPr>
            <w:tcW w:w="4531" w:type="dxa"/>
          </w:tcPr>
          <w:p w14:paraId="1E7E90DB"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w:t>
            </w:r>
            <w:r w:rsidR="00034CB2" w:rsidRPr="006D2566">
              <w:rPr>
                <w:rFonts w:ascii="Arial" w:hAnsi="Arial" w:cs="Arial"/>
                <w:sz w:val="20"/>
                <w:szCs w:val="20"/>
              </w:rPr>
              <w:t>9</w:t>
            </w:r>
          </w:p>
        </w:tc>
        <w:tc>
          <w:tcPr>
            <w:tcW w:w="4531" w:type="dxa"/>
          </w:tcPr>
          <w:p w14:paraId="7887ECA2"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55</w:t>
            </w:r>
          </w:p>
        </w:tc>
      </w:tr>
      <w:tr w:rsidR="00BC6D4A" w:rsidRPr="006D2566" w14:paraId="41BF452C" w14:textId="77777777" w:rsidTr="00086885">
        <w:tc>
          <w:tcPr>
            <w:tcW w:w="4531" w:type="dxa"/>
          </w:tcPr>
          <w:p w14:paraId="101DC194"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w:t>
            </w:r>
            <w:r w:rsidR="00034CB2" w:rsidRPr="006D2566">
              <w:rPr>
                <w:rFonts w:ascii="Arial" w:hAnsi="Arial" w:cs="Arial"/>
                <w:sz w:val="20"/>
                <w:szCs w:val="20"/>
              </w:rPr>
              <w:t>30</w:t>
            </w:r>
          </w:p>
        </w:tc>
        <w:tc>
          <w:tcPr>
            <w:tcW w:w="4531" w:type="dxa"/>
          </w:tcPr>
          <w:p w14:paraId="6097FC84"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60</w:t>
            </w:r>
          </w:p>
        </w:tc>
      </w:tr>
    </w:tbl>
    <w:p w14:paraId="61CD6E11"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ascii="Arial" w:hAnsi="Arial" w:cs="Arial"/>
          <w:sz w:val="20"/>
          <w:szCs w:val="20"/>
        </w:rPr>
      </w:pPr>
    </w:p>
    <w:p w14:paraId="21046E26" w14:textId="77777777" w:rsidR="00BC6D4A" w:rsidRPr="006D2566" w:rsidRDefault="00BC6D4A"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cs="Arial"/>
        </w:rPr>
      </w:pPr>
      <w:r w:rsidRPr="006D2566">
        <w:rPr>
          <w:rFonts w:ascii="Arial" w:eastAsia="Times New Roman" w:hAnsi="Arial"/>
          <w:sz w:val="20"/>
          <w:szCs w:val="20"/>
          <w:u w:val="single"/>
          <w:lang w:eastAsia="de-DE"/>
        </w:rPr>
        <w:t>Spolupráce s</w:t>
      </w:r>
      <w:r w:rsidR="00E92E79" w:rsidRPr="006D2566">
        <w:rPr>
          <w:rFonts w:ascii="Arial" w:eastAsia="Times New Roman" w:hAnsi="Arial"/>
          <w:sz w:val="20"/>
          <w:szCs w:val="20"/>
          <w:u w:val="single"/>
          <w:lang w:eastAsia="de-DE"/>
        </w:rPr>
        <w:t> právnickými osobami</w:t>
      </w:r>
      <w:r w:rsidR="001D52CD" w:rsidRPr="006D2566">
        <w:rPr>
          <w:rFonts w:ascii="Arial" w:eastAsia="Times New Roman" w:hAnsi="Arial"/>
          <w:sz w:val="20"/>
          <w:szCs w:val="20"/>
          <w:u w:val="single"/>
          <w:lang w:eastAsia="de-DE"/>
        </w:rPr>
        <w:t xml:space="preserve"> </w:t>
      </w:r>
      <w:r w:rsidR="00925C85" w:rsidRPr="006D2566">
        <w:rPr>
          <w:rFonts w:ascii="Arial" w:eastAsia="Times New Roman" w:hAnsi="Arial"/>
          <w:sz w:val="20"/>
          <w:szCs w:val="20"/>
          <w:lang w:eastAsia="de-DE"/>
        </w:rPr>
        <w:t xml:space="preserve">(primárně podnikateli a jejich sdruženími) </w:t>
      </w:r>
      <w:r w:rsidRPr="006D2566">
        <w:rPr>
          <w:rFonts w:ascii="Arial" w:eastAsia="Times New Roman" w:hAnsi="Arial"/>
          <w:sz w:val="20"/>
          <w:szCs w:val="20"/>
          <w:lang w:eastAsia="de-DE"/>
        </w:rPr>
        <w:t>ze Zlínského kraje – během doby trvání smlouvy uzavření celkově minimálně 30 dlouhodobých (alespoň na 3 roky) smluv (memorand o spolupráci) s</w:t>
      </w:r>
      <w:r w:rsidR="007A0271" w:rsidRPr="006D2566">
        <w:rPr>
          <w:rFonts w:ascii="Arial" w:eastAsia="Times New Roman" w:hAnsi="Arial"/>
          <w:sz w:val="20"/>
          <w:szCs w:val="20"/>
          <w:lang w:eastAsia="de-DE"/>
        </w:rPr>
        <w:t> právnickými osobami</w:t>
      </w:r>
      <w:r w:rsidRPr="006D2566">
        <w:rPr>
          <w:rFonts w:ascii="Arial" w:eastAsia="Times New Roman" w:hAnsi="Arial"/>
          <w:sz w:val="20"/>
          <w:szCs w:val="20"/>
          <w:lang w:eastAsia="de-DE"/>
        </w:rPr>
        <w:t xml:space="preserve"> působícími ve Zlínském kraji, kdy spolupráce bude zaměřená na nově vytvořené studijní programy dle bodu a) a forma spolupráce </w:t>
      </w:r>
      <w:r w:rsidRPr="006D2566">
        <w:rPr>
          <w:rFonts w:ascii="Arial" w:eastAsia="Times New Roman" w:hAnsi="Arial"/>
          <w:sz w:val="20"/>
          <w:szCs w:val="20"/>
          <w:lang w:eastAsia="de-DE"/>
        </w:rPr>
        <w:lastRenderedPageBreak/>
        <w:t xml:space="preserve">bude spočívat v umožnění stáží, participaci na výuce, nabídek pro uplatnění absolventů v praxi atp. Naplnění indikátoru bude sledováno každoročně s tím, že každý kalendářní rok musí být účinné vždy současně alespoň 4 smlouvy (nemusí být účinné po celou dobu kalendářního roku). </w:t>
      </w:r>
    </w:p>
    <w:p w14:paraId="420277D4" w14:textId="77777777" w:rsidR="00BC6D4A" w:rsidRPr="006D2566" w:rsidRDefault="00BC6D4A" w:rsidP="00BC6D4A">
      <w:pPr>
        <w:pStyle w:val="Odstavecseseznamem"/>
        <w:widowControl w:val="0"/>
        <w:tabs>
          <w:tab w:val="left" w:pos="-1980"/>
          <w:tab w:val="left" w:pos="426"/>
        </w:tabs>
        <w:adjustRightInd w:val="0"/>
        <w:spacing w:after="120" w:line="240" w:lineRule="auto"/>
        <w:jc w:val="both"/>
        <w:textAlignment w:val="baseline"/>
        <w:outlineLvl w:val="0"/>
        <w:rPr>
          <w:rFonts w:cs="Arial"/>
        </w:rPr>
      </w:pPr>
    </w:p>
    <w:p w14:paraId="73BBD98D" w14:textId="47E4198D" w:rsidR="00BC6D4A" w:rsidRPr="00507432" w:rsidRDefault="00A06D37" w:rsidP="0043552B">
      <w:pPr>
        <w:pStyle w:val="Odstavecseseznamem"/>
        <w:widowControl w:val="0"/>
        <w:numPr>
          <w:ilvl w:val="0"/>
          <w:numId w:val="9"/>
        </w:numPr>
        <w:tabs>
          <w:tab w:val="left" w:pos="-1980"/>
          <w:tab w:val="left" w:pos="426"/>
        </w:tabs>
        <w:adjustRightInd w:val="0"/>
        <w:spacing w:after="120" w:line="240" w:lineRule="auto"/>
        <w:jc w:val="both"/>
        <w:textAlignment w:val="baseline"/>
        <w:outlineLvl w:val="0"/>
        <w:rPr>
          <w:rFonts w:cs="Arial"/>
        </w:rPr>
      </w:pPr>
      <w:r w:rsidRPr="006D2566">
        <w:rPr>
          <w:rFonts w:ascii="Helvetica Neue" w:hAnsi="Helvetica Neue"/>
          <w:sz w:val="20"/>
          <w:szCs w:val="20"/>
        </w:rPr>
        <w:t xml:space="preserve">Minimální </w:t>
      </w:r>
      <w:r w:rsidRPr="006D2566">
        <w:rPr>
          <w:rFonts w:ascii="Helvetica Neue" w:hAnsi="Helvetica Neue"/>
          <w:sz w:val="20"/>
          <w:szCs w:val="20"/>
          <w:u w:val="single"/>
        </w:rPr>
        <w:t>počet studentů</w:t>
      </w:r>
      <w:r w:rsidRPr="006D2566">
        <w:rPr>
          <w:rFonts w:ascii="Helvetica Neue" w:hAnsi="Helvetica Neue"/>
          <w:sz w:val="20"/>
          <w:szCs w:val="20"/>
        </w:rPr>
        <w:t xml:space="preserve"> přijatých do prvních ročníků nově akreditovaných studijních programů/studijních programů s prodlouženou akreditací</w:t>
      </w:r>
      <w:r w:rsidR="00947250" w:rsidRPr="006D2566">
        <w:rPr>
          <w:rFonts w:ascii="Helvetica Neue" w:hAnsi="Helvetica Neue"/>
          <w:strike/>
          <w:sz w:val="20"/>
          <w:szCs w:val="20"/>
        </w:rPr>
        <w:t>.</w:t>
      </w:r>
      <w:r w:rsidR="00947250" w:rsidRPr="006D2566">
        <w:rPr>
          <w:rFonts w:ascii="Helvetica Neue" w:hAnsi="Helvetica Neue"/>
          <w:sz w:val="20"/>
          <w:szCs w:val="20"/>
        </w:rPr>
        <w:t xml:space="preserve"> </w:t>
      </w:r>
      <w:r w:rsidR="00160AD9" w:rsidRPr="006D2566">
        <w:rPr>
          <w:rFonts w:ascii="Helvetica Neue" w:hAnsi="Helvetica Neue"/>
          <w:sz w:val="20"/>
          <w:szCs w:val="20"/>
        </w:rPr>
        <w:t>Je požadováno naplnění tohoto minimálního</w:t>
      </w:r>
      <w:r w:rsidR="00947250" w:rsidRPr="006D2566">
        <w:rPr>
          <w:rFonts w:ascii="Helvetica Neue" w:hAnsi="Helvetica Neue"/>
          <w:sz w:val="20"/>
          <w:szCs w:val="20"/>
        </w:rPr>
        <w:t xml:space="preserve"> poč</w:t>
      </w:r>
      <w:r w:rsidR="00160AD9" w:rsidRPr="006D2566">
        <w:rPr>
          <w:rFonts w:ascii="Helvetica Neue" w:hAnsi="Helvetica Neue"/>
          <w:sz w:val="20"/>
          <w:szCs w:val="20"/>
        </w:rPr>
        <w:t>tu</w:t>
      </w:r>
      <w:r w:rsidR="00947250" w:rsidRPr="006D2566">
        <w:rPr>
          <w:rFonts w:ascii="Helvetica Neue" w:hAnsi="Helvetica Neue"/>
          <w:sz w:val="20"/>
          <w:szCs w:val="20"/>
        </w:rPr>
        <w:t xml:space="preserve"> studentů </w:t>
      </w:r>
      <w:r w:rsidR="002E3915" w:rsidRPr="006D2566">
        <w:rPr>
          <w:rFonts w:ascii="Helvetica Neue" w:hAnsi="Helvetica Neue"/>
          <w:sz w:val="20"/>
          <w:szCs w:val="20"/>
        </w:rPr>
        <w:t>přijatých do</w:t>
      </w:r>
      <w:r w:rsidR="00B40140" w:rsidRPr="006D2566">
        <w:rPr>
          <w:rFonts w:ascii="Helvetica Neue" w:hAnsi="Helvetica Neue"/>
          <w:sz w:val="20"/>
          <w:szCs w:val="20"/>
        </w:rPr>
        <w:t xml:space="preserve"> </w:t>
      </w:r>
      <w:r w:rsidR="002E3915" w:rsidRPr="006D2566">
        <w:rPr>
          <w:rFonts w:ascii="Helvetica Neue" w:hAnsi="Helvetica Neue"/>
          <w:sz w:val="20"/>
          <w:szCs w:val="20"/>
        </w:rPr>
        <w:t>prvních ročníků</w:t>
      </w:r>
      <w:r w:rsidR="009135A6" w:rsidRPr="006D2566">
        <w:rPr>
          <w:rFonts w:ascii="Helvetica Neue" w:hAnsi="Helvetica Neue"/>
          <w:sz w:val="20"/>
          <w:szCs w:val="20"/>
        </w:rPr>
        <w:t>.</w:t>
      </w:r>
      <w:r w:rsidR="00B40140" w:rsidRPr="006D2566">
        <w:rPr>
          <w:rFonts w:ascii="Helvetica Neue" w:hAnsi="Helvetica Neue"/>
          <w:sz w:val="20"/>
          <w:szCs w:val="20"/>
        </w:rPr>
        <w:t xml:space="preserve"> </w:t>
      </w:r>
      <w:r w:rsidR="00696680" w:rsidRPr="006D2566">
        <w:rPr>
          <w:rFonts w:ascii="Helvetica Neue" w:hAnsi="Helvetica Neue"/>
          <w:sz w:val="20"/>
          <w:szCs w:val="20"/>
        </w:rPr>
        <w:t xml:space="preserve">Kapacita </w:t>
      </w:r>
      <w:r w:rsidR="002B027F" w:rsidRPr="006D2566">
        <w:rPr>
          <w:rFonts w:ascii="Helvetica Neue" w:hAnsi="Helvetica Neue"/>
          <w:sz w:val="20"/>
          <w:szCs w:val="20"/>
        </w:rPr>
        <w:t xml:space="preserve">uvedená níže </w:t>
      </w:r>
      <w:r w:rsidR="00157509" w:rsidRPr="006D2566">
        <w:rPr>
          <w:rFonts w:ascii="Helvetica Neue" w:hAnsi="Helvetica Neue"/>
          <w:sz w:val="20"/>
          <w:szCs w:val="20"/>
        </w:rPr>
        <w:t>u</w:t>
      </w:r>
      <w:r w:rsidR="00696680" w:rsidRPr="006D2566">
        <w:rPr>
          <w:rFonts w:ascii="Helvetica Neue" w:hAnsi="Helvetica Neue"/>
          <w:sz w:val="20"/>
          <w:szCs w:val="20"/>
        </w:rPr>
        <w:t xml:space="preserve"> roku 2028 musí být </w:t>
      </w:r>
      <w:r w:rsidR="00084B28" w:rsidRPr="006D2566">
        <w:rPr>
          <w:rFonts w:ascii="Helvetica Neue" w:hAnsi="Helvetica Neue"/>
          <w:sz w:val="20"/>
          <w:szCs w:val="20"/>
        </w:rPr>
        <w:t xml:space="preserve">následně </w:t>
      </w:r>
      <w:r w:rsidR="00696680" w:rsidRPr="006D2566">
        <w:rPr>
          <w:rFonts w:ascii="Helvetica Neue" w:hAnsi="Helvetica Neue"/>
          <w:sz w:val="20"/>
          <w:szCs w:val="20"/>
        </w:rPr>
        <w:t>udržena v každém roce trvání smlouvy</w:t>
      </w:r>
      <w:r w:rsidR="00EA3F48" w:rsidRPr="006D2566">
        <w:rPr>
          <w:rFonts w:ascii="Helvetica Neue" w:hAnsi="Helvetica Neue"/>
          <w:sz w:val="20"/>
          <w:szCs w:val="20"/>
        </w:rPr>
        <w:t xml:space="preserve"> a bude sledována a vyhodnocována v průběžné zprávě dle 1.1.3</w:t>
      </w:r>
      <w:r w:rsidR="00696680" w:rsidRPr="006D2566">
        <w:rPr>
          <w:rFonts w:ascii="Helvetica Neue" w:hAnsi="Helvetica Neue"/>
          <w:sz w:val="20"/>
          <w:szCs w:val="20"/>
        </w:rPr>
        <w:t>.</w:t>
      </w:r>
      <w:r w:rsidR="000569E2" w:rsidRPr="006D2566">
        <w:rPr>
          <w:rFonts w:ascii="Helvetica Neue" w:hAnsi="Helvetica Neue"/>
          <w:sz w:val="20"/>
          <w:szCs w:val="20"/>
        </w:rPr>
        <w:t>s následky neplnění dle 1.1.4.</w:t>
      </w:r>
    </w:p>
    <w:p w14:paraId="402DBAF6" w14:textId="77777777" w:rsidR="00507432" w:rsidRPr="00507432" w:rsidRDefault="00507432" w:rsidP="00507432">
      <w:pPr>
        <w:pStyle w:val="Odstavecseseznamem"/>
        <w:rPr>
          <w:rFonts w:cs="Arial"/>
        </w:rPr>
      </w:pPr>
    </w:p>
    <w:p w14:paraId="419D074C" w14:textId="77777777" w:rsidR="00507432" w:rsidRPr="006D2566" w:rsidRDefault="00507432" w:rsidP="00507432">
      <w:pPr>
        <w:pStyle w:val="Odstavecseseznamem"/>
        <w:widowControl w:val="0"/>
        <w:tabs>
          <w:tab w:val="left" w:pos="-1980"/>
          <w:tab w:val="left" w:pos="426"/>
        </w:tabs>
        <w:adjustRightInd w:val="0"/>
        <w:spacing w:after="120" w:line="240" w:lineRule="auto"/>
        <w:jc w:val="both"/>
        <w:textAlignment w:val="baseline"/>
        <w:outlineLvl w:val="0"/>
        <w:rPr>
          <w:rFonts w:cs="Arial"/>
        </w:rPr>
      </w:pPr>
    </w:p>
    <w:tbl>
      <w:tblPr>
        <w:tblStyle w:val="Mkatabulky"/>
        <w:tblW w:w="0" w:type="auto"/>
        <w:tblLook w:val="04A0" w:firstRow="1" w:lastRow="0" w:firstColumn="1" w:lastColumn="0" w:noHBand="0" w:noVBand="1"/>
      </w:tblPr>
      <w:tblGrid>
        <w:gridCol w:w="4531"/>
        <w:gridCol w:w="4531"/>
      </w:tblGrid>
      <w:tr w:rsidR="00BC6D4A" w:rsidRPr="006D2566" w14:paraId="216113CF" w14:textId="77777777" w:rsidTr="00086885">
        <w:tc>
          <w:tcPr>
            <w:tcW w:w="4531" w:type="dxa"/>
          </w:tcPr>
          <w:p w14:paraId="0895F8C0" w14:textId="77777777" w:rsidR="00BC6D4A" w:rsidRPr="006D2566" w:rsidRDefault="00617D0E" w:rsidP="00086885">
            <w:pPr>
              <w:pStyle w:val="Odstavecseseznamem"/>
              <w:rPr>
                <w:rFonts w:ascii="Arial" w:hAnsi="Arial" w:cs="Arial"/>
                <w:sz w:val="20"/>
                <w:szCs w:val="20"/>
              </w:rPr>
            </w:pPr>
            <w:r w:rsidRPr="006D2566">
              <w:rPr>
                <w:rFonts w:ascii="Arial" w:hAnsi="Arial" w:cs="Arial"/>
                <w:sz w:val="20"/>
                <w:szCs w:val="20"/>
              </w:rPr>
              <w:t>Kalendářní</w:t>
            </w:r>
            <w:r w:rsidR="00BC6D4A" w:rsidRPr="006D2566">
              <w:rPr>
                <w:rFonts w:ascii="Arial" w:hAnsi="Arial" w:cs="Arial"/>
                <w:sz w:val="20"/>
                <w:szCs w:val="20"/>
              </w:rPr>
              <w:t xml:space="preserve"> rok</w:t>
            </w:r>
          </w:p>
        </w:tc>
        <w:tc>
          <w:tcPr>
            <w:tcW w:w="4531" w:type="dxa"/>
          </w:tcPr>
          <w:p w14:paraId="7C74A168"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 xml:space="preserve">počet </w:t>
            </w:r>
            <w:r w:rsidR="009210DC" w:rsidRPr="006D2566">
              <w:rPr>
                <w:rFonts w:ascii="Arial" w:hAnsi="Arial" w:cs="Arial"/>
                <w:sz w:val="20"/>
                <w:szCs w:val="20"/>
              </w:rPr>
              <w:t>studentů</w:t>
            </w:r>
          </w:p>
        </w:tc>
      </w:tr>
      <w:tr w:rsidR="00BC6D4A" w:rsidRPr="006D2566" w14:paraId="4A6FC089" w14:textId="77777777" w:rsidTr="00086885">
        <w:tc>
          <w:tcPr>
            <w:tcW w:w="4531" w:type="dxa"/>
          </w:tcPr>
          <w:p w14:paraId="2441BDF3"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2027</w:t>
            </w:r>
          </w:p>
        </w:tc>
        <w:tc>
          <w:tcPr>
            <w:tcW w:w="4531" w:type="dxa"/>
          </w:tcPr>
          <w:p w14:paraId="0920CD47" w14:textId="39A27DE3" w:rsidR="00BC6D4A" w:rsidRPr="006D2566" w:rsidRDefault="00550296" w:rsidP="00086885">
            <w:pPr>
              <w:pStyle w:val="Odstavecseseznamem"/>
              <w:rPr>
                <w:rFonts w:ascii="Arial" w:hAnsi="Arial" w:cs="Arial"/>
                <w:sz w:val="20"/>
                <w:szCs w:val="20"/>
              </w:rPr>
            </w:pPr>
            <w:r w:rsidRPr="006D2566">
              <w:rPr>
                <w:rFonts w:ascii="Arial" w:hAnsi="Arial" w:cs="Arial"/>
                <w:sz w:val="20"/>
                <w:szCs w:val="20"/>
              </w:rPr>
              <w:t>2</w:t>
            </w:r>
            <w:r w:rsidR="004D4AB4" w:rsidRPr="006D2566">
              <w:rPr>
                <w:rFonts w:ascii="Arial" w:hAnsi="Arial" w:cs="Arial"/>
                <w:sz w:val="20"/>
                <w:szCs w:val="20"/>
              </w:rPr>
              <w:t>0</w:t>
            </w:r>
            <w:r w:rsidR="00097E4D" w:rsidRPr="006D2566">
              <w:rPr>
                <w:rFonts w:ascii="Arial" w:hAnsi="Arial" w:cs="Arial"/>
                <w:sz w:val="20"/>
                <w:szCs w:val="20"/>
              </w:rPr>
              <w:t>8</w:t>
            </w:r>
            <w:r w:rsidR="003F6C0D" w:rsidRPr="006D2566">
              <w:rPr>
                <w:rFonts w:ascii="Arial" w:hAnsi="Arial" w:cs="Arial"/>
                <w:sz w:val="20"/>
                <w:szCs w:val="20"/>
              </w:rPr>
              <w:t xml:space="preserve"> (z toho </w:t>
            </w:r>
            <w:r w:rsidR="00F25A18" w:rsidRPr="006D2566">
              <w:rPr>
                <w:rFonts w:ascii="Arial" w:hAnsi="Arial" w:cs="Arial"/>
                <w:sz w:val="20"/>
                <w:szCs w:val="20"/>
              </w:rPr>
              <w:t xml:space="preserve">současně </w:t>
            </w:r>
            <w:r w:rsidR="003F6C0D" w:rsidRPr="006D2566">
              <w:rPr>
                <w:rFonts w:ascii="Arial" w:hAnsi="Arial" w:cs="Arial"/>
                <w:sz w:val="20"/>
                <w:szCs w:val="20"/>
              </w:rPr>
              <w:t xml:space="preserve">minimálně </w:t>
            </w:r>
            <w:r w:rsidR="00C46308" w:rsidRPr="006D2566">
              <w:rPr>
                <w:rFonts w:ascii="Arial" w:hAnsi="Arial" w:cs="Arial"/>
                <w:sz w:val="20"/>
                <w:szCs w:val="20"/>
              </w:rPr>
              <w:t>96 v novém studijním programu v oblasti vzdělávání Strojírenství, technologie a materiály – bakalářské studium, předpokládaný název „Strojírenství a výrobní technologie“</w:t>
            </w:r>
            <w:r w:rsidR="00D37C6D">
              <w:rPr>
                <w:rFonts w:ascii="Arial" w:hAnsi="Arial" w:cs="Arial"/>
                <w:sz w:val="20"/>
                <w:szCs w:val="20"/>
              </w:rPr>
              <w:t>)</w:t>
            </w:r>
          </w:p>
        </w:tc>
      </w:tr>
      <w:tr w:rsidR="00BC6D4A" w:rsidRPr="006D2566" w14:paraId="55576A5E" w14:textId="77777777" w:rsidTr="00086885">
        <w:tc>
          <w:tcPr>
            <w:tcW w:w="4531" w:type="dxa"/>
          </w:tcPr>
          <w:p w14:paraId="3C3A13E6" w14:textId="77777777" w:rsidR="00BC6D4A" w:rsidRPr="006D2566" w:rsidRDefault="00BC6D4A" w:rsidP="00086885">
            <w:pPr>
              <w:pStyle w:val="Odstavecseseznamem"/>
              <w:rPr>
                <w:rFonts w:ascii="Arial" w:hAnsi="Arial" w:cs="Arial"/>
                <w:sz w:val="20"/>
                <w:szCs w:val="20"/>
              </w:rPr>
            </w:pPr>
            <w:r w:rsidRPr="006D2566">
              <w:rPr>
                <w:rFonts w:ascii="Arial" w:hAnsi="Arial" w:cs="Arial"/>
                <w:sz w:val="20"/>
                <w:szCs w:val="20"/>
              </w:rPr>
              <w:t>20</w:t>
            </w:r>
            <w:r w:rsidR="00101803" w:rsidRPr="006D2566">
              <w:rPr>
                <w:rFonts w:ascii="Arial" w:hAnsi="Arial" w:cs="Arial"/>
                <w:sz w:val="20"/>
                <w:szCs w:val="20"/>
              </w:rPr>
              <w:t>28</w:t>
            </w:r>
            <w:r w:rsidR="00696680" w:rsidRPr="006D2566">
              <w:rPr>
                <w:rFonts w:ascii="Arial" w:hAnsi="Arial" w:cs="Arial"/>
                <w:sz w:val="20"/>
                <w:szCs w:val="20"/>
              </w:rPr>
              <w:t xml:space="preserve"> (až 2034)</w:t>
            </w:r>
          </w:p>
        </w:tc>
        <w:tc>
          <w:tcPr>
            <w:tcW w:w="4531" w:type="dxa"/>
          </w:tcPr>
          <w:p w14:paraId="1B1A2703" w14:textId="69D38E4C" w:rsidR="00BC6D4A" w:rsidRPr="006D2566" w:rsidRDefault="0018352D" w:rsidP="00086885">
            <w:pPr>
              <w:pStyle w:val="Odstavecseseznamem"/>
              <w:rPr>
                <w:rFonts w:ascii="Arial" w:hAnsi="Arial" w:cs="Arial"/>
                <w:sz w:val="20"/>
                <w:szCs w:val="20"/>
              </w:rPr>
            </w:pPr>
            <w:r w:rsidRPr="006D2566">
              <w:rPr>
                <w:rFonts w:ascii="Arial" w:hAnsi="Arial" w:cs="Arial"/>
                <w:sz w:val="20"/>
                <w:szCs w:val="20"/>
              </w:rPr>
              <w:t>3</w:t>
            </w:r>
            <w:r w:rsidR="00097E4D" w:rsidRPr="006D2566">
              <w:rPr>
                <w:rFonts w:ascii="Arial" w:hAnsi="Arial" w:cs="Arial"/>
                <w:sz w:val="20"/>
                <w:szCs w:val="20"/>
              </w:rPr>
              <w:t>20</w:t>
            </w:r>
            <w:r w:rsidR="00CE1C63" w:rsidRPr="006D2566">
              <w:rPr>
                <w:rStyle w:val="Znakapoznpodarou"/>
                <w:rFonts w:ascii="Arial" w:hAnsi="Arial" w:cs="Arial"/>
                <w:sz w:val="20"/>
                <w:szCs w:val="20"/>
              </w:rPr>
              <w:footnoteReference w:id="2"/>
            </w:r>
            <w:r w:rsidR="00FB0765" w:rsidRPr="006D2566">
              <w:t xml:space="preserve"> </w:t>
            </w:r>
            <w:r w:rsidR="00FB0765" w:rsidRPr="006D2566">
              <w:rPr>
                <w:rFonts w:ascii="Arial" w:hAnsi="Arial" w:cs="Arial"/>
                <w:sz w:val="20"/>
                <w:szCs w:val="20"/>
              </w:rPr>
              <w:t>(z toho současně minimálně 48 v novém studijním programu/ech v oblasti vzdělávání Chemie/Elektrotechnika/Technická kybernetika – bakalářské studium, předpokládaný název „Polovodičové materiály“</w:t>
            </w:r>
            <w:r w:rsidR="00D37C6D">
              <w:rPr>
                <w:rFonts w:ascii="Arial" w:hAnsi="Arial" w:cs="Arial"/>
                <w:sz w:val="20"/>
                <w:szCs w:val="20"/>
              </w:rPr>
              <w:t>)</w:t>
            </w:r>
          </w:p>
        </w:tc>
      </w:tr>
    </w:tbl>
    <w:p w14:paraId="15986E8B" w14:textId="77777777" w:rsidR="00157EC4" w:rsidRPr="006D2566" w:rsidRDefault="00157EC4" w:rsidP="00343E4A">
      <w:pPr>
        <w:widowControl w:val="0"/>
        <w:tabs>
          <w:tab w:val="left" w:pos="-1980"/>
          <w:tab w:val="left" w:pos="426"/>
        </w:tabs>
        <w:adjustRightInd w:val="0"/>
        <w:spacing w:after="120" w:line="240" w:lineRule="auto"/>
        <w:jc w:val="both"/>
        <w:textAlignment w:val="baseline"/>
        <w:outlineLvl w:val="0"/>
        <w:rPr>
          <w:rFonts w:cs="Arial"/>
        </w:rPr>
      </w:pPr>
    </w:p>
    <w:p w14:paraId="13D58E89" w14:textId="77777777" w:rsidR="0046455B" w:rsidRPr="006D2566" w:rsidRDefault="0046455B" w:rsidP="00343E4A">
      <w:pPr>
        <w:widowControl w:val="0"/>
        <w:tabs>
          <w:tab w:val="left" w:pos="-1980"/>
          <w:tab w:val="left" w:pos="426"/>
        </w:tabs>
        <w:adjustRightInd w:val="0"/>
        <w:spacing w:after="120" w:line="240" w:lineRule="auto"/>
        <w:jc w:val="both"/>
        <w:textAlignment w:val="baseline"/>
        <w:outlineLvl w:val="0"/>
        <w:rPr>
          <w:rFonts w:cs="Arial"/>
        </w:rPr>
      </w:pPr>
    </w:p>
    <w:p w14:paraId="02C9CE8D" w14:textId="000B2E5F" w:rsidR="002666AD" w:rsidRPr="006D2566" w:rsidRDefault="0046455B" w:rsidP="00343E4A">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Průběžná zpráva o plnění dle 1.1.3. bude obsahovat popis aktivit vedoucích k naplnění cílového stavu každého indikátoru za každý kalendářní rok. Plnění </w:t>
      </w:r>
      <w:r w:rsidR="00A5677D" w:rsidRPr="006D2566">
        <w:rPr>
          <w:rFonts w:cs="Arial"/>
        </w:rPr>
        <w:t xml:space="preserve">(udržení) </w:t>
      </w:r>
      <w:r w:rsidRPr="006D2566">
        <w:rPr>
          <w:rFonts w:cs="Arial"/>
        </w:rPr>
        <w:t>indikátorů musí trvat až do 31.12.2034, konečný stav bude popsán ve zprávě za rok 2034.</w:t>
      </w:r>
      <w:r w:rsidR="00A5677D" w:rsidRPr="006D2566">
        <w:rPr>
          <w:rFonts w:cs="Arial"/>
        </w:rPr>
        <w:t xml:space="preserve"> Indikátory dle písm. e), f), g), h) a m) budou v letech následujících</w:t>
      </w:r>
      <w:r w:rsidR="00891904" w:rsidRPr="006D2566">
        <w:rPr>
          <w:rFonts w:cs="Arial"/>
        </w:rPr>
        <w:t xml:space="preserve"> (2031-2034)</w:t>
      </w:r>
      <w:r w:rsidR="00A5677D" w:rsidRPr="006D2566">
        <w:rPr>
          <w:rFonts w:cs="Arial"/>
        </w:rPr>
        <w:t xml:space="preserve"> po roce, kterým je ukončena tabulka</w:t>
      </w:r>
      <w:r w:rsidR="00891904" w:rsidRPr="006D2566">
        <w:rPr>
          <w:rFonts w:cs="Arial"/>
        </w:rPr>
        <w:t xml:space="preserve"> (2030)</w:t>
      </w:r>
      <w:r w:rsidR="00A5677D" w:rsidRPr="006D2566">
        <w:rPr>
          <w:rFonts w:cs="Arial"/>
        </w:rPr>
        <w:t xml:space="preserve">, naplňovány v každém dalším roce </w:t>
      </w:r>
      <w:r w:rsidR="00BF1EB3" w:rsidRPr="006D2566">
        <w:rPr>
          <w:rFonts w:cs="Arial"/>
        </w:rPr>
        <w:t>trvání</w:t>
      </w:r>
      <w:r w:rsidR="00A5677D" w:rsidRPr="006D2566">
        <w:rPr>
          <w:rFonts w:cs="Arial"/>
        </w:rPr>
        <w:t xml:space="preserve"> smlouvy v minimální hodnotě uvedené v posledním řádku tabulky</w:t>
      </w:r>
      <w:r w:rsidR="00891904" w:rsidRPr="006D2566">
        <w:rPr>
          <w:rFonts w:cs="Arial"/>
        </w:rPr>
        <w:t>, tj. u roku 2030</w:t>
      </w:r>
      <w:r w:rsidR="00A5677D" w:rsidRPr="006D2566">
        <w:rPr>
          <w:rFonts w:cs="Arial"/>
        </w:rPr>
        <w:t xml:space="preserve">. Pokud tedy např. </w:t>
      </w:r>
      <w:r w:rsidR="00BF1EB3" w:rsidRPr="006D2566">
        <w:rPr>
          <w:rFonts w:cs="Arial"/>
        </w:rPr>
        <w:t xml:space="preserve">v písm. m) je v roce 2030 požadováno naplnění </w:t>
      </w:r>
      <w:r w:rsidR="00C8166C" w:rsidRPr="006D2566">
        <w:rPr>
          <w:rFonts w:cs="Arial"/>
        </w:rPr>
        <w:t>6</w:t>
      </w:r>
      <w:r w:rsidR="00BF1EB3" w:rsidRPr="006D2566">
        <w:rPr>
          <w:rFonts w:cs="Arial"/>
        </w:rPr>
        <w:t xml:space="preserve">0 </w:t>
      </w:r>
      <w:r w:rsidR="00582DCC" w:rsidRPr="006D2566">
        <w:rPr>
          <w:rFonts w:cs="Arial"/>
        </w:rPr>
        <w:t>mobilit</w:t>
      </w:r>
      <w:r w:rsidR="00BF1EB3" w:rsidRPr="006D2566">
        <w:rPr>
          <w:rFonts w:cs="Arial"/>
        </w:rPr>
        <w:t>, pak v každém dalším roce trvání smlouvy (tj. 2031-2034)</w:t>
      </w:r>
      <w:r w:rsidR="00582DCC" w:rsidRPr="006D2566">
        <w:rPr>
          <w:rFonts w:cs="Arial"/>
        </w:rPr>
        <w:t xml:space="preserve"> bude v</w:t>
      </w:r>
      <w:r w:rsidR="00891904" w:rsidRPr="006D2566">
        <w:rPr>
          <w:rFonts w:cs="Arial"/>
        </w:rPr>
        <w:t>ždy</w:t>
      </w:r>
      <w:r w:rsidR="00582DCC" w:rsidRPr="006D2566">
        <w:rPr>
          <w:rFonts w:cs="Arial"/>
        </w:rPr>
        <w:t xml:space="preserve"> sledováno naplnění minimálního počtu </w:t>
      </w:r>
      <w:r w:rsidR="00C8166C" w:rsidRPr="006D2566">
        <w:rPr>
          <w:rFonts w:cs="Arial"/>
        </w:rPr>
        <w:t>6</w:t>
      </w:r>
      <w:r w:rsidR="00582DCC" w:rsidRPr="006D2566">
        <w:rPr>
          <w:rFonts w:cs="Arial"/>
        </w:rPr>
        <w:t>0 mobilit.</w:t>
      </w:r>
    </w:p>
    <w:p w14:paraId="1305B438" w14:textId="77777777" w:rsidR="00BC6D4A" w:rsidRPr="006D2566" w:rsidRDefault="00772A7C" w:rsidP="00343E4A">
      <w:pPr>
        <w:widowControl w:val="0"/>
        <w:tabs>
          <w:tab w:val="left" w:pos="-1980"/>
          <w:tab w:val="left" w:pos="426"/>
        </w:tabs>
        <w:adjustRightInd w:val="0"/>
        <w:spacing w:after="120" w:line="240" w:lineRule="auto"/>
        <w:jc w:val="both"/>
        <w:textAlignment w:val="baseline"/>
        <w:outlineLvl w:val="0"/>
        <w:rPr>
          <w:rFonts w:cs="Arial"/>
        </w:rPr>
      </w:pPr>
      <w:bookmarkStart w:id="3" w:name="_Hlk162265795"/>
      <w:r w:rsidRPr="006D2566">
        <w:rPr>
          <w:rFonts w:cs="Arial"/>
        </w:rPr>
        <w:t>Pokud UTB v</w:t>
      </w:r>
      <w:r w:rsidR="00DA7F47" w:rsidRPr="006D2566">
        <w:rPr>
          <w:rFonts w:cs="Arial"/>
        </w:rPr>
        <w:t> jednom roce naplní jednotlivý indikátor</w:t>
      </w:r>
      <w:r w:rsidR="002666AD" w:rsidRPr="006D2566">
        <w:rPr>
          <w:rFonts w:cs="Arial"/>
        </w:rPr>
        <w:t xml:space="preserve"> </w:t>
      </w:r>
      <w:r w:rsidR="007044F0" w:rsidRPr="006D2566">
        <w:rPr>
          <w:rFonts w:cs="Arial"/>
        </w:rPr>
        <w:t xml:space="preserve">dle písm. e), f), g), h) </w:t>
      </w:r>
      <w:r w:rsidR="00143BF9" w:rsidRPr="006D2566">
        <w:rPr>
          <w:rFonts w:cs="Arial"/>
        </w:rPr>
        <w:t>nebo</w:t>
      </w:r>
      <w:r w:rsidR="007044F0" w:rsidRPr="006D2566">
        <w:rPr>
          <w:rFonts w:cs="Arial"/>
        </w:rPr>
        <w:t xml:space="preserve"> m)</w:t>
      </w:r>
      <w:r w:rsidR="00DA7F47" w:rsidRPr="006D2566">
        <w:rPr>
          <w:rFonts w:cs="Arial"/>
        </w:rPr>
        <w:t xml:space="preserve"> </w:t>
      </w:r>
      <w:r w:rsidR="002A00C1" w:rsidRPr="006D2566">
        <w:rPr>
          <w:rFonts w:cs="Arial"/>
        </w:rPr>
        <w:t xml:space="preserve">ve vyšší hodnotě než požadované, pak v míře 10 % </w:t>
      </w:r>
      <w:r w:rsidR="00A84E07" w:rsidRPr="006D2566">
        <w:rPr>
          <w:rFonts w:cs="Arial"/>
        </w:rPr>
        <w:t xml:space="preserve">hodnoty indikátoru </w:t>
      </w:r>
      <w:r w:rsidR="00874691" w:rsidRPr="006D2566">
        <w:rPr>
          <w:rFonts w:cs="Arial"/>
        </w:rPr>
        <w:t xml:space="preserve">se tato hodnota započítává na hodnotu indikátoru roku následujícího. Pokud tedy např. bude hodnota indikátoru </w:t>
      </w:r>
      <w:r w:rsidR="00EE5114" w:rsidRPr="006D2566">
        <w:rPr>
          <w:rFonts w:cs="Arial"/>
        </w:rPr>
        <w:t xml:space="preserve">dle písm. e) </w:t>
      </w:r>
      <w:r w:rsidR="00874691" w:rsidRPr="006D2566">
        <w:rPr>
          <w:rFonts w:cs="Arial"/>
        </w:rPr>
        <w:t xml:space="preserve">v roce 2025 </w:t>
      </w:r>
      <w:r w:rsidR="004851C6" w:rsidRPr="006D2566">
        <w:rPr>
          <w:rFonts w:cs="Arial"/>
        </w:rPr>
        <w:t xml:space="preserve">počet přednášek </w:t>
      </w:r>
      <w:r w:rsidR="00ED5FEF" w:rsidRPr="006D2566">
        <w:rPr>
          <w:rFonts w:cs="Arial"/>
        </w:rPr>
        <w:t>6</w:t>
      </w:r>
      <w:r w:rsidR="004851C6" w:rsidRPr="006D2566">
        <w:rPr>
          <w:rFonts w:cs="Arial"/>
        </w:rPr>
        <w:t>0 a UTB naplní indikátor na</w:t>
      </w:r>
      <w:r w:rsidR="00C227A1" w:rsidRPr="006D2566">
        <w:rPr>
          <w:rFonts w:cs="Arial"/>
        </w:rPr>
        <w:t xml:space="preserve"> </w:t>
      </w:r>
      <w:r w:rsidR="00ED5FEF" w:rsidRPr="006D2566">
        <w:rPr>
          <w:rFonts w:cs="Arial"/>
        </w:rPr>
        <w:t>7</w:t>
      </w:r>
      <w:r w:rsidR="00C227A1" w:rsidRPr="006D2566">
        <w:rPr>
          <w:rFonts w:cs="Arial"/>
        </w:rPr>
        <w:t xml:space="preserve">0, pak se 10% původní hodnoty indikátoru, tj. </w:t>
      </w:r>
      <w:r w:rsidR="00ED5FEF" w:rsidRPr="006D2566">
        <w:rPr>
          <w:rFonts w:cs="Arial"/>
        </w:rPr>
        <w:t>6</w:t>
      </w:r>
      <w:r w:rsidR="00C227A1" w:rsidRPr="006D2566">
        <w:rPr>
          <w:rFonts w:cs="Arial"/>
        </w:rPr>
        <w:t xml:space="preserve"> započ</w:t>
      </w:r>
      <w:r w:rsidR="00127618" w:rsidRPr="006D2566">
        <w:rPr>
          <w:rFonts w:cs="Arial"/>
        </w:rPr>
        <w:t>í</w:t>
      </w:r>
      <w:r w:rsidR="00C227A1" w:rsidRPr="006D2566">
        <w:rPr>
          <w:rFonts w:cs="Arial"/>
        </w:rPr>
        <w:t xml:space="preserve">tává </w:t>
      </w:r>
      <w:r w:rsidR="001210A3" w:rsidRPr="006D2566">
        <w:rPr>
          <w:rFonts w:cs="Arial"/>
        </w:rPr>
        <w:t>do</w:t>
      </w:r>
      <w:r w:rsidR="00C227A1" w:rsidRPr="006D2566">
        <w:rPr>
          <w:rFonts w:cs="Arial"/>
        </w:rPr>
        <w:t xml:space="preserve"> </w:t>
      </w:r>
      <w:r w:rsidR="001210A3" w:rsidRPr="006D2566">
        <w:rPr>
          <w:rFonts w:cs="Arial"/>
        </w:rPr>
        <w:t>hodnoty</w:t>
      </w:r>
      <w:r w:rsidR="00720651" w:rsidRPr="006D2566">
        <w:rPr>
          <w:rFonts w:cs="Arial"/>
        </w:rPr>
        <w:t> indikátoru roku 2026. Tedy</w:t>
      </w:r>
      <w:r w:rsidR="000658D1" w:rsidRPr="006D2566">
        <w:rPr>
          <w:rFonts w:cs="Arial"/>
        </w:rPr>
        <w:t>,</w:t>
      </w:r>
      <w:r w:rsidR="00720651" w:rsidRPr="006D2566">
        <w:rPr>
          <w:rFonts w:cs="Arial"/>
        </w:rPr>
        <w:t xml:space="preserve"> </w:t>
      </w:r>
      <w:r w:rsidR="00EE5114" w:rsidRPr="006D2566">
        <w:rPr>
          <w:rFonts w:cs="Arial"/>
        </w:rPr>
        <w:t>je</w:t>
      </w:r>
      <w:r w:rsidR="00720651" w:rsidRPr="006D2566">
        <w:rPr>
          <w:rFonts w:cs="Arial"/>
        </w:rPr>
        <w:t xml:space="preserve">-li hodnota roku 2026 počet přednášek </w:t>
      </w:r>
      <w:r w:rsidR="00EE5114" w:rsidRPr="006D2566">
        <w:rPr>
          <w:rFonts w:cs="Arial"/>
        </w:rPr>
        <w:t>7</w:t>
      </w:r>
      <w:r w:rsidR="00720651" w:rsidRPr="006D2566">
        <w:rPr>
          <w:rFonts w:cs="Arial"/>
        </w:rPr>
        <w:t>0, pak j</w:t>
      </w:r>
      <w:r w:rsidR="00EE5114" w:rsidRPr="006D2566">
        <w:rPr>
          <w:rFonts w:cs="Arial"/>
        </w:rPr>
        <w:t>e hodnota</w:t>
      </w:r>
      <w:r w:rsidR="00720651" w:rsidRPr="006D2566">
        <w:rPr>
          <w:rFonts w:cs="Arial"/>
        </w:rPr>
        <w:t xml:space="preserve"> </w:t>
      </w:r>
      <w:r w:rsidR="00EE5114" w:rsidRPr="006D2566">
        <w:rPr>
          <w:rFonts w:cs="Arial"/>
        </w:rPr>
        <w:t>6 přednášek</w:t>
      </w:r>
      <w:r w:rsidR="00720651" w:rsidRPr="006D2566">
        <w:rPr>
          <w:rFonts w:cs="Arial"/>
        </w:rPr>
        <w:t xml:space="preserve"> už počítán</w:t>
      </w:r>
      <w:r w:rsidR="00EE5114" w:rsidRPr="006D2566">
        <w:rPr>
          <w:rFonts w:cs="Arial"/>
        </w:rPr>
        <w:t>a</w:t>
      </w:r>
      <w:r w:rsidR="00720651" w:rsidRPr="006D2566">
        <w:rPr>
          <w:rFonts w:cs="Arial"/>
        </w:rPr>
        <w:t xml:space="preserve"> </w:t>
      </w:r>
      <w:r w:rsidR="000658D1" w:rsidRPr="006D2566">
        <w:rPr>
          <w:rFonts w:cs="Arial"/>
        </w:rPr>
        <w:t>jako</w:t>
      </w:r>
      <w:r w:rsidR="00720651" w:rsidRPr="006D2566">
        <w:rPr>
          <w:rFonts w:cs="Arial"/>
        </w:rPr>
        <w:t xml:space="preserve"> </w:t>
      </w:r>
      <w:r w:rsidR="001E076E" w:rsidRPr="006D2566">
        <w:rPr>
          <w:rFonts w:cs="Arial"/>
        </w:rPr>
        <w:t>splněn</w:t>
      </w:r>
      <w:r w:rsidR="00EE5114" w:rsidRPr="006D2566">
        <w:rPr>
          <w:rFonts w:cs="Arial"/>
        </w:rPr>
        <w:t>á</w:t>
      </w:r>
      <w:r w:rsidR="000658D1" w:rsidRPr="006D2566">
        <w:rPr>
          <w:rFonts w:cs="Arial"/>
        </w:rPr>
        <w:t xml:space="preserve"> a v roce 2026 </w:t>
      </w:r>
      <w:proofErr w:type="gramStart"/>
      <w:r w:rsidR="000658D1" w:rsidRPr="006D2566">
        <w:rPr>
          <w:rFonts w:cs="Arial"/>
        </w:rPr>
        <w:t>postačí</w:t>
      </w:r>
      <w:proofErr w:type="gramEnd"/>
      <w:r w:rsidR="000658D1" w:rsidRPr="006D2566">
        <w:rPr>
          <w:rFonts w:cs="Arial"/>
        </w:rPr>
        <w:t xml:space="preserve"> k naplnění indikátoru </w:t>
      </w:r>
      <w:r w:rsidR="00C95BD4" w:rsidRPr="006D2566">
        <w:rPr>
          <w:rFonts w:cs="Arial"/>
        </w:rPr>
        <w:t xml:space="preserve">splnit </w:t>
      </w:r>
      <w:r w:rsidR="00EE5114" w:rsidRPr="006D2566">
        <w:rPr>
          <w:rFonts w:cs="Arial"/>
        </w:rPr>
        <w:t>64</w:t>
      </w:r>
      <w:r w:rsidR="00C95BD4" w:rsidRPr="006D2566">
        <w:rPr>
          <w:rFonts w:cs="Arial"/>
        </w:rPr>
        <w:t xml:space="preserve"> přednášek</w:t>
      </w:r>
      <w:r w:rsidR="001E076E" w:rsidRPr="006D2566">
        <w:rPr>
          <w:rFonts w:cs="Arial"/>
        </w:rPr>
        <w:t>.</w:t>
      </w:r>
    </w:p>
    <w:bookmarkEnd w:id="3"/>
    <w:p w14:paraId="5CDF7647" w14:textId="77777777" w:rsidR="00BC6D4A" w:rsidRPr="006D2566" w:rsidRDefault="00BC6D4A" w:rsidP="00266B36">
      <w:pPr>
        <w:widowControl w:val="0"/>
        <w:tabs>
          <w:tab w:val="left" w:pos="-1980"/>
          <w:tab w:val="left" w:pos="426"/>
        </w:tabs>
        <w:adjustRightInd w:val="0"/>
        <w:spacing w:after="120" w:line="240" w:lineRule="auto"/>
        <w:jc w:val="both"/>
        <w:textAlignment w:val="baseline"/>
        <w:outlineLvl w:val="0"/>
        <w:rPr>
          <w:rFonts w:cs="Arial"/>
        </w:rPr>
      </w:pPr>
    </w:p>
    <w:p w14:paraId="03C9598A" w14:textId="77777777" w:rsidR="00BC6D4A" w:rsidRPr="006D2566" w:rsidRDefault="00BC6D4A" w:rsidP="00266B36">
      <w:pPr>
        <w:widowControl w:val="0"/>
        <w:tabs>
          <w:tab w:val="left" w:pos="-1980"/>
          <w:tab w:val="left" w:pos="426"/>
        </w:tabs>
        <w:adjustRightInd w:val="0"/>
        <w:spacing w:after="120" w:line="240" w:lineRule="auto"/>
        <w:jc w:val="both"/>
        <w:textAlignment w:val="baseline"/>
        <w:outlineLvl w:val="0"/>
        <w:rPr>
          <w:rFonts w:cs="Arial"/>
          <w:u w:val="single"/>
        </w:rPr>
      </w:pPr>
      <w:r w:rsidRPr="006D2566">
        <w:rPr>
          <w:rFonts w:cs="Arial"/>
          <w:u w:val="single"/>
        </w:rPr>
        <w:t xml:space="preserve">1.1.3. </w:t>
      </w:r>
      <w:r w:rsidR="00C82324" w:rsidRPr="006D2566">
        <w:rPr>
          <w:rFonts w:cs="Arial"/>
          <w:u w:val="single"/>
        </w:rPr>
        <w:t>Průběžná z</w:t>
      </w:r>
      <w:r w:rsidRPr="006D2566">
        <w:rPr>
          <w:rFonts w:cs="Arial"/>
          <w:u w:val="single"/>
        </w:rPr>
        <w:t>práva o naplňování výstupů (indikátorů)</w:t>
      </w:r>
    </w:p>
    <w:p w14:paraId="5E7CAB25" w14:textId="77777777" w:rsidR="00BC6D4A" w:rsidRPr="006D2566" w:rsidRDefault="00BC6D4A"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O naplňování výstupů uvedených v 1.1.2. za každý kalendářní rok trvání smlouvy (není-li u jednotlivého ukazatele stanoveno jinak) bude UTB předávat Kraji písemnou zprávu o stavu naplňování každého ukazatele ve stavu k 31.12. kalendářního roku. Zpráva bude Kraji předána vždy do 1.3. každého následujícího kalendářního roku trvání smlouvy za rok předcházející. První zpráva bude tedy předána do 1.3.2025 za rok 2024 ohledně naplňování ukazatelů ve stavu k 31.12.2024</w:t>
      </w:r>
      <w:r w:rsidR="00E37FE8" w:rsidRPr="006D2566">
        <w:rPr>
          <w:rFonts w:cs="Arial"/>
        </w:rPr>
        <w:t xml:space="preserve"> (bude sledován</w:t>
      </w:r>
      <w:r w:rsidR="00B66B65" w:rsidRPr="006D2566">
        <w:rPr>
          <w:rFonts w:cs="Arial"/>
        </w:rPr>
        <w:t xml:space="preserve"> ve smlouvě uváděný výchozí stav indikátorů)</w:t>
      </w:r>
      <w:r w:rsidRPr="006D2566">
        <w:rPr>
          <w:rFonts w:cs="Arial"/>
        </w:rPr>
        <w:t xml:space="preserve">. Poslední </w:t>
      </w:r>
      <w:r w:rsidR="00E026E2" w:rsidRPr="006D2566">
        <w:rPr>
          <w:rFonts w:cs="Arial"/>
        </w:rPr>
        <w:t xml:space="preserve">průběžná, resp. </w:t>
      </w:r>
      <w:r w:rsidR="00A10E5E" w:rsidRPr="006D2566">
        <w:rPr>
          <w:rFonts w:cs="Arial"/>
        </w:rPr>
        <w:t xml:space="preserve">závěrečná </w:t>
      </w:r>
      <w:r w:rsidRPr="006D2566">
        <w:rPr>
          <w:rFonts w:cs="Arial"/>
        </w:rPr>
        <w:t xml:space="preserve">zpráva pak bude předána do 1.3.2035 za rok 2034 ohledně naplňování ukazatelů ve stavu k 31.12.2034. Součástí této </w:t>
      </w:r>
      <w:r w:rsidR="00A10E5E" w:rsidRPr="006D2566">
        <w:rPr>
          <w:rFonts w:cs="Arial"/>
        </w:rPr>
        <w:lastRenderedPageBreak/>
        <w:t>závěrečné</w:t>
      </w:r>
      <w:r w:rsidRPr="006D2566">
        <w:rPr>
          <w:rFonts w:cs="Arial"/>
        </w:rPr>
        <w:t xml:space="preserve"> zprávy bude celkové zhodnocení dosažených cílů vytyčených </w:t>
      </w:r>
      <w:r w:rsidR="00D1425A" w:rsidRPr="006D2566">
        <w:rPr>
          <w:rFonts w:cs="Arial"/>
        </w:rPr>
        <w:t>v bodě</w:t>
      </w:r>
      <w:r w:rsidRPr="006D2566">
        <w:rPr>
          <w:rFonts w:cs="Arial"/>
        </w:rPr>
        <w:t xml:space="preserve"> 1.1.2.</w:t>
      </w:r>
    </w:p>
    <w:p w14:paraId="6FBE8421" w14:textId="77777777" w:rsidR="0093325C" w:rsidRPr="006D2566" w:rsidRDefault="0093325C"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Zpráva bude vždy hodnotit uplynulý kalendářní rok.</w:t>
      </w:r>
      <w:r w:rsidR="00AB5BB2" w:rsidRPr="006D2566">
        <w:rPr>
          <w:rFonts w:cs="Arial"/>
        </w:rPr>
        <w:t xml:space="preserve"> Zpráva bude </w:t>
      </w:r>
      <w:r w:rsidR="00AD3BC6" w:rsidRPr="006D2566">
        <w:rPr>
          <w:rFonts w:cs="Arial"/>
        </w:rPr>
        <w:t>vyhotovena podle formuláře zaslaného Krajem Univerzitě</w:t>
      </w:r>
      <w:r w:rsidR="008C2886" w:rsidRPr="006D2566">
        <w:rPr>
          <w:rFonts w:cs="Arial"/>
        </w:rPr>
        <w:t>. Kraj formulář zašle do 6 měsíců od uzavření smlouvy.</w:t>
      </w:r>
    </w:p>
    <w:p w14:paraId="7ADFD015" w14:textId="3C8EB7C2" w:rsidR="00A90F61" w:rsidRPr="006D2566" w:rsidRDefault="005267A7"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Kontrola plnění ze strany Kraje bude provedena </w:t>
      </w:r>
      <w:r w:rsidR="00D1425A" w:rsidRPr="006D2566">
        <w:rPr>
          <w:rFonts w:cs="Arial"/>
        </w:rPr>
        <w:t xml:space="preserve">vždy </w:t>
      </w:r>
      <w:r w:rsidRPr="006D2566">
        <w:rPr>
          <w:rFonts w:cs="Arial"/>
        </w:rPr>
        <w:t>v období 15.3</w:t>
      </w:r>
      <w:r w:rsidR="004843F7" w:rsidRPr="006D2566">
        <w:rPr>
          <w:rFonts w:cs="Arial"/>
        </w:rPr>
        <w:t>.</w:t>
      </w:r>
      <w:r w:rsidRPr="006D2566">
        <w:rPr>
          <w:rFonts w:cs="Arial"/>
        </w:rPr>
        <w:t xml:space="preserve"> až 15.4. kalendářního roku</w:t>
      </w:r>
      <w:r w:rsidR="005946F2" w:rsidRPr="006D2566">
        <w:rPr>
          <w:rFonts w:cs="Arial"/>
        </w:rPr>
        <w:t>, ve kterém byla průběžná zpráva předána</w:t>
      </w:r>
      <w:r w:rsidRPr="006D2566">
        <w:rPr>
          <w:rFonts w:cs="Arial"/>
        </w:rPr>
        <w:t xml:space="preserve">. </w:t>
      </w:r>
    </w:p>
    <w:p w14:paraId="773EBD9F" w14:textId="77777777" w:rsidR="0070761A" w:rsidRPr="006D2566" w:rsidRDefault="0070761A" w:rsidP="008F64F7">
      <w:pPr>
        <w:widowControl w:val="0"/>
        <w:tabs>
          <w:tab w:val="left" w:pos="-1980"/>
          <w:tab w:val="left" w:pos="426"/>
        </w:tabs>
        <w:adjustRightInd w:val="0"/>
        <w:spacing w:after="120" w:line="240" w:lineRule="auto"/>
        <w:ind w:left="360"/>
        <w:jc w:val="both"/>
        <w:textAlignment w:val="baseline"/>
        <w:outlineLvl w:val="0"/>
        <w:rPr>
          <w:rFonts w:cs="Arial"/>
        </w:rPr>
      </w:pPr>
    </w:p>
    <w:p w14:paraId="3CFD70AD" w14:textId="77777777" w:rsidR="0068037D" w:rsidRPr="006D2566" w:rsidRDefault="007339F6" w:rsidP="00266B36">
      <w:pPr>
        <w:widowControl w:val="0"/>
        <w:tabs>
          <w:tab w:val="left" w:pos="-1980"/>
          <w:tab w:val="left" w:pos="426"/>
        </w:tabs>
        <w:adjustRightInd w:val="0"/>
        <w:spacing w:after="120" w:line="240" w:lineRule="auto"/>
        <w:jc w:val="both"/>
        <w:textAlignment w:val="baseline"/>
        <w:outlineLvl w:val="0"/>
        <w:rPr>
          <w:rFonts w:cs="Arial"/>
          <w:u w:val="single"/>
        </w:rPr>
      </w:pPr>
      <w:r w:rsidRPr="006D2566">
        <w:rPr>
          <w:rFonts w:cs="Arial"/>
          <w:u w:val="single"/>
        </w:rPr>
        <w:t>1.1.</w:t>
      </w:r>
      <w:r w:rsidR="004270C3" w:rsidRPr="006D2566">
        <w:rPr>
          <w:rFonts w:cs="Arial"/>
          <w:u w:val="single"/>
        </w:rPr>
        <w:t>4</w:t>
      </w:r>
      <w:r w:rsidRPr="006D2566">
        <w:rPr>
          <w:rFonts w:cs="Arial"/>
          <w:u w:val="single"/>
        </w:rPr>
        <w:t xml:space="preserve">. </w:t>
      </w:r>
      <w:r w:rsidR="0068037D" w:rsidRPr="006D2566">
        <w:rPr>
          <w:rFonts w:cs="Arial"/>
          <w:u w:val="single"/>
        </w:rPr>
        <w:t>Smluvní pokuty</w:t>
      </w:r>
    </w:p>
    <w:p w14:paraId="61D876AF" w14:textId="77777777" w:rsidR="00017CBA" w:rsidRPr="006D2566" w:rsidRDefault="00017CBA" w:rsidP="00266B36">
      <w:pPr>
        <w:widowControl w:val="0"/>
        <w:tabs>
          <w:tab w:val="left" w:pos="-1980"/>
          <w:tab w:val="left" w:pos="426"/>
        </w:tabs>
        <w:adjustRightInd w:val="0"/>
        <w:spacing w:after="120" w:line="240" w:lineRule="auto"/>
        <w:jc w:val="both"/>
        <w:textAlignment w:val="baseline"/>
        <w:outlineLvl w:val="0"/>
        <w:rPr>
          <w:rFonts w:cs="Arial"/>
          <w:u w:val="single"/>
        </w:rPr>
      </w:pPr>
      <w:r w:rsidRPr="006D2566">
        <w:rPr>
          <w:rFonts w:cs="Arial"/>
          <w:u w:val="single"/>
        </w:rPr>
        <w:t>1.1.4.1 výpočet smluvních pokut</w:t>
      </w:r>
    </w:p>
    <w:p w14:paraId="484E0F9C" w14:textId="77777777" w:rsidR="00B01D45" w:rsidRPr="006D2566" w:rsidRDefault="00DC5738"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Univerzita zaplatí </w:t>
      </w:r>
      <w:r w:rsidR="00AC27DF" w:rsidRPr="006D2566">
        <w:rPr>
          <w:rFonts w:cs="Arial"/>
        </w:rPr>
        <w:t>Kraji</w:t>
      </w:r>
      <w:r w:rsidRPr="006D2566">
        <w:rPr>
          <w:rFonts w:cs="Arial"/>
        </w:rPr>
        <w:t xml:space="preserve"> smluvní pokutu za </w:t>
      </w:r>
      <w:r w:rsidR="00265C64" w:rsidRPr="006D2566">
        <w:rPr>
          <w:rFonts w:cs="Arial"/>
        </w:rPr>
        <w:t>ne</w:t>
      </w:r>
      <w:r w:rsidRPr="006D2566">
        <w:rPr>
          <w:rFonts w:cs="Arial"/>
        </w:rPr>
        <w:t>naplnění</w:t>
      </w:r>
      <w:r w:rsidR="005A26CB" w:rsidRPr="006D2566">
        <w:rPr>
          <w:rFonts w:cs="Arial"/>
        </w:rPr>
        <w:t xml:space="preserve"> každého jednotlivého výstupu</w:t>
      </w:r>
      <w:r w:rsidR="002C3F08" w:rsidRPr="006D2566">
        <w:rPr>
          <w:rFonts w:cs="Arial"/>
        </w:rPr>
        <w:t xml:space="preserve"> </w:t>
      </w:r>
      <w:r w:rsidR="003E6E3E" w:rsidRPr="006D2566">
        <w:rPr>
          <w:rFonts w:cs="Arial"/>
        </w:rPr>
        <w:t xml:space="preserve">dle odstavce </w:t>
      </w:r>
      <w:r w:rsidR="009B1FB7" w:rsidRPr="006D2566">
        <w:rPr>
          <w:rFonts w:cs="Arial"/>
        </w:rPr>
        <w:t>1.1.2.</w:t>
      </w:r>
      <w:r w:rsidR="004424BB" w:rsidRPr="006D2566">
        <w:rPr>
          <w:rFonts w:cs="Arial"/>
        </w:rPr>
        <w:t xml:space="preserve">, </w:t>
      </w:r>
      <w:r w:rsidR="00F066A0" w:rsidRPr="006D2566">
        <w:rPr>
          <w:rFonts w:cs="Arial"/>
        </w:rPr>
        <w:t xml:space="preserve">kdy základní jednotkou smluvní pokuty je </w:t>
      </w:r>
      <w:r w:rsidR="000B22A4" w:rsidRPr="006D2566">
        <w:rPr>
          <w:rFonts w:cs="Arial"/>
        </w:rPr>
        <w:t>2</w:t>
      </w:r>
      <w:r w:rsidR="00F066A0" w:rsidRPr="006D2566">
        <w:rPr>
          <w:rFonts w:cs="Arial"/>
        </w:rPr>
        <w:t>000</w:t>
      </w:r>
      <w:r w:rsidR="007D5EC0" w:rsidRPr="006D2566">
        <w:rPr>
          <w:rFonts w:cs="Arial"/>
        </w:rPr>
        <w:t xml:space="preserve"> </w:t>
      </w:r>
      <w:r w:rsidR="00F066A0" w:rsidRPr="006D2566">
        <w:rPr>
          <w:rFonts w:cs="Arial"/>
        </w:rPr>
        <w:t>Kč</w:t>
      </w:r>
      <w:r w:rsidR="007D5EC0" w:rsidRPr="006D2566">
        <w:rPr>
          <w:rFonts w:cs="Arial"/>
        </w:rPr>
        <w:t xml:space="preserve"> a </w:t>
      </w:r>
      <w:r w:rsidR="004424BB" w:rsidRPr="006D2566">
        <w:rPr>
          <w:rFonts w:cs="Arial"/>
        </w:rPr>
        <w:t xml:space="preserve">způsob výpočtu pokuty je </w:t>
      </w:r>
      <w:r w:rsidR="007D5EC0" w:rsidRPr="006D2566">
        <w:rPr>
          <w:rFonts w:cs="Arial"/>
        </w:rPr>
        <w:t xml:space="preserve">pak </w:t>
      </w:r>
      <w:r w:rsidR="004424BB" w:rsidRPr="006D2566">
        <w:rPr>
          <w:rFonts w:cs="Arial"/>
        </w:rPr>
        <w:t>stanoven takto</w:t>
      </w:r>
      <w:r w:rsidR="00B01D45" w:rsidRPr="006D2566">
        <w:rPr>
          <w:rFonts w:cs="Arial"/>
        </w:rPr>
        <w:t>:</w:t>
      </w:r>
    </w:p>
    <w:p w14:paraId="75B9AD0F" w14:textId="77777777" w:rsidR="00B01D45" w:rsidRPr="006D2566" w:rsidRDefault="00B01D45"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a) </w:t>
      </w:r>
      <w:r w:rsidR="00BE1D72" w:rsidRPr="006D2566">
        <w:rPr>
          <w:rFonts w:cs="Arial"/>
        </w:rPr>
        <w:t>K</w:t>
      </w:r>
      <w:r w:rsidRPr="006D2566">
        <w:rPr>
          <w:rFonts w:cs="Arial"/>
        </w:rPr>
        <w:t>aždý studijní program je samostatný binární indikátor</w:t>
      </w:r>
      <w:r w:rsidR="009F22F0" w:rsidRPr="006D2566">
        <w:rPr>
          <w:vertAlign w:val="superscript"/>
        </w:rPr>
        <w:footnoteReference w:id="3"/>
      </w:r>
      <w:r w:rsidRPr="006D2566">
        <w:rPr>
          <w:rFonts w:cs="Arial"/>
        </w:rPr>
        <w:t>, tj. částečn</w:t>
      </w:r>
      <w:r w:rsidR="00420DB4" w:rsidRPr="006D2566">
        <w:rPr>
          <w:rFonts w:cs="Arial"/>
        </w:rPr>
        <w:t>é</w:t>
      </w:r>
      <w:r w:rsidRPr="006D2566">
        <w:rPr>
          <w:rFonts w:cs="Arial"/>
        </w:rPr>
        <w:t xml:space="preserve"> naplnění není možné.</w:t>
      </w:r>
      <w:r w:rsidR="00034D04" w:rsidRPr="006D2566">
        <w:rPr>
          <w:rFonts w:cs="Arial"/>
        </w:rPr>
        <w:t xml:space="preserve"> Z</w:t>
      </w:r>
      <w:r w:rsidR="00BE1D72" w:rsidRPr="006D2566">
        <w:rPr>
          <w:rFonts w:cs="Arial"/>
        </w:rPr>
        <w:t xml:space="preserve">aplacením smluvní pokuty závazek zahájit výuku nezaniká. </w:t>
      </w:r>
      <w:r w:rsidR="00744AC0" w:rsidRPr="006D2566">
        <w:rPr>
          <w:rFonts w:cs="Arial"/>
        </w:rPr>
        <w:t xml:space="preserve">Počet studijních míst </w:t>
      </w:r>
      <w:r w:rsidR="00086D33" w:rsidRPr="006D2566">
        <w:rPr>
          <w:rFonts w:cs="Arial"/>
        </w:rPr>
        <w:t xml:space="preserve">zde </w:t>
      </w:r>
      <w:r w:rsidR="00FD7DBC" w:rsidRPr="006D2566">
        <w:rPr>
          <w:rFonts w:cs="Arial"/>
        </w:rPr>
        <w:t xml:space="preserve">není samostatným indikátorem, ale </w:t>
      </w:r>
      <w:r w:rsidR="00744AC0" w:rsidRPr="006D2566">
        <w:rPr>
          <w:rFonts w:cs="Arial"/>
        </w:rPr>
        <w:t xml:space="preserve">je v tomto bodě </w:t>
      </w:r>
      <w:r w:rsidR="00F5099A" w:rsidRPr="006D2566">
        <w:rPr>
          <w:rFonts w:cs="Arial"/>
        </w:rPr>
        <w:t>součást</w:t>
      </w:r>
      <w:r w:rsidR="00FD7DBC" w:rsidRPr="006D2566">
        <w:rPr>
          <w:rFonts w:cs="Arial"/>
        </w:rPr>
        <w:t>í</w:t>
      </w:r>
      <w:r w:rsidR="00F5099A" w:rsidRPr="006D2566">
        <w:rPr>
          <w:rFonts w:cs="Arial"/>
        </w:rPr>
        <w:t xml:space="preserve"> definice studijního </w:t>
      </w:r>
      <w:r w:rsidR="00860B54" w:rsidRPr="006D2566">
        <w:rPr>
          <w:rFonts w:cs="Arial"/>
        </w:rPr>
        <w:t>programu</w:t>
      </w:r>
      <w:r w:rsidR="00744AC0" w:rsidRPr="006D2566">
        <w:rPr>
          <w:rFonts w:cs="Arial"/>
        </w:rPr>
        <w:t>.</w:t>
      </w:r>
    </w:p>
    <w:p w14:paraId="6F310D09" w14:textId="77777777" w:rsidR="004727DE" w:rsidRPr="006D2566" w:rsidRDefault="00700B53" w:rsidP="00C66A11">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Platí, že</w:t>
      </w:r>
      <w:r w:rsidR="004727DE" w:rsidRPr="006D2566">
        <w:rPr>
          <w:rFonts w:cs="Arial"/>
        </w:rPr>
        <w:t>:</w:t>
      </w:r>
    </w:p>
    <w:p w14:paraId="47CE0463" w14:textId="3E79E580" w:rsidR="00B14653" w:rsidRPr="006D2566" w:rsidRDefault="00B14653" w:rsidP="004727DE">
      <w:pPr>
        <w:pStyle w:val="Odstavecseseznamem"/>
        <w:widowControl w:val="0"/>
        <w:numPr>
          <w:ilvl w:val="0"/>
          <w:numId w:val="14"/>
        </w:numPr>
        <w:tabs>
          <w:tab w:val="left" w:pos="-1980"/>
          <w:tab w:val="left" w:pos="426"/>
        </w:tabs>
        <w:adjustRightInd w:val="0"/>
        <w:spacing w:after="120" w:line="240" w:lineRule="auto"/>
        <w:jc w:val="both"/>
        <w:textAlignment w:val="baseline"/>
        <w:outlineLvl w:val="0"/>
        <w:rPr>
          <w:rFonts w:ascii="Arial" w:eastAsia="Times New Roman" w:hAnsi="Arial" w:cs="Arial"/>
          <w:sz w:val="20"/>
          <w:szCs w:val="20"/>
          <w:lang w:eastAsia="de-DE"/>
        </w:rPr>
      </w:pPr>
      <w:r w:rsidRPr="006D2566">
        <w:rPr>
          <w:rFonts w:ascii="Arial" w:eastAsia="Times New Roman" w:hAnsi="Arial" w:cs="Arial"/>
          <w:sz w:val="20"/>
          <w:szCs w:val="20"/>
          <w:lang w:eastAsia="de-DE"/>
        </w:rPr>
        <w:t xml:space="preserve">musí být splněno </w:t>
      </w:r>
      <w:r w:rsidR="007F04A0" w:rsidRPr="006D2566">
        <w:rPr>
          <w:rFonts w:ascii="Arial" w:eastAsia="Times New Roman" w:hAnsi="Arial" w:cs="Arial"/>
          <w:sz w:val="20"/>
          <w:szCs w:val="20"/>
          <w:lang w:eastAsia="de-DE"/>
        </w:rPr>
        <w:t xml:space="preserve">(tj. zahájena výuka </w:t>
      </w:r>
      <w:r w:rsidR="00F62FEA" w:rsidRPr="006D2566">
        <w:rPr>
          <w:rFonts w:ascii="Arial" w:eastAsia="Times New Roman" w:hAnsi="Arial" w:cs="Arial"/>
          <w:sz w:val="20"/>
          <w:szCs w:val="20"/>
          <w:lang w:eastAsia="de-DE"/>
        </w:rPr>
        <w:t xml:space="preserve">studijních programů dle bodu a1 a a2) </w:t>
      </w:r>
      <w:r w:rsidRPr="006D2566">
        <w:rPr>
          <w:rFonts w:ascii="Arial" w:eastAsia="Times New Roman" w:hAnsi="Arial" w:cs="Arial"/>
          <w:sz w:val="20"/>
          <w:szCs w:val="20"/>
          <w:lang w:eastAsia="de-DE"/>
        </w:rPr>
        <w:t xml:space="preserve">min. 5 studijních programů ze stanovených 7 </w:t>
      </w:r>
      <w:r w:rsidR="008C73E0" w:rsidRPr="006D2566">
        <w:rPr>
          <w:rFonts w:ascii="Arial" w:eastAsia="Times New Roman" w:hAnsi="Arial" w:cs="Arial"/>
          <w:sz w:val="20"/>
          <w:szCs w:val="20"/>
          <w:lang w:eastAsia="de-DE"/>
        </w:rPr>
        <w:t>v</w:t>
      </w:r>
      <w:r w:rsidRPr="006D2566">
        <w:rPr>
          <w:rFonts w:ascii="Arial" w:eastAsia="Times New Roman" w:hAnsi="Arial" w:cs="Arial"/>
          <w:sz w:val="20"/>
          <w:szCs w:val="20"/>
          <w:lang w:eastAsia="de-DE"/>
        </w:rPr>
        <w:t xml:space="preserve"> akademické</w:t>
      </w:r>
      <w:r w:rsidR="008C73E0" w:rsidRPr="006D2566">
        <w:rPr>
          <w:rFonts w:ascii="Arial" w:eastAsia="Times New Roman" w:hAnsi="Arial" w:cs="Arial"/>
          <w:sz w:val="20"/>
          <w:szCs w:val="20"/>
          <w:lang w:eastAsia="de-DE"/>
        </w:rPr>
        <w:t>m</w:t>
      </w:r>
      <w:r w:rsidRPr="006D2566">
        <w:rPr>
          <w:rFonts w:ascii="Arial" w:eastAsia="Times New Roman" w:hAnsi="Arial" w:cs="Arial"/>
          <w:sz w:val="20"/>
          <w:szCs w:val="20"/>
          <w:lang w:eastAsia="de-DE"/>
        </w:rPr>
        <w:t xml:space="preserve"> ro</w:t>
      </w:r>
      <w:r w:rsidR="008C73E0" w:rsidRPr="006D2566">
        <w:rPr>
          <w:rFonts w:ascii="Arial" w:eastAsia="Times New Roman" w:hAnsi="Arial" w:cs="Arial"/>
          <w:sz w:val="20"/>
          <w:szCs w:val="20"/>
          <w:lang w:eastAsia="de-DE"/>
        </w:rPr>
        <w:t>ce</w:t>
      </w:r>
      <w:r w:rsidRPr="006D2566">
        <w:rPr>
          <w:rFonts w:ascii="Arial" w:eastAsia="Times New Roman" w:hAnsi="Arial" w:cs="Arial"/>
          <w:sz w:val="20"/>
          <w:szCs w:val="20"/>
          <w:lang w:eastAsia="de-DE"/>
        </w:rPr>
        <w:t xml:space="preserve"> 2028/2029</w:t>
      </w:r>
      <w:r w:rsidR="00EA4B5C" w:rsidRPr="006D2566">
        <w:rPr>
          <w:rFonts w:ascii="Arial" w:eastAsia="Times New Roman" w:hAnsi="Arial" w:cs="Arial"/>
          <w:sz w:val="20"/>
          <w:szCs w:val="20"/>
          <w:lang w:eastAsia="de-DE"/>
        </w:rPr>
        <w:t>.</w:t>
      </w:r>
      <w:r w:rsidRPr="006D2566">
        <w:rPr>
          <w:rFonts w:ascii="Arial" w:eastAsia="Times New Roman" w:hAnsi="Arial" w:cs="Arial"/>
          <w:sz w:val="20"/>
          <w:szCs w:val="20"/>
          <w:lang w:eastAsia="de-DE"/>
        </w:rPr>
        <w:t xml:space="preserve"> </w:t>
      </w:r>
      <w:r w:rsidR="00EA4B5C" w:rsidRPr="006D2566">
        <w:rPr>
          <w:rFonts w:ascii="Arial" w:eastAsia="Times New Roman" w:hAnsi="Arial" w:cs="Arial"/>
          <w:sz w:val="20"/>
          <w:szCs w:val="20"/>
          <w:lang w:eastAsia="de-DE"/>
        </w:rPr>
        <w:t xml:space="preserve">Nebude-li poskytnuta </w:t>
      </w:r>
      <w:r w:rsidRPr="006D2566">
        <w:rPr>
          <w:rFonts w:ascii="Arial" w:eastAsia="Times New Roman" w:hAnsi="Arial" w:cs="Arial"/>
          <w:sz w:val="20"/>
          <w:szCs w:val="20"/>
          <w:lang w:eastAsia="de-DE"/>
        </w:rPr>
        <w:t>potřebn</w:t>
      </w:r>
      <w:r w:rsidR="00EA4B5C" w:rsidRPr="006D2566">
        <w:rPr>
          <w:rFonts w:ascii="Arial" w:eastAsia="Times New Roman" w:hAnsi="Arial" w:cs="Arial"/>
          <w:sz w:val="20"/>
          <w:szCs w:val="20"/>
          <w:lang w:eastAsia="de-DE"/>
        </w:rPr>
        <w:t>á</w:t>
      </w:r>
      <w:r w:rsidRPr="006D2566">
        <w:rPr>
          <w:rFonts w:ascii="Arial" w:eastAsia="Times New Roman" w:hAnsi="Arial" w:cs="Arial"/>
          <w:sz w:val="20"/>
          <w:szCs w:val="20"/>
          <w:lang w:eastAsia="de-DE"/>
        </w:rPr>
        <w:t xml:space="preserve"> součinnost ze strany Kraje či jím založené společnosti Krajská nemocnice T. Bati, a.s., ačkoliv byla tato součinnost ze strany UTB výslovně žádána v případě studijních programů v oblasti vzdělávání Zdravotnické obory</w:t>
      </w:r>
      <w:r w:rsidR="003F657D" w:rsidRPr="006D2566">
        <w:rPr>
          <w:rFonts w:ascii="Arial" w:eastAsia="Times New Roman" w:hAnsi="Arial" w:cs="Arial"/>
          <w:sz w:val="20"/>
          <w:szCs w:val="20"/>
          <w:lang w:eastAsia="de-DE"/>
        </w:rPr>
        <w:t xml:space="preserve"> (čl. V odst. 2)</w:t>
      </w:r>
      <w:r w:rsidRPr="006D2566">
        <w:rPr>
          <w:rFonts w:ascii="Arial" w:eastAsia="Times New Roman" w:hAnsi="Arial" w:cs="Arial"/>
          <w:sz w:val="20"/>
          <w:szCs w:val="20"/>
          <w:lang w:eastAsia="de-DE"/>
        </w:rPr>
        <w:t xml:space="preserve">, musí být splněny 3 studijní programy z 5 </w:t>
      </w:r>
      <w:r w:rsidR="008C73E0" w:rsidRPr="006D2566">
        <w:rPr>
          <w:rFonts w:ascii="Arial" w:eastAsia="Times New Roman" w:hAnsi="Arial" w:cs="Arial"/>
          <w:sz w:val="20"/>
          <w:szCs w:val="20"/>
          <w:lang w:eastAsia="de-DE"/>
        </w:rPr>
        <w:t>v akademickém roce 2028/2029</w:t>
      </w:r>
      <w:r w:rsidRPr="006D2566">
        <w:rPr>
          <w:rFonts w:ascii="Arial" w:eastAsia="Times New Roman" w:hAnsi="Arial" w:cs="Arial"/>
          <w:sz w:val="20"/>
          <w:szCs w:val="20"/>
          <w:lang w:eastAsia="de-DE"/>
        </w:rPr>
        <w:t>, a zároveň,</w:t>
      </w:r>
    </w:p>
    <w:p w14:paraId="458B1604" w14:textId="77777777" w:rsidR="004727DE" w:rsidRPr="006D2566" w:rsidRDefault="004727DE" w:rsidP="00B14653">
      <w:pPr>
        <w:pStyle w:val="Odstavecseseznamem"/>
        <w:widowControl w:val="0"/>
        <w:numPr>
          <w:ilvl w:val="0"/>
          <w:numId w:val="14"/>
        </w:numPr>
        <w:tabs>
          <w:tab w:val="left" w:pos="-1980"/>
          <w:tab w:val="left" w:pos="426"/>
        </w:tabs>
        <w:adjustRightInd w:val="0"/>
        <w:spacing w:after="120" w:line="240" w:lineRule="auto"/>
        <w:jc w:val="both"/>
        <w:textAlignment w:val="baseline"/>
        <w:outlineLvl w:val="0"/>
        <w:rPr>
          <w:rFonts w:ascii="Arial" w:eastAsia="Times New Roman" w:hAnsi="Arial" w:cs="Arial"/>
          <w:sz w:val="20"/>
          <w:szCs w:val="20"/>
          <w:lang w:eastAsia="de-DE"/>
        </w:rPr>
      </w:pPr>
      <w:r w:rsidRPr="006D2566">
        <w:rPr>
          <w:rFonts w:ascii="Arial" w:eastAsia="Times New Roman" w:hAnsi="Arial" w:cs="Arial"/>
          <w:sz w:val="20"/>
          <w:szCs w:val="20"/>
          <w:lang w:eastAsia="de-DE"/>
        </w:rPr>
        <w:t>musí být splněno zahájení studijních programů v novém studijním programu/ech v oblasti vzdělávání Strojírenství, technologie a materiály – bakalářské studium, předpokládaný název „Strojírenství a výrobní technologie“ v akademickém roce 2027/2028 a v novém studijním programu/ech v oblasti vzdělávání Chemie/Elektrotechnika/Technická kybernetika – bakalářské studium, předpokládaný název „Polovodičové materiály“ v akademickém roce 2028/2029</w:t>
      </w:r>
      <w:r w:rsidR="00B14653" w:rsidRPr="006D2566">
        <w:rPr>
          <w:rFonts w:ascii="Arial" w:eastAsia="Times New Roman" w:hAnsi="Arial" w:cs="Arial"/>
          <w:sz w:val="20"/>
          <w:szCs w:val="20"/>
          <w:lang w:eastAsia="de-DE"/>
        </w:rPr>
        <w:t>.</w:t>
      </w:r>
    </w:p>
    <w:p w14:paraId="03D87F4F" w14:textId="77777777" w:rsidR="004727DE" w:rsidRPr="006D2566" w:rsidRDefault="004727DE" w:rsidP="004727DE">
      <w:pPr>
        <w:widowControl w:val="0"/>
        <w:tabs>
          <w:tab w:val="left" w:pos="-1980"/>
          <w:tab w:val="left" w:pos="426"/>
        </w:tabs>
        <w:adjustRightInd w:val="0"/>
        <w:spacing w:after="120" w:line="240" w:lineRule="auto"/>
        <w:jc w:val="both"/>
        <w:textAlignment w:val="baseline"/>
        <w:outlineLvl w:val="0"/>
        <w:rPr>
          <w:rFonts w:cs="Arial"/>
        </w:rPr>
      </w:pPr>
    </w:p>
    <w:p w14:paraId="2398A3BC" w14:textId="1B59B762" w:rsidR="00B01D45" w:rsidRPr="006D2566" w:rsidRDefault="00C66A11" w:rsidP="004727DE">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Ad a1)</w:t>
      </w:r>
      <w:r w:rsidR="00E906D9" w:rsidRPr="006D2566">
        <w:rPr>
          <w:rFonts w:cs="Arial"/>
        </w:rPr>
        <w:t xml:space="preserve"> </w:t>
      </w:r>
      <w:r w:rsidR="00504E53" w:rsidRPr="006D2566">
        <w:rPr>
          <w:rFonts w:cs="Arial"/>
        </w:rPr>
        <w:t>V případě nezahájení výuky studijních programů nad povolenou možnost nenaplnění</w:t>
      </w:r>
      <w:r w:rsidR="00B01D45" w:rsidRPr="006D2566">
        <w:rPr>
          <w:rFonts w:cs="Arial"/>
        </w:rPr>
        <w:t xml:space="preserve">, </w:t>
      </w:r>
      <w:r w:rsidR="00E906D9" w:rsidRPr="006D2566">
        <w:rPr>
          <w:rFonts w:cs="Arial"/>
        </w:rPr>
        <w:t xml:space="preserve">tj. nebudou-li v akademickém roce 2027/2028 zahájeny více než 2 studijní </w:t>
      </w:r>
      <w:r w:rsidR="001C1506" w:rsidRPr="006D2566">
        <w:rPr>
          <w:rFonts w:cs="Arial"/>
        </w:rPr>
        <w:t>programy</w:t>
      </w:r>
      <w:r w:rsidR="00E906D9" w:rsidRPr="006D2566">
        <w:rPr>
          <w:rFonts w:cs="Arial"/>
        </w:rPr>
        <w:t xml:space="preserve">, </w:t>
      </w:r>
      <w:r w:rsidR="00B14653" w:rsidRPr="006D2566">
        <w:rPr>
          <w:rFonts w:cs="Arial"/>
        </w:rPr>
        <w:t>nebo nebude</w:t>
      </w:r>
      <w:r w:rsidR="003F657D" w:rsidRPr="006D2566">
        <w:rPr>
          <w:rFonts w:cs="Arial"/>
        </w:rPr>
        <w:t>-li</w:t>
      </w:r>
      <w:r w:rsidR="00B14653" w:rsidRPr="006D2566">
        <w:rPr>
          <w:rFonts w:cs="Arial"/>
        </w:rPr>
        <w:t xml:space="preserve"> zahájen studijní program v oblasti vzdělávání Strojírenství, technologie a materiály – bakalářské studium, předpokládaný název „Strojírenství a výrobní technologie“, </w:t>
      </w:r>
      <w:r w:rsidR="00B01D45" w:rsidRPr="006D2566">
        <w:rPr>
          <w:rFonts w:cs="Arial"/>
        </w:rPr>
        <w:t xml:space="preserve">vzniká nárok na smluvní pokutu </w:t>
      </w:r>
      <w:r w:rsidR="00BE1D72" w:rsidRPr="006D2566">
        <w:rPr>
          <w:rFonts w:cs="Arial"/>
        </w:rPr>
        <w:t xml:space="preserve">ode </w:t>
      </w:r>
      <w:r w:rsidR="00B01D45" w:rsidRPr="006D2566">
        <w:rPr>
          <w:rFonts w:cs="Arial"/>
        </w:rPr>
        <w:t>dne zahájení akademického roku 2027/2028</w:t>
      </w:r>
      <w:r w:rsidR="00BE1D72" w:rsidRPr="006D2566">
        <w:rPr>
          <w:rFonts w:cs="Arial"/>
        </w:rPr>
        <w:t xml:space="preserve"> do skutečného zahájení výuky daného </w:t>
      </w:r>
      <w:r w:rsidR="00865EF8" w:rsidRPr="006D2566">
        <w:rPr>
          <w:rFonts w:cs="Arial"/>
        </w:rPr>
        <w:t>studijního programu</w:t>
      </w:r>
      <w:r w:rsidR="00791578" w:rsidRPr="006D2566">
        <w:rPr>
          <w:rFonts w:cs="Arial"/>
        </w:rPr>
        <w:t xml:space="preserve">, tj. </w:t>
      </w:r>
      <w:r w:rsidR="000B22A4" w:rsidRPr="006D2566">
        <w:rPr>
          <w:rFonts w:cs="Arial"/>
        </w:rPr>
        <w:t>2</w:t>
      </w:r>
      <w:r w:rsidR="00791578" w:rsidRPr="006D2566">
        <w:rPr>
          <w:rFonts w:cs="Arial"/>
        </w:rPr>
        <w:t>000 Kč</w:t>
      </w:r>
      <w:r w:rsidR="00CF5788" w:rsidRPr="006D2566">
        <w:rPr>
          <w:rFonts w:cs="Arial"/>
        </w:rPr>
        <w:t xml:space="preserve"> </w:t>
      </w:r>
      <w:r w:rsidR="00791578" w:rsidRPr="006D2566">
        <w:rPr>
          <w:rFonts w:cs="Arial"/>
        </w:rPr>
        <w:t>* počet dnů akademického roku 2027/2028</w:t>
      </w:r>
      <w:r w:rsidR="00B01D45" w:rsidRPr="006D2566">
        <w:rPr>
          <w:rFonts w:cs="Arial"/>
        </w:rPr>
        <w:t>. Splnění zahájení výuky bude hodnoceno ve zprávě za rok 2027</w:t>
      </w:r>
      <w:r w:rsidR="00814D33" w:rsidRPr="006D2566">
        <w:rPr>
          <w:rFonts w:cs="Arial"/>
        </w:rPr>
        <w:t xml:space="preserve">, případně </w:t>
      </w:r>
      <w:r w:rsidR="00C51A46" w:rsidRPr="006D2566">
        <w:rPr>
          <w:rFonts w:cs="Arial"/>
        </w:rPr>
        <w:t xml:space="preserve">následně </w:t>
      </w:r>
      <w:r w:rsidR="00814D33" w:rsidRPr="006D2566">
        <w:rPr>
          <w:rFonts w:cs="Arial"/>
        </w:rPr>
        <w:t>ve zprávách pozdějších, dojde-li k</w:t>
      </w:r>
      <w:r w:rsidR="00791578" w:rsidRPr="006D2566">
        <w:rPr>
          <w:rFonts w:cs="Arial"/>
        </w:rPr>
        <w:t> zahájení výuky později</w:t>
      </w:r>
      <w:r w:rsidR="00C51A46" w:rsidRPr="006D2566">
        <w:rPr>
          <w:rFonts w:cs="Arial"/>
        </w:rPr>
        <w:t>. N</w:t>
      </w:r>
      <w:r w:rsidR="006B54E4" w:rsidRPr="006D2566">
        <w:rPr>
          <w:rFonts w:cs="Arial"/>
        </w:rPr>
        <w:t>a základě každé zprávy bude vystavena faktura na smluvní pokutu za</w:t>
      </w:r>
      <w:r w:rsidR="00C51A46" w:rsidRPr="006D2566">
        <w:rPr>
          <w:rFonts w:cs="Arial"/>
        </w:rPr>
        <w:t xml:space="preserve"> daný akademický rok, ve kterém nedošlo k zahájení výuky</w:t>
      </w:r>
      <w:r w:rsidR="00B01D45" w:rsidRPr="006D2566">
        <w:rPr>
          <w:rFonts w:cs="Arial"/>
        </w:rPr>
        <w:t xml:space="preserve">. </w:t>
      </w:r>
      <w:r w:rsidR="00CF5788" w:rsidRPr="006D2566">
        <w:rPr>
          <w:rFonts w:cs="Arial"/>
        </w:rPr>
        <w:t>Pokud nebude zahájeno více studijních programů,</w:t>
      </w:r>
      <w:r w:rsidR="00DC2511" w:rsidRPr="006D2566">
        <w:rPr>
          <w:rFonts w:cs="Arial"/>
        </w:rPr>
        <w:t xml:space="preserve"> pak </w:t>
      </w:r>
      <w:r w:rsidR="001A25A6" w:rsidRPr="006D2566">
        <w:rPr>
          <w:rFonts w:cs="Arial"/>
        </w:rPr>
        <w:t>je výpočet smluvní pokuty násoben počtem nezahájených studijních programů.</w:t>
      </w:r>
    </w:p>
    <w:p w14:paraId="31CE3951" w14:textId="644E8659" w:rsidR="00FE0CEA" w:rsidRPr="006D2566" w:rsidRDefault="00993382"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w:t>
      </w:r>
      <w:r w:rsidR="00FE0CEA" w:rsidRPr="006D2566">
        <w:rPr>
          <w:rFonts w:cs="Arial"/>
        </w:rPr>
        <w:t>a2) V případě nezahájení výuky</w:t>
      </w:r>
      <w:r w:rsidR="00FA7414" w:rsidRPr="006D2566">
        <w:rPr>
          <w:rFonts w:cs="Arial"/>
        </w:rPr>
        <w:t xml:space="preserve"> studijních programů</w:t>
      </w:r>
      <w:r w:rsidR="00C66A11" w:rsidRPr="006D2566">
        <w:rPr>
          <w:rFonts w:cs="Arial"/>
        </w:rPr>
        <w:t xml:space="preserve"> nad povolenou možnost nenaplnění</w:t>
      </w:r>
      <w:r w:rsidR="00FE0CEA" w:rsidRPr="006D2566">
        <w:rPr>
          <w:rFonts w:cs="Arial"/>
        </w:rPr>
        <w:t xml:space="preserve">, </w:t>
      </w:r>
      <w:r w:rsidR="00E906D9" w:rsidRPr="006D2566">
        <w:rPr>
          <w:rFonts w:cs="Arial"/>
        </w:rPr>
        <w:t>tj. nebud</w:t>
      </w:r>
      <w:r w:rsidR="004843F7" w:rsidRPr="006D2566">
        <w:rPr>
          <w:rFonts w:cs="Arial"/>
        </w:rPr>
        <w:t>e</w:t>
      </w:r>
      <w:r w:rsidR="00E906D9" w:rsidRPr="006D2566">
        <w:rPr>
          <w:rFonts w:cs="Arial"/>
        </w:rPr>
        <w:t xml:space="preserve">-li v akademickém roce 2028/2029 zahájen více než </w:t>
      </w:r>
      <w:r w:rsidR="00EA4B5C" w:rsidRPr="006D2566">
        <w:rPr>
          <w:rFonts w:cs="Arial"/>
        </w:rPr>
        <w:t>1</w:t>
      </w:r>
      <w:r w:rsidR="00E906D9" w:rsidRPr="006D2566">
        <w:rPr>
          <w:rFonts w:cs="Arial"/>
        </w:rPr>
        <w:t xml:space="preserve"> studijní </w:t>
      </w:r>
      <w:r w:rsidR="001C1506" w:rsidRPr="006D2566">
        <w:rPr>
          <w:rFonts w:cs="Arial"/>
        </w:rPr>
        <w:t>program</w:t>
      </w:r>
      <w:r w:rsidR="007830E8" w:rsidRPr="006D2566">
        <w:rPr>
          <w:rFonts w:cs="Arial"/>
        </w:rPr>
        <w:t>, nebo nebude</w:t>
      </w:r>
      <w:r w:rsidR="003F657D" w:rsidRPr="006D2566">
        <w:rPr>
          <w:rFonts w:cs="Arial"/>
        </w:rPr>
        <w:t>-li</w:t>
      </w:r>
      <w:r w:rsidR="007830E8" w:rsidRPr="006D2566">
        <w:rPr>
          <w:rFonts w:cs="Arial"/>
        </w:rPr>
        <w:t xml:space="preserve"> zahájen studijní program v oblasti vzdělávání Chemie/Elektrotechnika/Technická kybernetika – bakalářské studium, předpokládaný název „Polovodičové materiály“,</w:t>
      </w:r>
      <w:r w:rsidR="00E906D9" w:rsidRPr="006D2566">
        <w:rPr>
          <w:rFonts w:cs="Arial"/>
        </w:rPr>
        <w:t xml:space="preserve"> </w:t>
      </w:r>
      <w:r w:rsidR="00FE0CEA" w:rsidRPr="006D2566">
        <w:rPr>
          <w:rFonts w:cs="Arial"/>
        </w:rPr>
        <w:t xml:space="preserve">vzniká nárok na smluvní pokutu </w:t>
      </w:r>
      <w:r w:rsidR="00BE1D72" w:rsidRPr="006D2566">
        <w:rPr>
          <w:rFonts w:cs="Arial"/>
        </w:rPr>
        <w:t xml:space="preserve">ode dne zahájení akademického roku 2028/2029 do skutečného zahájení výuky daného </w:t>
      </w:r>
      <w:r w:rsidR="00865EF8" w:rsidRPr="006D2566">
        <w:rPr>
          <w:rFonts w:cs="Arial"/>
        </w:rPr>
        <w:t>studijního programu</w:t>
      </w:r>
      <w:r w:rsidR="00D14AC7" w:rsidRPr="006D2566">
        <w:rPr>
          <w:rFonts w:cs="Arial"/>
        </w:rPr>
        <w:t xml:space="preserve">, tj. </w:t>
      </w:r>
      <w:r w:rsidR="000B22A4" w:rsidRPr="006D2566">
        <w:rPr>
          <w:rFonts w:cs="Arial"/>
        </w:rPr>
        <w:t>2</w:t>
      </w:r>
      <w:r w:rsidR="00D14AC7" w:rsidRPr="006D2566">
        <w:rPr>
          <w:rFonts w:cs="Arial"/>
        </w:rPr>
        <w:t>000 Kč * počet dnů akademického roku 2028/2029</w:t>
      </w:r>
      <w:r w:rsidR="00FE0CEA" w:rsidRPr="006D2566">
        <w:rPr>
          <w:rFonts w:cs="Arial"/>
        </w:rPr>
        <w:t>. Splnění zahájení výuky bude hodnoceno ve zprávě za rok 2028</w:t>
      </w:r>
      <w:r w:rsidR="000D1927" w:rsidRPr="006D2566">
        <w:rPr>
          <w:rFonts w:cs="Arial"/>
        </w:rPr>
        <w:t xml:space="preserve">, </w:t>
      </w:r>
      <w:r w:rsidR="004046E6" w:rsidRPr="006D2566">
        <w:rPr>
          <w:rFonts w:cs="Arial"/>
        </w:rPr>
        <w:t>případně následně ve zprávách pozdějších, dojde-li k zahájení výuky později. Na základě každé zprávy bude vystavena faktura na smluvní pokutu za daný akademický rok, ve kterém nedošlo k zahájení výuky</w:t>
      </w:r>
      <w:r w:rsidR="00F062B6" w:rsidRPr="006D2566">
        <w:rPr>
          <w:rFonts w:cs="Arial"/>
        </w:rPr>
        <w:t>.</w:t>
      </w:r>
      <w:r w:rsidR="004046E6" w:rsidRPr="006D2566">
        <w:rPr>
          <w:rFonts w:cs="Arial"/>
        </w:rPr>
        <w:t xml:space="preserve"> </w:t>
      </w:r>
      <w:r w:rsidR="000D1927" w:rsidRPr="006D2566">
        <w:rPr>
          <w:rFonts w:cs="Arial"/>
        </w:rPr>
        <w:t xml:space="preserve">Pokud nebude zahájeno více studijních programů, pak je výpočet smluvní pokuty </w:t>
      </w:r>
      <w:r w:rsidR="001A25A6" w:rsidRPr="006D2566">
        <w:rPr>
          <w:rFonts w:cs="Arial"/>
        </w:rPr>
        <w:t>násoben počtem nezahájených studijních programů</w:t>
      </w:r>
      <w:r w:rsidR="00FE0CEA" w:rsidRPr="006D2566">
        <w:rPr>
          <w:rFonts w:cs="Arial"/>
        </w:rPr>
        <w:t xml:space="preserve">. </w:t>
      </w:r>
    </w:p>
    <w:p w14:paraId="4F799FFB" w14:textId="77777777" w:rsidR="00EE1F02" w:rsidRPr="006D2566" w:rsidRDefault="00EE1F02"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Vzorec výpočtu smluvní pokuty tedy je: </w:t>
      </w:r>
      <w:r w:rsidR="001A25A6" w:rsidRPr="006D2566">
        <w:rPr>
          <w:rFonts w:cs="Arial"/>
        </w:rPr>
        <w:t xml:space="preserve">počet nezahájených studijních programů * </w:t>
      </w:r>
      <w:r w:rsidR="000B22A4" w:rsidRPr="006D2566">
        <w:rPr>
          <w:rFonts w:cs="Arial"/>
        </w:rPr>
        <w:t>2</w:t>
      </w:r>
      <w:r w:rsidR="001A25A6" w:rsidRPr="006D2566">
        <w:rPr>
          <w:rFonts w:cs="Arial"/>
        </w:rPr>
        <w:t>000 Kč * počet dnů akademického roku</w:t>
      </w:r>
      <w:r w:rsidR="00164106" w:rsidRPr="006D2566">
        <w:rPr>
          <w:rFonts w:cs="Arial"/>
        </w:rPr>
        <w:t>.</w:t>
      </w:r>
    </w:p>
    <w:p w14:paraId="07FB4BEF" w14:textId="77777777" w:rsidR="00F04083" w:rsidRPr="006D2566" w:rsidRDefault="002E6702"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lastRenderedPageBreak/>
        <w:t xml:space="preserve">ad b) </w:t>
      </w:r>
      <w:r w:rsidR="00971C7F" w:rsidRPr="006D2566">
        <w:rPr>
          <w:rFonts w:cs="Arial"/>
        </w:rPr>
        <w:t xml:space="preserve">Jedná se o indikátor, u něhož je možné částečné naplnění. </w:t>
      </w:r>
      <w:r w:rsidR="0028190C" w:rsidRPr="006D2566">
        <w:rPr>
          <w:rFonts w:cs="Arial"/>
        </w:rPr>
        <w:t>Pokuta se u</w:t>
      </w:r>
      <w:r w:rsidR="0090200B" w:rsidRPr="006D2566">
        <w:rPr>
          <w:rFonts w:cs="Arial"/>
        </w:rPr>
        <w:t>platní jen v</w:t>
      </w:r>
      <w:r w:rsidR="00F04083" w:rsidRPr="006D2566">
        <w:rPr>
          <w:rFonts w:cs="Arial"/>
        </w:rPr>
        <w:t> </w:t>
      </w:r>
      <w:r w:rsidR="0090200B" w:rsidRPr="006D2566">
        <w:rPr>
          <w:rFonts w:cs="Arial"/>
        </w:rPr>
        <w:t>případě</w:t>
      </w:r>
      <w:r w:rsidR="00F04083" w:rsidRPr="006D2566">
        <w:rPr>
          <w:rFonts w:cs="Arial"/>
        </w:rPr>
        <w:t>:</w:t>
      </w:r>
    </w:p>
    <w:p w14:paraId="4E9CCAF1" w14:textId="57CC5BCA" w:rsidR="00F04083" w:rsidRPr="006D2566" w:rsidRDefault="00F04083" w:rsidP="000B2327">
      <w:pPr>
        <w:pStyle w:val="Odstavecseseznamem"/>
        <w:widowControl w:val="0"/>
        <w:numPr>
          <w:ilvl w:val="0"/>
          <w:numId w:val="15"/>
        </w:numPr>
        <w:tabs>
          <w:tab w:val="left" w:pos="-1980"/>
          <w:tab w:val="left" w:pos="426"/>
        </w:tabs>
        <w:adjustRightInd w:val="0"/>
        <w:spacing w:after="120" w:line="240" w:lineRule="auto"/>
        <w:jc w:val="both"/>
        <w:textAlignment w:val="baseline"/>
        <w:outlineLvl w:val="0"/>
        <w:rPr>
          <w:rFonts w:ascii="Arial" w:eastAsia="Times New Roman" w:hAnsi="Arial" w:cs="Arial"/>
          <w:sz w:val="20"/>
          <w:szCs w:val="20"/>
          <w:lang w:eastAsia="de-DE"/>
        </w:rPr>
      </w:pPr>
      <w:r w:rsidRPr="006D2566">
        <w:rPr>
          <w:rFonts w:ascii="Arial" w:eastAsia="Times New Roman" w:hAnsi="Arial" w:cs="Arial"/>
          <w:sz w:val="20"/>
          <w:szCs w:val="20"/>
          <w:lang w:eastAsia="de-DE"/>
        </w:rPr>
        <w:t>nenaplnění počtu míst 120 v novém studijním programu/ech v oblasti vzdělávání Strojírenství, technologie a materiály – bakalářské studium, předpokládaný název „Strojírenství a výrobní technologie“,</w:t>
      </w:r>
    </w:p>
    <w:p w14:paraId="70226573" w14:textId="42F188EF" w:rsidR="00F04083" w:rsidRPr="006D2566" w:rsidRDefault="00F04083" w:rsidP="000B2327">
      <w:pPr>
        <w:pStyle w:val="Odstavecseseznamem"/>
        <w:widowControl w:val="0"/>
        <w:numPr>
          <w:ilvl w:val="0"/>
          <w:numId w:val="15"/>
        </w:numPr>
        <w:tabs>
          <w:tab w:val="left" w:pos="-1980"/>
          <w:tab w:val="left" w:pos="426"/>
        </w:tabs>
        <w:adjustRightInd w:val="0"/>
        <w:spacing w:after="120" w:line="240" w:lineRule="auto"/>
        <w:jc w:val="both"/>
        <w:textAlignment w:val="baseline"/>
        <w:outlineLvl w:val="0"/>
        <w:rPr>
          <w:rFonts w:cs="Arial"/>
        </w:rPr>
      </w:pPr>
      <w:r w:rsidRPr="006D2566">
        <w:rPr>
          <w:rFonts w:ascii="Arial" w:eastAsia="Times New Roman" w:hAnsi="Arial" w:cs="Arial"/>
          <w:sz w:val="20"/>
          <w:szCs w:val="20"/>
          <w:lang w:eastAsia="de-DE"/>
        </w:rPr>
        <w:t>nenaplnění počtu míst 60 v novém studijním programu/ech v oblasti vzdělávání Chemie/Elektrotechnika/Technická kybernetika – bakalářské studium, předpokládaný název „Polovodičové materiály“.</w:t>
      </w:r>
      <w:r w:rsidR="0090200B" w:rsidRPr="006D2566">
        <w:rPr>
          <w:rFonts w:cs="Arial"/>
        </w:rPr>
        <w:t xml:space="preserve"> </w:t>
      </w:r>
    </w:p>
    <w:p w14:paraId="729AEE2D" w14:textId="19721D8F" w:rsidR="00443C0A" w:rsidRPr="006D2566" w:rsidRDefault="00323782"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Při částečném naplnění indikátoru bude smluvní pokuta vypočítávána poměrně dle míry nenaplnění</w:t>
      </w:r>
      <w:r w:rsidR="00865EF8" w:rsidRPr="006D2566">
        <w:rPr>
          <w:rFonts w:cs="Arial"/>
        </w:rPr>
        <w:t xml:space="preserve"> ode dne zahájení </w:t>
      </w:r>
      <w:r w:rsidR="00F04083" w:rsidRPr="006D2566">
        <w:rPr>
          <w:rFonts w:cs="Arial"/>
        </w:rPr>
        <w:t xml:space="preserve">příslušného </w:t>
      </w:r>
      <w:r w:rsidR="00865EF8" w:rsidRPr="006D2566">
        <w:rPr>
          <w:rFonts w:cs="Arial"/>
        </w:rPr>
        <w:t xml:space="preserve">akademického roku, </w:t>
      </w:r>
      <w:r w:rsidR="00F04083" w:rsidRPr="006D2566">
        <w:rPr>
          <w:rFonts w:cs="Arial"/>
        </w:rPr>
        <w:t>jak je uvedeno v bodě 1.1.2.a)</w:t>
      </w:r>
      <w:r w:rsidR="00043864" w:rsidRPr="006D2566">
        <w:rPr>
          <w:rFonts w:cs="Arial"/>
        </w:rPr>
        <w:t>,</w:t>
      </w:r>
      <w:r w:rsidR="00854EE0" w:rsidRPr="006D2566">
        <w:rPr>
          <w:rFonts w:cs="Arial"/>
        </w:rPr>
        <w:t xml:space="preserve"> </w:t>
      </w:r>
      <w:r w:rsidR="00865EF8" w:rsidRPr="006D2566">
        <w:rPr>
          <w:rFonts w:cs="Arial"/>
        </w:rPr>
        <w:t xml:space="preserve">do </w:t>
      </w:r>
      <w:r w:rsidR="00164106" w:rsidRPr="006D2566">
        <w:rPr>
          <w:rFonts w:cs="Arial"/>
        </w:rPr>
        <w:t>splnění indikátoru</w:t>
      </w:r>
      <w:r w:rsidR="00865EF8" w:rsidRPr="006D2566">
        <w:rPr>
          <w:rFonts w:cs="Arial"/>
        </w:rPr>
        <w:t>.</w:t>
      </w:r>
      <w:r w:rsidR="00C82D55" w:rsidRPr="006D2566">
        <w:rPr>
          <w:rFonts w:cs="Arial"/>
        </w:rPr>
        <w:t xml:space="preserve"> Pokud tedy např. </w:t>
      </w:r>
      <w:r w:rsidR="00744AC0" w:rsidRPr="006D2566">
        <w:rPr>
          <w:rFonts w:cs="Arial"/>
        </w:rPr>
        <w:t xml:space="preserve">dojde </w:t>
      </w:r>
      <w:r w:rsidR="006100AA" w:rsidRPr="006D2566">
        <w:rPr>
          <w:rFonts w:cs="Arial"/>
        </w:rPr>
        <w:t>k</w:t>
      </w:r>
      <w:r w:rsidR="00971C7F" w:rsidRPr="006D2566">
        <w:rPr>
          <w:rFonts w:cs="Arial"/>
        </w:rPr>
        <w:t xml:space="preserve"> datu </w:t>
      </w:r>
      <w:r w:rsidR="006100AA" w:rsidRPr="006D2566">
        <w:rPr>
          <w:rFonts w:cs="Arial"/>
        </w:rPr>
        <w:t xml:space="preserve">zahájení akademického roku 2027/2028 </w:t>
      </w:r>
      <w:r w:rsidR="00744AC0" w:rsidRPr="006D2566">
        <w:rPr>
          <w:rFonts w:cs="Arial"/>
        </w:rPr>
        <w:t>k vytvoření</w:t>
      </w:r>
      <w:r w:rsidR="00AB1827" w:rsidRPr="006D2566">
        <w:rPr>
          <w:rFonts w:cs="Arial"/>
        </w:rPr>
        <w:t xml:space="preserve"> </w:t>
      </w:r>
      <w:r w:rsidR="00F5099A" w:rsidRPr="006D2566">
        <w:rPr>
          <w:rFonts w:cs="Arial"/>
        </w:rPr>
        <w:t xml:space="preserve">nikoliv </w:t>
      </w:r>
      <w:r w:rsidR="00F04083" w:rsidRPr="006D2566">
        <w:rPr>
          <w:rFonts w:cs="Arial"/>
        </w:rPr>
        <w:t>120</w:t>
      </w:r>
      <w:r w:rsidR="00F5099A" w:rsidRPr="006D2566">
        <w:rPr>
          <w:rFonts w:cs="Arial"/>
        </w:rPr>
        <w:t xml:space="preserve"> studijních míst</w:t>
      </w:r>
      <w:r w:rsidR="00024827" w:rsidRPr="006D2566">
        <w:rPr>
          <w:rFonts w:cs="Arial"/>
        </w:rPr>
        <w:t xml:space="preserve"> </w:t>
      </w:r>
      <w:r w:rsidR="00B32E66" w:rsidRPr="006D2566">
        <w:rPr>
          <w:rFonts w:cs="Arial"/>
        </w:rPr>
        <w:t>studijního programu „Strojírenství a výrobní technologie“</w:t>
      </w:r>
      <w:r w:rsidR="00F5099A" w:rsidRPr="006D2566">
        <w:rPr>
          <w:rFonts w:cs="Arial"/>
        </w:rPr>
        <w:t xml:space="preserve">, ale jen </w:t>
      </w:r>
      <w:r w:rsidR="00F04083" w:rsidRPr="006D2566">
        <w:rPr>
          <w:rFonts w:cs="Arial"/>
        </w:rPr>
        <w:t>20</w:t>
      </w:r>
      <w:r w:rsidR="00F5099A" w:rsidRPr="006D2566">
        <w:rPr>
          <w:rFonts w:cs="Arial"/>
        </w:rPr>
        <w:t xml:space="preserve">, pak za celou dobu trvání tohoto stavu vzniká Kraji nárok na smluvní pokutu ve výši míry nenaplnění, tj. </w:t>
      </w:r>
      <w:r w:rsidR="00F04083" w:rsidRPr="006D2566">
        <w:rPr>
          <w:rFonts w:cs="Arial"/>
        </w:rPr>
        <w:t>100</w:t>
      </w:r>
      <w:r w:rsidR="00164106" w:rsidRPr="006D2566">
        <w:rPr>
          <w:rFonts w:cs="Arial"/>
        </w:rPr>
        <w:t>/</w:t>
      </w:r>
      <w:r w:rsidR="00F04083" w:rsidRPr="006D2566">
        <w:rPr>
          <w:rFonts w:cs="Arial"/>
        </w:rPr>
        <w:t>120</w:t>
      </w:r>
      <w:r w:rsidR="00164106" w:rsidRPr="006D2566">
        <w:rPr>
          <w:rFonts w:cs="Arial"/>
        </w:rPr>
        <w:t xml:space="preserve"> </w:t>
      </w:r>
      <w:r w:rsidR="00F5099A" w:rsidRPr="006D2566">
        <w:rPr>
          <w:rFonts w:cs="Arial"/>
        </w:rPr>
        <w:t>z </w:t>
      </w:r>
      <w:r w:rsidR="000B22A4" w:rsidRPr="006D2566">
        <w:rPr>
          <w:rFonts w:cs="Arial"/>
        </w:rPr>
        <w:t>2</w:t>
      </w:r>
      <w:r w:rsidR="00F5099A" w:rsidRPr="006D2566">
        <w:rPr>
          <w:rFonts w:cs="Arial"/>
        </w:rPr>
        <w:t xml:space="preserve">000 Kč </w:t>
      </w:r>
      <w:r w:rsidR="00A913AC" w:rsidRPr="006D2566">
        <w:rPr>
          <w:rFonts w:cs="Arial"/>
        </w:rPr>
        <w:t>* počet dnů akademického roku</w:t>
      </w:r>
      <w:r w:rsidR="007F1DF7" w:rsidRPr="006D2566">
        <w:rPr>
          <w:rFonts w:cs="Arial"/>
        </w:rPr>
        <w:t xml:space="preserve"> 2027/2028</w:t>
      </w:r>
      <w:r w:rsidR="006100AA" w:rsidRPr="006D2566">
        <w:rPr>
          <w:rFonts w:cs="Arial"/>
        </w:rPr>
        <w:t>.</w:t>
      </w:r>
      <w:r w:rsidR="00A913AC" w:rsidRPr="006D2566">
        <w:rPr>
          <w:rFonts w:cs="Arial"/>
        </w:rPr>
        <w:t xml:space="preserve"> Zaplacením smluvní pokuty závazek nezaniká</w:t>
      </w:r>
      <w:r w:rsidR="007F1DF7" w:rsidRPr="006D2566">
        <w:rPr>
          <w:rFonts w:cs="Arial"/>
        </w:rPr>
        <w:t>.</w:t>
      </w:r>
    </w:p>
    <w:p w14:paraId="3CB028DD" w14:textId="77777777" w:rsidR="00796CA8" w:rsidRPr="006D2566" w:rsidRDefault="00796CA8"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Vzorec výpočtu smluvní pokuty tedy je: počet </w:t>
      </w:r>
      <w:r w:rsidR="00FB01DF" w:rsidRPr="006D2566">
        <w:rPr>
          <w:rFonts w:cs="Arial"/>
        </w:rPr>
        <w:t>nevytvořených studijních míst/požadovaná hodnota indikátoru</w:t>
      </w:r>
      <w:r w:rsidRPr="006D2566">
        <w:rPr>
          <w:rFonts w:cs="Arial"/>
        </w:rPr>
        <w:t xml:space="preserve"> * </w:t>
      </w:r>
      <w:r w:rsidR="009F37F8" w:rsidRPr="006D2566">
        <w:rPr>
          <w:rFonts w:cs="Arial"/>
        </w:rPr>
        <w:t>2</w:t>
      </w:r>
      <w:r w:rsidRPr="006D2566">
        <w:rPr>
          <w:rFonts w:cs="Arial"/>
        </w:rPr>
        <w:t>000 Kč * počet dnů akademického roku</w:t>
      </w:r>
      <w:r w:rsidR="00DE7334" w:rsidRPr="006D2566">
        <w:rPr>
          <w:rFonts w:cs="Arial"/>
        </w:rPr>
        <w:t>.</w:t>
      </w:r>
    </w:p>
    <w:p w14:paraId="4D1C6B25" w14:textId="77777777" w:rsidR="00443C0A" w:rsidRPr="006D2566" w:rsidRDefault="00443C0A" w:rsidP="00266B36">
      <w:pPr>
        <w:widowControl w:val="0"/>
        <w:tabs>
          <w:tab w:val="left" w:pos="-1980"/>
          <w:tab w:val="left" w:pos="426"/>
        </w:tabs>
        <w:adjustRightInd w:val="0"/>
        <w:spacing w:after="120" w:line="240" w:lineRule="auto"/>
        <w:jc w:val="both"/>
        <w:textAlignment w:val="baseline"/>
        <w:outlineLvl w:val="0"/>
        <w:rPr>
          <w:rFonts w:cs="Arial"/>
        </w:rPr>
      </w:pPr>
    </w:p>
    <w:p w14:paraId="56474182" w14:textId="77777777" w:rsidR="00EE1F02" w:rsidRPr="006D2566" w:rsidRDefault="00443C0A"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Ad c)</w:t>
      </w:r>
      <w:r w:rsidR="00F5099A" w:rsidRPr="006D2566">
        <w:rPr>
          <w:rFonts w:cs="Arial"/>
        </w:rPr>
        <w:t xml:space="preserve"> </w:t>
      </w:r>
      <w:r w:rsidR="00971C7F" w:rsidRPr="006D2566">
        <w:rPr>
          <w:rFonts w:cs="Arial"/>
        </w:rPr>
        <w:t xml:space="preserve">Jedná se o indikátor, u něhož je možné částečné naplnění. </w:t>
      </w:r>
      <w:r w:rsidRPr="006D2566">
        <w:rPr>
          <w:rFonts w:cs="Arial"/>
        </w:rPr>
        <w:t xml:space="preserve">Při částečném naplnění indikátoru bude smluvní pokuta vypočítávána poměrně dle míry nenaplnění.tj. pokud v jednom </w:t>
      </w:r>
      <w:r w:rsidR="00EF6E1D" w:rsidRPr="006D2566">
        <w:rPr>
          <w:rFonts w:cs="Arial"/>
        </w:rPr>
        <w:t>kalendářním</w:t>
      </w:r>
      <w:r w:rsidRPr="006D2566">
        <w:rPr>
          <w:rFonts w:cs="Arial"/>
        </w:rPr>
        <w:t xml:space="preserve"> roce využije kapacitu např. 1000 studentů místo 1200, pak za každý den trvání roku </w:t>
      </w:r>
      <w:r w:rsidR="00A3036B" w:rsidRPr="006D2566">
        <w:rPr>
          <w:rFonts w:cs="Arial"/>
        </w:rPr>
        <w:t>vzniká nárok na smluvní pokutu ve výši 200/1200 z </w:t>
      </w:r>
      <w:r w:rsidR="009F37F8" w:rsidRPr="006D2566">
        <w:rPr>
          <w:rFonts w:cs="Arial"/>
        </w:rPr>
        <w:t>2</w:t>
      </w:r>
      <w:r w:rsidR="00A3036B" w:rsidRPr="006D2566">
        <w:rPr>
          <w:rFonts w:cs="Arial"/>
        </w:rPr>
        <w:t>000 Kč.</w:t>
      </w:r>
      <w:r w:rsidR="00F52B2D" w:rsidRPr="006D2566">
        <w:rPr>
          <w:rFonts w:cs="Arial"/>
        </w:rPr>
        <w:t xml:space="preserve"> </w:t>
      </w:r>
    </w:p>
    <w:p w14:paraId="06A8F49E" w14:textId="77777777" w:rsidR="002E6702" w:rsidRPr="006D2566" w:rsidRDefault="00F52B2D"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Vzorec výpočtu</w:t>
      </w:r>
      <w:r w:rsidR="00950EF7" w:rsidRPr="006D2566">
        <w:rPr>
          <w:rFonts w:cs="Arial"/>
        </w:rPr>
        <w:t xml:space="preserve"> smluvní pokuty</w:t>
      </w:r>
      <w:r w:rsidRPr="006D2566">
        <w:rPr>
          <w:rFonts w:cs="Arial"/>
        </w:rPr>
        <w:t xml:space="preserve"> tedy je: </w:t>
      </w:r>
      <w:r w:rsidR="00D563C6" w:rsidRPr="006D2566">
        <w:rPr>
          <w:rFonts w:cs="Arial"/>
        </w:rPr>
        <w:t xml:space="preserve">nenaplněná míra indikátoru/požadovaná hodnota indikátoru * </w:t>
      </w:r>
      <w:r w:rsidR="009F37F8" w:rsidRPr="006D2566">
        <w:rPr>
          <w:rFonts w:cs="Arial"/>
        </w:rPr>
        <w:t>2</w:t>
      </w:r>
      <w:r w:rsidR="00D563C6" w:rsidRPr="006D2566">
        <w:rPr>
          <w:rFonts w:cs="Arial"/>
        </w:rPr>
        <w:t xml:space="preserve">000 Kč * počet dnů </w:t>
      </w:r>
      <w:r w:rsidR="00EF6E1D" w:rsidRPr="006D2566">
        <w:rPr>
          <w:rFonts w:cs="Arial"/>
        </w:rPr>
        <w:t>kalendářního</w:t>
      </w:r>
      <w:r w:rsidR="00D563C6" w:rsidRPr="006D2566">
        <w:rPr>
          <w:rFonts w:cs="Arial"/>
        </w:rPr>
        <w:t xml:space="preserve"> roku</w:t>
      </w:r>
      <w:r w:rsidR="003E293D" w:rsidRPr="006D2566">
        <w:rPr>
          <w:rFonts w:cs="Arial"/>
        </w:rPr>
        <w:t>.</w:t>
      </w:r>
    </w:p>
    <w:p w14:paraId="1ABD0374" w14:textId="77777777" w:rsidR="009F4A16" w:rsidRPr="006D2566" w:rsidRDefault="009F4A16" w:rsidP="00B01D45">
      <w:pPr>
        <w:widowControl w:val="0"/>
        <w:tabs>
          <w:tab w:val="left" w:pos="-1980"/>
          <w:tab w:val="left" w:pos="426"/>
        </w:tabs>
        <w:adjustRightInd w:val="0"/>
        <w:spacing w:after="120" w:line="240" w:lineRule="auto"/>
        <w:ind w:left="360"/>
        <w:jc w:val="both"/>
        <w:textAlignment w:val="baseline"/>
        <w:outlineLvl w:val="0"/>
        <w:rPr>
          <w:rFonts w:cs="Arial"/>
        </w:rPr>
      </w:pPr>
    </w:p>
    <w:p w14:paraId="603A3981" w14:textId="77777777" w:rsidR="00E85DF3" w:rsidRPr="006D2566" w:rsidRDefault="009F4A16"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d) </w:t>
      </w:r>
      <w:r w:rsidR="00150D62" w:rsidRPr="006D2566">
        <w:rPr>
          <w:rFonts w:cs="Arial"/>
        </w:rPr>
        <w:t xml:space="preserve">U indikátorů je možné částečné naplnění. </w:t>
      </w:r>
      <w:r w:rsidR="00E722E0" w:rsidRPr="006D2566">
        <w:rPr>
          <w:rFonts w:cs="Arial"/>
        </w:rPr>
        <w:t>Při částečném naplnění indikátoru bude smluvní pokuta vypočítávána poměrně dle míry nenaplnění</w:t>
      </w:r>
      <w:r w:rsidR="00143E36" w:rsidRPr="006D2566">
        <w:rPr>
          <w:rFonts w:cs="Arial"/>
        </w:rPr>
        <w:t>, kdy požadovaná hodnota indikátoru představuje součet v daném roce požadovaných studijních programů</w:t>
      </w:r>
      <w:r w:rsidR="00C85B8A" w:rsidRPr="006D2566">
        <w:rPr>
          <w:rFonts w:cs="Arial"/>
        </w:rPr>
        <w:t>, pro léta 2024 až 2028 je hodnota indikátoru 9, od roku 2029 a dále je hodnota</w:t>
      </w:r>
      <w:r w:rsidR="00182CB0" w:rsidRPr="006D2566">
        <w:rPr>
          <w:rFonts w:cs="Arial"/>
        </w:rPr>
        <w:t xml:space="preserve"> 12</w:t>
      </w:r>
      <w:r w:rsidR="00E722E0" w:rsidRPr="006D2566">
        <w:rPr>
          <w:rFonts w:cs="Arial"/>
        </w:rPr>
        <w:t>.</w:t>
      </w:r>
      <w:r w:rsidR="00150D62" w:rsidRPr="006D2566">
        <w:rPr>
          <w:rFonts w:cs="Arial"/>
        </w:rPr>
        <w:t xml:space="preserve"> </w:t>
      </w:r>
      <w:r w:rsidR="00191A06" w:rsidRPr="006D2566">
        <w:rPr>
          <w:rFonts w:cs="Arial"/>
        </w:rPr>
        <w:t>Tj. pokud např. v</w:t>
      </w:r>
      <w:r w:rsidR="00B015C5" w:rsidRPr="006D2566">
        <w:rPr>
          <w:rFonts w:cs="Arial"/>
        </w:rPr>
        <w:t xml:space="preserve"> roce </w:t>
      </w:r>
      <w:r w:rsidR="004C4887" w:rsidRPr="006D2566">
        <w:rPr>
          <w:rFonts w:cs="Arial"/>
        </w:rPr>
        <w:t>2025</w:t>
      </w:r>
      <w:r w:rsidR="0068693A" w:rsidRPr="006D2566">
        <w:rPr>
          <w:rFonts w:cs="Arial"/>
        </w:rPr>
        <w:t xml:space="preserve"> budou </w:t>
      </w:r>
      <w:r w:rsidR="00B51BB9" w:rsidRPr="006D2566">
        <w:rPr>
          <w:rFonts w:cs="Arial"/>
        </w:rPr>
        <w:t xml:space="preserve">4 </w:t>
      </w:r>
      <w:r w:rsidR="003F2279" w:rsidRPr="006D2566">
        <w:rPr>
          <w:rFonts w:cs="Arial"/>
        </w:rPr>
        <w:t xml:space="preserve">magisterské </w:t>
      </w:r>
      <w:r w:rsidR="00B51BB9" w:rsidRPr="006D2566">
        <w:rPr>
          <w:rFonts w:cs="Arial"/>
        </w:rPr>
        <w:t>studijní programy v angličtině, namísto požadovaných 5</w:t>
      </w:r>
      <w:r w:rsidR="006B54BD" w:rsidRPr="006D2566">
        <w:rPr>
          <w:rFonts w:cs="Arial"/>
        </w:rPr>
        <w:t>, vypočítá se smluvní pokuta v</w:t>
      </w:r>
      <w:r w:rsidR="00AE3F1A" w:rsidRPr="006D2566">
        <w:rPr>
          <w:rFonts w:cs="Arial"/>
        </w:rPr>
        <w:t>e</w:t>
      </w:r>
      <w:r w:rsidR="006B54BD" w:rsidRPr="006D2566">
        <w:rPr>
          <w:rFonts w:cs="Arial"/>
        </w:rPr>
        <w:t xml:space="preserve"> výši nenaplnění</w:t>
      </w:r>
      <w:r w:rsidR="006020D2" w:rsidRPr="006D2566">
        <w:rPr>
          <w:rFonts w:cs="Arial"/>
        </w:rPr>
        <w:t>, kdy požadovanou h</w:t>
      </w:r>
      <w:r w:rsidR="001031D3" w:rsidRPr="006D2566">
        <w:rPr>
          <w:rFonts w:cs="Arial"/>
        </w:rPr>
        <w:t>o</w:t>
      </w:r>
      <w:r w:rsidR="006020D2" w:rsidRPr="006D2566">
        <w:rPr>
          <w:rFonts w:cs="Arial"/>
        </w:rPr>
        <w:t xml:space="preserve">dnotou </w:t>
      </w:r>
      <w:r w:rsidR="00D51402" w:rsidRPr="006D2566">
        <w:rPr>
          <w:rFonts w:cs="Arial"/>
        </w:rPr>
        <w:t xml:space="preserve">daného roku </w:t>
      </w:r>
      <w:r w:rsidR="006020D2" w:rsidRPr="006D2566">
        <w:rPr>
          <w:rFonts w:cs="Arial"/>
        </w:rPr>
        <w:t>je součet magisterských a doktorských programů, tedy 9</w:t>
      </w:r>
      <w:r w:rsidR="006B54BD" w:rsidRPr="006D2566">
        <w:rPr>
          <w:rFonts w:cs="Arial"/>
        </w:rPr>
        <w:t xml:space="preserve">, tj. </w:t>
      </w:r>
      <w:r w:rsidR="005F4992" w:rsidRPr="006D2566">
        <w:rPr>
          <w:rFonts w:cs="Arial"/>
        </w:rPr>
        <w:t xml:space="preserve">výpočet bude </w:t>
      </w:r>
      <w:r w:rsidR="006B54BD" w:rsidRPr="006D2566">
        <w:rPr>
          <w:rFonts w:cs="Arial"/>
        </w:rPr>
        <w:t>1/</w:t>
      </w:r>
      <w:r w:rsidR="00E85DF3" w:rsidRPr="006D2566">
        <w:rPr>
          <w:rFonts w:cs="Arial"/>
        </w:rPr>
        <w:t>9</w:t>
      </w:r>
      <w:r w:rsidR="006B54BD" w:rsidRPr="006D2566">
        <w:rPr>
          <w:rFonts w:cs="Arial"/>
        </w:rPr>
        <w:t xml:space="preserve"> z </w:t>
      </w:r>
      <w:r w:rsidR="009F37F8" w:rsidRPr="006D2566">
        <w:rPr>
          <w:rFonts w:cs="Arial"/>
        </w:rPr>
        <w:t>2</w:t>
      </w:r>
      <w:r w:rsidR="006B54BD" w:rsidRPr="006D2566">
        <w:rPr>
          <w:rFonts w:cs="Arial"/>
        </w:rPr>
        <w:t xml:space="preserve">000 Kč za každý den </w:t>
      </w:r>
      <w:r w:rsidR="006A326B" w:rsidRPr="006D2566">
        <w:rPr>
          <w:rFonts w:cs="Arial"/>
        </w:rPr>
        <w:t>trvání tohoto stavu.</w:t>
      </w:r>
    </w:p>
    <w:p w14:paraId="34BCE4D4" w14:textId="77777777" w:rsidR="009D14C1" w:rsidRPr="006D2566" w:rsidRDefault="00F62051"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Vzorec výpočtu smluvní pokuty tedy je: </w:t>
      </w:r>
    </w:p>
    <w:p w14:paraId="4DA3601F" w14:textId="77777777" w:rsidR="00F62051" w:rsidRPr="006D2566" w:rsidRDefault="00F62051"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nenaplněná míra indikátoru/požadovaná hodnota indikátoru</w:t>
      </w:r>
      <w:r w:rsidR="00C67EFC" w:rsidRPr="006D2566">
        <w:rPr>
          <w:rFonts w:cs="Arial"/>
        </w:rPr>
        <w:t xml:space="preserve"> (</w:t>
      </w:r>
      <w:r w:rsidR="00E85DF3" w:rsidRPr="006D2566">
        <w:rPr>
          <w:rFonts w:cs="Arial"/>
        </w:rPr>
        <w:t xml:space="preserve">součet v daném roce požadovaných </w:t>
      </w:r>
      <w:r w:rsidR="00143E36" w:rsidRPr="006D2566">
        <w:rPr>
          <w:rFonts w:cs="Arial"/>
        </w:rPr>
        <w:t>programů, tj. 9 či 12</w:t>
      </w:r>
      <w:r w:rsidR="00C67EFC" w:rsidRPr="006D2566">
        <w:rPr>
          <w:rFonts w:cs="Arial"/>
        </w:rPr>
        <w:t>)</w:t>
      </w:r>
      <w:r w:rsidRPr="006D2566">
        <w:rPr>
          <w:rFonts w:cs="Arial"/>
        </w:rPr>
        <w:t xml:space="preserve"> * </w:t>
      </w:r>
      <w:r w:rsidR="009F37F8" w:rsidRPr="006D2566">
        <w:rPr>
          <w:rFonts w:cs="Arial"/>
        </w:rPr>
        <w:t>2</w:t>
      </w:r>
      <w:r w:rsidRPr="006D2566">
        <w:rPr>
          <w:rFonts w:cs="Arial"/>
        </w:rPr>
        <w:t xml:space="preserve">000 Kč * počet dnů </w:t>
      </w:r>
      <w:r w:rsidR="00891B9F" w:rsidRPr="006D2566">
        <w:rPr>
          <w:rFonts w:cs="Arial"/>
        </w:rPr>
        <w:t>kalendářního</w:t>
      </w:r>
      <w:r w:rsidRPr="006D2566">
        <w:rPr>
          <w:rFonts w:cs="Arial"/>
        </w:rPr>
        <w:t xml:space="preserve"> roku.</w:t>
      </w:r>
    </w:p>
    <w:p w14:paraId="0FAB6D91" w14:textId="77777777" w:rsidR="00E722E0" w:rsidRPr="006D2566" w:rsidRDefault="00E722E0" w:rsidP="00266B36">
      <w:pPr>
        <w:widowControl w:val="0"/>
        <w:tabs>
          <w:tab w:val="left" w:pos="-1980"/>
          <w:tab w:val="left" w:pos="426"/>
        </w:tabs>
        <w:adjustRightInd w:val="0"/>
        <w:spacing w:after="120" w:line="240" w:lineRule="auto"/>
        <w:jc w:val="both"/>
        <w:textAlignment w:val="baseline"/>
        <w:outlineLvl w:val="0"/>
        <w:rPr>
          <w:rFonts w:cs="Arial"/>
        </w:rPr>
      </w:pPr>
    </w:p>
    <w:p w14:paraId="3E970128" w14:textId="77777777" w:rsidR="00C22444" w:rsidRPr="006D2566" w:rsidRDefault="00E722E0"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e) </w:t>
      </w:r>
      <w:r w:rsidR="00A42AC7" w:rsidRPr="006D2566">
        <w:rPr>
          <w:rFonts w:cs="Arial"/>
        </w:rPr>
        <w:t>+ f)</w:t>
      </w:r>
      <w:r w:rsidR="000E44E3" w:rsidRPr="006D2566">
        <w:rPr>
          <w:rFonts w:cs="Arial"/>
        </w:rPr>
        <w:t xml:space="preserve"> + g) +h)</w:t>
      </w:r>
      <w:r w:rsidR="00A42AC7" w:rsidRPr="006D2566">
        <w:rPr>
          <w:rFonts w:cs="Arial"/>
        </w:rPr>
        <w:t xml:space="preserve"> </w:t>
      </w:r>
      <w:r w:rsidR="0001251E" w:rsidRPr="006D2566">
        <w:rPr>
          <w:rFonts w:cs="Arial"/>
        </w:rPr>
        <w:t xml:space="preserve">U indikátorů je možné částečné naplnění. </w:t>
      </w:r>
      <w:r w:rsidR="003A55D5" w:rsidRPr="006D2566">
        <w:rPr>
          <w:rFonts w:cs="Arial"/>
        </w:rPr>
        <w:t>Pokud nebude dosažena příslušná hodnota indikátoru v daném kalendářním roce, je pokuta počítána za celý kalendářní rok, ve kterém nebyl výstup naplněn</w:t>
      </w:r>
      <w:r w:rsidR="00480844" w:rsidRPr="006D2566">
        <w:rPr>
          <w:rFonts w:cs="Arial"/>
        </w:rPr>
        <w:t>, a to</w:t>
      </w:r>
      <w:r w:rsidR="003A55D5" w:rsidRPr="006D2566">
        <w:rPr>
          <w:rFonts w:cs="Arial"/>
        </w:rPr>
        <w:t xml:space="preserve"> poměrně podle míry nenaplnění.</w:t>
      </w:r>
      <w:r w:rsidR="00A42AC7" w:rsidRPr="006D2566">
        <w:rPr>
          <w:rFonts w:cs="Arial"/>
        </w:rPr>
        <w:t xml:space="preserve"> </w:t>
      </w:r>
    </w:p>
    <w:p w14:paraId="42143F30" w14:textId="77777777" w:rsidR="000E44E3" w:rsidRPr="006D2566" w:rsidRDefault="000E44E3"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Vzorec výpočtu smluvní pokuty tedy je: nenaplněná míra indikátoru/požadovaná hodnota indikátoru * </w:t>
      </w:r>
      <w:r w:rsidR="009F37F8" w:rsidRPr="006D2566">
        <w:rPr>
          <w:rFonts w:cs="Arial"/>
        </w:rPr>
        <w:t>2</w:t>
      </w:r>
      <w:r w:rsidRPr="006D2566">
        <w:rPr>
          <w:rFonts w:cs="Arial"/>
        </w:rPr>
        <w:t>000 Kč * počet dnů kalendářního roku.</w:t>
      </w:r>
    </w:p>
    <w:p w14:paraId="1DC8DE3F" w14:textId="77777777" w:rsidR="000E44E3" w:rsidRPr="006D2566" w:rsidRDefault="00A42AC7"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Současně při nenaplnění dílčího indikátoru za kalendářní rok</w:t>
      </w:r>
      <w:r w:rsidR="00C22444" w:rsidRPr="006D2566">
        <w:rPr>
          <w:rFonts w:cs="Arial"/>
        </w:rPr>
        <w:t xml:space="preserve"> se tato </w:t>
      </w:r>
      <w:r w:rsidRPr="006D2566">
        <w:rPr>
          <w:rFonts w:cs="Arial"/>
        </w:rPr>
        <w:t xml:space="preserve">nenaplněná kapacita jednoho kalendářního roku přičte k požadovanému počtu indikátoru dalšího roku a tato nová hodnota se stává požadavkem dalšího roku, aby byl naplněn výsledný celkový indikátor. </w:t>
      </w:r>
    </w:p>
    <w:p w14:paraId="0B9E8906" w14:textId="3C3A4AA3" w:rsidR="00AD507E" w:rsidRDefault="00C22444"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Tj. pokud </w:t>
      </w:r>
      <w:r w:rsidR="005A5897" w:rsidRPr="006D2566">
        <w:rPr>
          <w:rFonts w:cs="Arial"/>
        </w:rPr>
        <w:t xml:space="preserve">se </w:t>
      </w:r>
      <w:r w:rsidR="00191A06" w:rsidRPr="006D2566">
        <w:rPr>
          <w:rFonts w:cs="Arial"/>
        </w:rPr>
        <w:t xml:space="preserve">např. </w:t>
      </w:r>
      <w:r w:rsidR="005A5897" w:rsidRPr="006D2566">
        <w:rPr>
          <w:rFonts w:cs="Arial"/>
        </w:rPr>
        <w:t>v roce 202</w:t>
      </w:r>
      <w:r w:rsidR="00FC1A34" w:rsidRPr="006D2566">
        <w:rPr>
          <w:rFonts w:cs="Arial"/>
        </w:rPr>
        <w:t>5</w:t>
      </w:r>
      <w:r w:rsidR="005A5897" w:rsidRPr="006D2566">
        <w:rPr>
          <w:rFonts w:cs="Arial"/>
        </w:rPr>
        <w:t xml:space="preserve"> uskuteční </w:t>
      </w:r>
      <w:r w:rsidR="00C3658E" w:rsidRPr="006D2566">
        <w:rPr>
          <w:rFonts w:cs="Arial"/>
        </w:rPr>
        <w:t>5</w:t>
      </w:r>
      <w:r w:rsidR="005A5897" w:rsidRPr="006D2566">
        <w:rPr>
          <w:rFonts w:cs="Arial"/>
        </w:rPr>
        <w:t>0 přednášek/workshopů</w:t>
      </w:r>
      <w:r w:rsidR="004516AB" w:rsidRPr="006D2566">
        <w:rPr>
          <w:rFonts w:cs="Arial"/>
        </w:rPr>
        <w:t xml:space="preserve"> pro ZŠ/SŠ</w:t>
      </w:r>
      <w:r w:rsidR="005A5897" w:rsidRPr="006D2566">
        <w:rPr>
          <w:rFonts w:cs="Arial"/>
        </w:rPr>
        <w:t xml:space="preserve"> namísto potřebných </w:t>
      </w:r>
      <w:r w:rsidR="00C3658E" w:rsidRPr="006D2566">
        <w:rPr>
          <w:rFonts w:cs="Arial"/>
        </w:rPr>
        <w:t>6</w:t>
      </w:r>
      <w:r w:rsidR="005A5897" w:rsidRPr="006D2566">
        <w:rPr>
          <w:rFonts w:cs="Arial"/>
        </w:rPr>
        <w:t xml:space="preserve">0, pak je nenaplněná kapacita 10 přednášek/workshopů. Těchto 10 se přičte k požadovaným </w:t>
      </w:r>
      <w:r w:rsidR="00C3658E" w:rsidRPr="006D2566">
        <w:rPr>
          <w:rFonts w:cs="Arial"/>
        </w:rPr>
        <w:t>7</w:t>
      </w:r>
      <w:r w:rsidR="005A5897" w:rsidRPr="006D2566">
        <w:rPr>
          <w:rFonts w:cs="Arial"/>
        </w:rPr>
        <w:t xml:space="preserve">0 přednáškám/workshopům roku </w:t>
      </w:r>
      <w:r w:rsidR="00EF36FC" w:rsidRPr="006D2566">
        <w:rPr>
          <w:rFonts w:cs="Arial"/>
        </w:rPr>
        <w:t>202</w:t>
      </w:r>
      <w:r w:rsidR="00C3658E" w:rsidRPr="006D2566">
        <w:rPr>
          <w:rFonts w:cs="Arial"/>
        </w:rPr>
        <w:t>6</w:t>
      </w:r>
      <w:r w:rsidR="00EF36FC" w:rsidRPr="006D2566">
        <w:rPr>
          <w:rFonts w:cs="Arial"/>
        </w:rPr>
        <w:t xml:space="preserve"> a novým </w:t>
      </w:r>
      <w:r w:rsidR="00C54EBF" w:rsidRPr="006D2566">
        <w:rPr>
          <w:rFonts w:cs="Arial"/>
        </w:rPr>
        <w:t xml:space="preserve">dílčím </w:t>
      </w:r>
      <w:r w:rsidR="00EF36FC" w:rsidRPr="006D2566">
        <w:rPr>
          <w:rFonts w:cs="Arial"/>
        </w:rPr>
        <w:t>indikátorem na rok 202</w:t>
      </w:r>
      <w:r w:rsidR="00C3658E" w:rsidRPr="006D2566">
        <w:rPr>
          <w:rFonts w:cs="Arial"/>
        </w:rPr>
        <w:t>6</w:t>
      </w:r>
      <w:r w:rsidR="00EF36FC" w:rsidRPr="006D2566">
        <w:rPr>
          <w:rFonts w:cs="Arial"/>
        </w:rPr>
        <w:t xml:space="preserve"> se tak stane </w:t>
      </w:r>
      <w:r w:rsidR="00C3658E" w:rsidRPr="006D2566">
        <w:rPr>
          <w:rFonts w:cs="Arial"/>
        </w:rPr>
        <w:t>8</w:t>
      </w:r>
      <w:r w:rsidR="00EF36FC" w:rsidRPr="006D2566">
        <w:rPr>
          <w:rFonts w:cs="Arial"/>
        </w:rPr>
        <w:t>0 přednášek/workshopů.</w:t>
      </w:r>
      <w:r w:rsidR="008C6B4C" w:rsidRPr="006D2566">
        <w:rPr>
          <w:rFonts w:cs="Arial"/>
        </w:rPr>
        <w:t xml:space="preserve"> </w:t>
      </w:r>
      <w:r w:rsidR="00CB694C" w:rsidRPr="006D2566">
        <w:rPr>
          <w:rFonts w:cs="Arial"/>
        </w:rPr>
        <w:t>Současně vznikne Kraji nárok na s</w:t>
      </w:r>
      <w:r w:rsidR="008C6B4C" w:rsidRPr="006D2566">
        <w:rPr>
          <w:rFonts w:cs="Arial"/>
        </w:rPr>
        <w:t>mluvní pokut</w:t>
      </w:r>
      <w:r w:rsidR="00CB694C" w:rsidRPr="006D2566">
        <w:rPr>
          <w:rFonts w:cs="Arial"/>
        </w:rPr>
        <w:t>u</w:t>
      </w:r>
      <w:r w:rsidR="00BA5FE7" w:rsidRPr="006D2566">
        <w:rPr>
          <w:rFonts w:cs="Arial"/>
        </w:rPr>
        <w:t xml:space="preserve"> ve výši 10/60 z </w:t>
      </w:r>
      <w:r w:rsidR="009F37F8" w:rsidRPr="006D2566">
        <w:rPr>
          <w:rFonts w:cs="Arial"/>
        </w:rPr>
        <w:t>2</w:t>
      </w:r>
      <w:r w:rsidR="00BA5FE7" w:rsidRPr="006D2566">
        <w:rPr>
          <w:rFonts w:cs="Arial"/>
        </w:rPr>
        <w:t xml:space="preserve">000 Kč za </w:t>
      </w:r>
      <w:r w:rsidR="005945B2" w:rsidRPr="006D2566">
        <w:rPr>
          <w:rFonts w:cs="Arial"/>
        </w:rPr>
        <w:t>každý den kalendářního roku</w:t>
      </w:r>
      <w:r w:rsidR="007B2B32" w:rsidRPr="006D2566">
        <w:rPr>
          <w:rFonts w:cs="Arial"/>
        </w:rPr>
        <w:t xml:space="preserve"> 2025</w:t>
      </w:r>
      <w:r w:rsidR="005945B2" w:rsidRPr="006D2566">
        <w:rPr>
          <w:rFonts w:cs="Arial"/>
        </w:rPr>
        <w:t>.</w:t>
      </w:r>
    </w:p>
    <w:p w14:paraId="08A68E78" w14:textId="77777777" w:rsidR="00507432" w:rsidRPr="006D2566" w:rsidRDefault="00507432" w:rsidP="00266B36">
      <w:pPr>
        <w:widowControl w:val="0"/>
        <w:tabs>
          <w:tab w:val="left" w:pos="-1980"/>
          <w:tab w:val="left" w:pos="426"/>
        </w:tabs>
        <w:adjustRightInd w:val="0"/>
        <w:spacing w:after="120" w:line="240" w:lineRule="auto"/>
        <w:jc w:val="both"/>
        <w:textAlignment w:val="baseline"/>
        <w:outlineLvl w:val="0"/>
        <w:rPr>
          <w:rFonts w:cs="Arial"/>
        </w:rPr>
      </w:pPr>
    </w:p>
    <w:p w14:paraId="5BFB4F98" w14:textId="77777777" w:rsidR="00FC31D7" w:rsidRPr="006D2566" w:rsidRDefault="00AD507E"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i) </w:t>
      </w:r>
    </w:p>
    <w:p w14:paraId="7522C2C1" w14:textId="2B6E5D50" w:rsidR="00FF34CC" w:rsidRDefault="00A26014"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w:t>
      </w:r>
      <w:r w:rsidR="00FC31D7" w:rsidRPr="006D2566">
        <w:rPr>
          <w:rFonts w:cs="Arial"/>
        </w:rPr>
        <w:t xml:space="preserve">i1) </w:t>
      </w:r>
      <w:r w:rsidR="004A31EF" w:rsidRPr="006D2566">
        <w:rPr>
          <w:rFonts w:cs="Arial"/>
        </w:rPr>
        <w:t>J</w:t>
      </w:r>
      <w:r w:rsidR="00AD507E" w:rsidRPr="006D2566">
        <w:rPr>
          <w:rFonts w:cs="Arial"/>
        </w:rPr>
        <w:t>edná se o binární kritérium, částečné naplnění není možné.</w:t>
      </w:r>
      <w:r w:rsidR="004A31EF" w:rsidRPr="006D2566">
        <w:rPr>
          <w:rFonts w:cs="Arial"/>
        </w:rPr>
        <w:t xml:space="preserve"> Sankcionováno je </w:t>
      </w:r>
      <w:r w:rsidR="00CC43E9" w:rsidRPr="006D2566">
        <w:rPr>
          <w:rFonts w:cs="Arial"/>
        </w:rPr>
        <w:t>ne</w:t>
      </w:r>
      <w:r w:rsidR="004A31EF" w:rsidRPr="006D2566">
        <w:rPr>
          <w:rFonts w:cs="Arial"/>
        </w:rPr>
        <w:t xml:space="preserve">vytvoření metodiky k určenému datu. Nárok na smluvní pokutu </w:t>
      </w:r>
      <w:r w:rsidR="00097A40" w:rsidRPr="006D2566">
        <w:rPr>
          <w:rFonts w:cs="Arial"/>
        </w:rPr>
        <w:t xml:space="preserve">ve výši </w:t>
      </w:r>
      <w:r w:rsidR="009F37F8" w:rsidRPr="006D2566">
        <w:rPr>
          <w:rFonts w:cs="Arial"/>
        </w:rPr>
        <w:t>2</w:t>
      </w:r>
      <w:r w:rsidR="00097A40" w:rsidRPr="006D2566">
        <w:rPr>
          <w:rFonts w:cs="Arial"/>
        </w:rPr>
        <w:t xml:space="preserve">000 Kč/den </w:t>
      </w:r>
      <w:r w:rsidR="00DF4047" w:rsidRPr="006D2566">
        <w:rPr>
          <w:rFonts w:cs="Arial"/>
        </w:rPr>
        <w:t xml:space="preserve">Kraji </w:t>
      </w:r>
      <w:r w:rsidR="004A31EF" w:rsidRPr="006D2566">
        <w:rPr>
          <w:rFonts w:cs="Arial"/>
        </w:rPr>
        <w:t xml:space="preserve">vzniká dnem </w:t>
      </w:r>
      <w:r w:rsidR="00DF4047" w:rsidRPr="006D2566">
        <w:rPr>
          <w:rFonts w:cs="Arial"/>
        </w:rPr>
        <w:t>1.1.2026</w:t>
      </w:r>
      <w:r w:rsidR="004A31EF" w:rsidRPr="006D2566">
        <w:rPr>
          <w:rFonts w:cs="Arial"/>
        </w:rPr>
        <w:t xml:space="preserve"> </w:t>
      </w:r>
      <w:r w:rsidR="004A31EF" w:rsidRPr="006D2566">
        <w:rPr>
          <w:rFonts w:cs="Arial"/>
        </w:rPr>
        <w:lastRenderedPageBreak/>
        <w:t xml:space="preserve">až do předložení metodiky Kraji. </w:t>
      </w:r>
      <w:r w:rsidR="00C140D4" w:rsidRPr="006D2566">
        <w:rPr>
          <w:rFonts w:cs="Arial"/>
        </w:rPr>
        <w:t xml:space="preserve">V případě prodlení přesahujícím jeden kalendářní rok, bude </w:t>
      </w:r>
      <w:r w:rsidR="008E5A95" w:rsidRPr="006D2566">
        <w:rPr>
          <w:rFonts w:cs="Arial"/>
        </w:rPr>
        <w:t xml:space="preserve">pokuta fakturována vždy za uplynulý kalendářní rok na základě průběžné zprávy. </w:t>
      </w:r>
      <w:r w:rsidR="004A31EF" w:rsidRPr="006D2566">
        <w:rPr>
          <w:rFonts w:cs="Arial"/>
        </w:rPr>
        <w:t>Zaplacením smluvní pokuty závazek UTB nezaniká.</w:t>
      </w:r>
    </w:p>
    <w:p w14:paraId="1AA80E53" w14:textId="77777777" w:rsidR="00507432" w:rsidRPr="006D2566" w:rsidRDefault="00507432" w:rsidP="00266B36">
      <w:pPr>
        <w:widowControl w:val="0"/>
        <w:tabs>
          <w:tab w:val="left" w:pos="-1980"/>
          <w:tab w:val="left" w:pos="426"/>
        </w:tabs>
        <w:adjustRightInd w:val="0"/>
        <w:spacing w:after="120" w:line="240" w:lineRule="auto"/>
        <w:jc w:val="both"/>
        <w:textAlignment w:val="baseline"/>
        <w:outlineLvl w:val="0"/>
        <w:rPr>
          <w:rFonts w:cs="Arial"/>
        </w:rPr>
      </w:pPr>
    </w:p>
    <w:p w14:paraId="51965C20" w14:textId="77777777" w:rsidR="00FF34CC" w:rsidRPr="006D2566" w:rsidRDefault="00FF34CC"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j) Jedná se o binární kritérium, částečné naplnění není možné. Sankce se stanoví ve výši </w:t>
      </w:r>
      <w:r w:rsidR="009F37F8" w:rsidRPr="006D2566">
        <w:rPr>
          <w:rFonts w:cs="Arial"/>
        </w:rPr>
        <w:t>2</w:t>
      </w:r>
      <w:r w:rsidRPr="006D2566">
        <w:rPr>
          <w:rFonts w:cs="Arial"/>
        </w:rPr>
        <w:t xml:space="preserve">000 Kč * počet dní daného kalendářního roku, v němž měl průzkum proběhnout. </w:t>
      </w:r>
      <w:r w:rsidR="007E5D1E" w:rsidRPr="006D2566">
        <w:rPr>
          <w:rFonts w:cs="Arial"/>
        </w:rPr>
        <w:t xml:space="preserve">V případě prodlení přesahujícím jeden kalendářní rok, bude pokuta fakturována vždy za uplynulý kalendářní rok na základě průběžné zprávy. </w:t>
      </w:r>
      <w:r w:rsidRPr="006D2566">
        <w:rPr>
          <w:rFonts w:cs="Arial"/>
        </w:rPr>
        <w:t>Zaplacením smluvní pokuty povinnost uskutečnění nezaniká a smluvní pokuta se počítá až do uskutečnění průzkumu.</w:t>
      </w:r>
    </w:p>
    <w:p w14:paraId="105914C4" w14:textId="77777777" w:rsidR="00FF34CC" w:rsidRPr="006D2566" w:rsidRDefault="00FF34CC" w:rsidP="00266B36">
      <w:pPr>
        <w:widowControl w:val="0"/>
        <w:tabs>
          <w:tab w:val="left" w:pos="-1980"/>
          <w:tab w:val="left" w:pos="426"/>
        </w:tabs>
        <w:adjustRightInd w:val="0"/>
        <w:spacing w:after="120" w:line="240" w:lineRule="auto"/>
        <w:jc w:val="both"/>
        <w:textAlignment w:val="baseline"/>
        <w:outlineLvl w:val="0"/>
        <w:rPr>
          <w:rFonts w:cs="Arial"/>
        </w:rPr>
      </w:pPr>
    </w:p>
    <w:p w14:paraId="447E4E36" w14:textId="77777777" w:rsidR="00FF34CC" w:rsidRPr="006D2566" w:rsidRDefault="00FF34CC"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Ad k) Částečné naplnění indikátoru je možné. Pokud bude např. namísto dvou průzkumů v roce realizován pouze jeden, pak je nenaplnění ve výši ½. Smluvní pokuta se vypočítá ve výši nenaplnění, tj. jako 1/2 z </w:t>
      </w:r>
      <w:r w:rsidR="009F37F8" w:rsidRPr="006D2566">
        <w:rPr>
          <w:rFonts w:cs="Arial"/>
        </w:rPr>
        <w:t>2</w:t>
      </w:r>
      <w:r w:rsidRPr="006D2566">
        <w:rPr>
          <w:rFonts w:cs="Arial"/>
        </w:rPr>
        <w:t xml:space="preserve">000 Kč za každý den </w:t>
      </w:r>
      <w:r w:rsidR="00B03E4A" w:rsidRPr="006D2566">
        <w:rPr>
          <w:rFonts w:cs="Arial"/>
        </w:rPr>
        <w:t>kalendářního</w:t>
      </w:r>
      <w:r w:rsidRPr="006D2566">
        <w:rPr>
          <w:rFonts w:cs="Arial"/>
        </w:rPr>
        <w:t xml:space="preserve"> roku, v němž průzkum nebyl realizován. Nenaplněná hodnota indikátoru se nepřičítá k hodnotě roku následujícího. </w:t>
      </w:r>
    </w:p>
    <w:p w14:paraId="3C8B517F" w14:textId="77777777" w:rsidR="00F877C6" w:rsidRPr="006D2566" w:rsidRDefault="00F877C6"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Vzorec výpočtu smluvní pokuty tedy je: nenaplněná míra indikátoru/požadovaná hodnota indikátoru * </w:t>
      </w:r>
      <w:r w:rsidR="00997944" w:rsidRPr="006D2566">
        <w:rPr>
          <w:rFonts w:cs="Arial"/>
        </w:rPr>
        <w:t>2</w:t>
      </w:r>
      <w:r w:rsidRPr="006D2566">
        <w:rPr>
          <w:rFonts w:cs="Arial"/>
        </w:rPr>
        <w:t xml:space="preserve">000 Kč * počet dnů </w:t>
      </w:r>
      <w:r w:rsidR="00B03E4A" w:rsidRPr="006D2566">
        <w:rPr>
          <w:rFonts w:cs="Arial"/>
        </w:rPr>
        <w:t>kalendářního</w:t>
      </w:r>
      <w:r w:rsidRPr="006D2566">
        <w:rPr>
          <w:rFonts w:cs="Arial"/>
        </w:rPr>
        <w:t xml:space="preserve"> roku.</w:t>
      </w:r>
    </w:p>
    <w:p w14:paraId="47C253D9" w14:textId="77777777" w:rsidR="00352FFA" w:rsidRPr="006D2566" w:rsidRDefault="00352FFA" w:rsidP="003A62BE">
      <w:pPr>
        <w:widowControl w:val="0"/>
        <w:tabs>
          <w:tab w:val="left" w:pos="-1980"/>
          <w:tab w:val="left" w:pos="426"/>
        </w:tabs>
        <w:adjustRightInd w:val="0"/>
        <w:spacing w:after="120" w:line="240" w:lineRule="auto"/>
        <w:ind w:left="360"/>
        <w:jc w:val="both"/>
        <w:textAlignment w:val="baseline"/>
        <w:outlineLvl w:val="0"/>
        <w:rPr>
          <w:rFonts w:cs="Arial"/>
        </w:rPr>
      </w:pPr>
    </w:p>
    <w:p w14:paraId="05177617" w14:textId="77777777" w:rsidR="00352FFA" w:rsidRPr="006D2566" w:rsidRDefault="00352FFA"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w:t>
      </w:r>
      <w:r w:rsidR="00006680" w:rsidRPr="006D2566">
        <w:rPr>
          <w:rFonts w:cs="Arial"/>
        </w:rPr>
        <w:t>l) Nenaplnění indikátoru v jednom kalendářním roce není sankcionováno pod podmínkou, že v každoroční zprávě budou uvedeny kroky, které povedou k napravení stavu nejpozději do 24 měsíců od data, ke kterému je skutečnost vykazována. Pokud stav nebude napraven v uvedené dvaceti čtyř měsíční lhůtě, vzniká od následujícího dne po uplynutí této lhůty nárok na smluvní pokutu</w:t>
      </w:r>
      <w:r w:rsidR="00C51581" w:rsidRPr="006D2566">
        <w:rPr>
          <w:rFonts w:cs="Arial"/>
        </w:rPr>
        <w:t xml:space="preserve"> </w:t>
      </w:r>
      <w:r w:rsidR="009F37F8" w:rsidRPr="006D2566">
        <w:rPr>
          <w:rFonts w:cs="Arial"/>
        </w:rPr>
        <w:t>2</w:t>
      </w:r>
      <w:r w:rsidR="00C51581" w:rsidRPr="006D2566">
        <w:rPr>
          <w:rFonts w:cs="Arial"/>
        </w:rPr>
        <w:t>000 Kč</w:t>
      </w:r>
      <w:r w:rsidR="00006680" w:rsidRPr="006D2566">
        <w:rPr>
          <w:rFonts w:cs="Arial"/>
        </w:rPr>
        <w:t xml:space="preserve"> za každý den až do splnění</w:t>
      </w:r>
      <w:r w:rsidR="00C51581" w:rsidRPr="006D2566">
        <w:rPr>
          <w:rFonts w:cs="Arial"/>
        </w:rPr>
        <w:t xml:space="preserve"> indikátoru</w:t>
      </w:r>
      <w:r w:rsidR="00006680" w:rsidRPr="006D2566">
        <w:rPr>
          <w:rFonts w:cs="Arial"/>
        </w:rPr>
        <w:t>.</w:t>
      </w:r>
      <w:r w:rsidR="00D06B03" w:rsidRPr="006D2566">
        <w:rPr>
          <w:rFonts w:cs="Arial"/>
        </w:rPr>
        <w:t xml:space="preserve"> </w:t>
      </w:r>
    </w:p>
    <w:p w14:paraId="701A040E" w14:textId="77777777" w:rsidR="00200B24" w:rsidRPr="006D2566" w:rsidRDefault="00200B24" w:rsidP="00266B36">
      <w:pPr>
        <w:widowControl w:val="0"/>
        <w:tabs>
          <w:tab w:val="left" w:pos="-1980"/>
          <w:tab w:val="left" w:pos="426"/>
        </w:tabs>
        <w:adjustRightInd w:val="0"/>
        <w:spacing w:after="120" w:line="240" w:lineRule="auto"/>
        <w:jc w:val="both"/>
        <w:textAlignment w:val="baseline"/>
        <w:outlineLvl w:val="0"/>
        <w:rPr>
          <w:rFonts w:cs="Arial"/>
        </w:rPr>
      </w:pPr>
    </w:p>
    <w:p w14:paraId="311A73AA" w14:textId="77777777" w:rsidR="00942EE8" w:rsidRPr="006D2566" w:rsidRDefault="00942EE8"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Ad m) Částečné naplnění indikátoru je možné. Pokud nebude dosažena příslušná hodnota indikátoru v daném kalendářním roce, je pokuta počítána za celý kalendářní rok, ve kterém nebyl výstup naplněn, a to poměrně podle míry nenaplnění.</w:t>
      </w:r>
    </w:p>
    <w:p w14:paraId="5ED40DDC" w14:textId="77777777" w:rsidR="00942EE8" w:rsidRPr="006D2566" w:rsidRDefault="00942EE8"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Vzorec výpočtu smluvní pokuty tedy je: nenaplněná míra indikátoru /požadovaná hodnota indikátoru * </w:t>
      </w:r>
      <w:r w:rsidR="009F37F8" w:rsidRPr="006D2566">
        <w:rPr>
          <w:rFonts w:cs="Arial"/>
        </w:rPr>
        <w:t>2</w:t>
      </w:r>
      <w:r w:rsidRPr="006D2566">
        <w:rPr>
          <w:rFonts w:cs="Arial"/>
        </w:rPr>
        <w:t>000 Kč * počet dnů kalendářního roku</w:t>
      </w:r>
    </w:p>
    <w:p w14:paraId="0824873E" w14:textId="77777777" w:rsidR="00942EE8" w:rsidRPr="006D2566" w:rsidRDefault="00942EE8"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Současně při nenaplnění dílčího indikátoru za kalendářní rok se tato nenaplněná kapacita jednoho kalendářního roku přičte k požadovanému počtu indikátoru dalšího kalendářního roku a tato nová hodnota se stává požadavkem dalšího roku, aby byl naplněn výsledný celkový indikátor. Tj. pokud se v kalendářním roce 2025 uskuteční 30 mobilit namísto potřebných 35, pak je nenaplněná kapacita 5 mobilit. Těchto 5 se přičte k požadovaným 40 mobilitám roku 2026 a novým dílčím indikátorem na rok 2026 se tak stane 45 mobilit. Současně vznikne Kraji nárok na smluvní pokutu ve výši 5/35 z </w:t>
      </w:r>
      <w:r w:rsidR="009F37F8" w:rsidRPr="006D2566">
        <w:rPr>
          <w:rFonts w:cs="Arial"/>
        </w:rPr>
        <w:t>2</w:t>
      </w:r>
      <w:r w:rsidRPr="006D2566">
        <w:rPr>
          <w:rFonts w:cs="Arial"/>
        </w:rPr>
        <w:t>000 Kč za každý den kalendářního roku 2025.</w:t>
      </w:r>
    </w:p>
    <w:p w14:paraId="7C651296" w14:textId="77777777" w:rsidR="00D06B03" w:rsidRPr="006D2566" w:rsidRDefault="00D06B03" w:rsidP="00507432">
      <w:pPr>
        <w:widowControl w:val="0"/>
        <w:tabs>
          <w:tab w:val="left" w:pos="-1980"/>
          <w:tab w:val="left" w:pos="426"/>
        </w:tabs>
        <w:adjustRightInd w:val="0"/>
        <w:spacing w:before="100" w:beforeAutospacing="1" w:after="120" w:line="240" w:lineRule="auto"/>
        <w:jc w:val="both"/>
        <w:textAlignment w:val="baseline"/>
        <w:outlineLvl w:val="0"/>
        <w:rPr>
          <w:rFonts w:cs="Arial"/>
        </w:rPr>
      </w:pPr>
    </w:p>
    <w:p w14:paraId="4C87061E" w14:textId="77777777" w:rsidR="00DF681D" w:rsidRPr="006D2566" w:rsidRDefault="00D06B03"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Ad n) </w:t>
      </w:r>
      <w:r w:rsidR="00383905" w:rsidRPr="006D2566">
        <w:rPr>
          <w:rFonts w:cs="Arial"/>
        </w:rPr>
        <w:t xml:space="preserve">Částečné naplnění indikátoru je možné. </w:t>
      </w:r>
      <w:r w:rsidR="00DF681D" w:rsidRPr="006D2566">
        <w:rPr>
          <w:rFonts w:cs="Arial"/>
        </w:rPr>
        <w:t>Pokud nebude dosažena příslušná hodnota indikátoru (</w:t>
      </w:r>
      <w:r w:rsidR="00B53575" w:rsidRPr="006D2566">
        <w:rPr>
          <w:rFonts w:cs="Arial"/>
        </w:rPr>
        <w:t>minimálně 4</w:t>
      </w:r>
      <w:r w:rsidR="00900B0E" w:rsidRPr="006D2566">
        <w:rPr>
          <w:rFonts w:cs="Arial"/>
        </w:rPr>
        <w:t xml:space="preserve"> účinn</w:t>
      </w:r>
      <w:r w:rsidR="00B53575" w:rsidRPr="006D2566">
        <w:rPr>
          <w:rFonts w:cs="Arial"/>
        </w:rPr>
        <w:t>é</w:t>
      </w:r>
      <w:r w:rsidR="00900B0E" w:rsidRPr="006D2566">
        <w:rPr>
          <w:rFonts w:cs="Arial"/>
        </w:rPr>
        <w:t xml:space="preserve"> sml</w:t>
      </w:r>
      <w:r w:rsidR="00B53575" w:rsidRPr="006D2566">
        <w:rPr>
          <w:rFonts w:cs="Arial"/>
        </w:rPr>
        <w:t>o</w:t>
      </w:r>
      <w:r w:rsidR="00900B0E" w:rsidRPr="006D2566">
        <w:rPr>
          <w:rFonts w:cs="Arial"/>
        </w:rPr>
        <w:t>uv</w:t>
      </w:r>
      <w:r w:rsidR="00B53575" w:rsidRPr="006D2566">
        <w:rPr>
          <w:rFonts w:cs="Arial"/>
        </w:rPr>
        <w:t>y</w:t>
      </w:r>
      <w:r w:rsidR="00900B0E" w:rsidRPr="006D2566">
        <w:rPr>
          <w:rFonts w:cs="Arial"/>
        </w:rPr>
        <w:t xml:space="preserve">) </w:t>
      </w:r>
      <w:r w:rsidR="00DF681D" w:rsidRPr="006D2566">
        <w:rPr>
          <w:rFonts w:cs="Arial"/>
        </w:rPr>
        <w:t>v daném kalendářním roce, je pokuta počítána za celý kalendářní rok, ve kterém nebyl výstup naplněn, a to poměrně podle míry nenaplnění.</w:t>
      </w:r>
      <w:r w:rsidR="00B31D32" w:rsidRPr="006D2566">
        <w:rPr>
          <w:rFonts w:cs="Arial"/>
        </w:rPr>
        <w:t xml:space="preserve"> Nenaplněná hodnota indikátoru jednoho roku se nepřičítá k hodnotě roku následujícího.</w:t>
      </w:r>
    </w:p>
    <w:p w14:paraId="73029007" w14:textId="77777777" w:rsidR="009E6E02" w:rsidRPr="006D2566" w:rsidRDefault="009E6E02"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Vzorec výpočtu smluvní pokuty tedy je: nenaplněná míra indikátoru/požadovaná hodnota indikátoru</w:t>
      </w:r>
      <w:r w:rsidR="00C377F8" w:rsidRPr="006D2566">
        <w:rPr>
          <w:rFonts w:cs="Arial"/>
        </w:rPr>
        <w:t xml:space="preserve"> (4)</w:t>
      </w:r>
      <w:r w:rsidRPr="006D2566">
        <w:rPr>
          <w:rFonts w:cs="Arial"/>
        </w:rPr>
        <w:t xml:space="preserve"> * </w:t>
      </w:r>
      <w:r w:rsidR="009F37F8" w:rsidRPr="006D2566">
        <w:rPr>
          <w:rFonts w:cs="Arial"/>
        </w:rPr>
        <w:t>2</w:t>
      </w:r>
      <w:r w:rsidRPr="006D2566">
        <w:rPr>
          <w:rFonts w:cs="Arial"/>
        </w:rPr>
        <w:t>000 Kč * počet dnů kalendářního roku.</w:t>
      </w:r>
    </w:p>
    <w:p w14:paraId="445C424C" w14:textId="77777777" w:rsidR="00832BE6" w:rsidRPr="006D2566" w:rsidRDefault="00D06B03"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Při částečném naplnění indikátoru bude smluvní pokuta </w:t>
      </w:r>
      <w:r w:rsidR="00A87419" w:rsidRPr="006D2566">
        <w:rPr>
          <w:rFonts w:cs="Arial"/>
        </w:rPr>
        <w:t xml:space="preserve">za kalendářní rok </w:t>
      </w:r>
      <w:r w:rsidRPr="006D2566">
        <w:rPr>
          <w:rFonts w:cs="Arial"/>
        </w:rPr>
        <w:t>vypočítávána poměrně dle míry nenaplnění.</w:t>
      </w:r>
      <w:r w:rsidR="00A87419" w:rsidRPr="006D2566">
        <w:rPr>
          <w:rFonts w:cs="Arial"/>
        </w:rPr>
        <w:t xml:space="preserve"> </w:t>
      </w:r>
      <w:r w:rsidR="00832BE6" w:rsidRPr="006D2566">
        <w:rPr>
          <w:rFonts w:cs="Arial"/>
        </w:rPr>
        <w:t>Tj. pokud např. v roce 20</w:t>
      </w:r>
      <w:r w:rsidR="004F20A7" w:rsidRPr="006D2566">
        <w:rPr>
          <w:rFonts w:cs="Arial"/>
        </w:rPr>
        <w:t>25</w:t>
      </w:r>
      <w:r w:rsidR="00832BE6" w:rsidRPr="006D2566">
        <w:rPr>
          <w:rFonts w:cs="Arial"/>
        </w:rPr>
        <w:t xml:space="preserve"> budou současně účinné 3 smlouvy, místo požadovaných 4, </w:t>
      </w:r>
      <w:r w:rsidR="004F20A7" w:rsidRPr="006D2566">
        <w:rPr>
          <w:rFonts w:cs="Arial"/>
        </w:rPr>
        <w:t xml:space="preserve">vznikne Kraji nárok na smluvní pokutu </w:t>
      </w:r>
      <w:r w:rsidR="00832BE6" w:rsidRPr="006D2566">
        <w:rPr>
          <w:rFonts w:cs="Arial"/>
        </w:rPr>
        <w:t>ve výši</w:t>
      </w:r>
      <w:r w:rsidR="00771161" w:rsidRPr="006D2566">
        <w:rPr>
          <w:rFonts w:cs="Arial"/>
        </w:rPr>
        <w:t xml:space="preserve"> nenaplnění, tedy</w:t>
      </w:r>
      <w:r w:rsidR="00832BE6" w:rsidRPr="006D2566">
        <w:rPr>
          <w:rFonts w:cs="Arial"/>
        </w:rPr>
        <w:t xml:space="preserve"> ¼ z </w:t>
      </w:r>
      <w:r w:rsidR="009F37F8" w:rsidRPr="006D2566">
        <w:rPr>
          <w:rFonts w:cs="Arial"/>
        </w:rPr>
        <w:t>2</w:t>
      </w:r>
      <w:r w:rsidR="00832BE6" w:rsidRPr="006D2566">
        <w:rPr>
          <w:rFonts w:cs="Arial"/>
        </w:rPr>
        <w:t>000 Kč za každý den kalendářního roku</w:t>
      </w:r>
      <w:r w:rsidR="004F20A7" w:rsidRPr="006D2566">
        <w:rPr>
          <w:rFonts w:cs="Arial"/>
        </w:rPr>
        <w:t xml:space="preserve"> 2025</w:t>
      </w:r>
      <w:r w:rsidR="00832BE6" w:rsidRPr="006D2566">
        <w:rPr>
          <w:rFonts w:cs="Arial"/>
        </w:rPr>
        <w:t xml:space="preserve">. </w:t>
      </w:r>
    </w:p>
    <w:p w14:paraId="22682ADD" w14:textId="77777777" w:rsidR="00342210" w:rsidRPr="006D2566" w:rsidRDefault="00A87419"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Současně k 31.12.2034 bude vyhodnocen</w:t>
      </w:r>
      <w:r w:rsidR="00B36CCC" w:rsidRPr="006D2566">
        <w:rPr>
          <w:rFonts w:cs="Arial"/>
        </w:rPr>
        <w:t xml:space="preserve"> celkový </w:t>
      </w:r>
      <w:r w:rsidR="00B3548A" w:rsidRPr="006D2566">
        <w:rPr>
          <w:rFonts w:cs="Arial"/>
        </w:rPr>
        <w:t>uzavřený</w:t>
      </w:r>
      <w:r w:rsidR="00B36CCC" w:rsidRPr="006D2566">
        <w:rPr>
          <w:rFonts w:cs="Arial"/>
        </w:rPr>
        <w:t xml:space="preserve"> počet smluv</w:t>
      </w:r>
      <w:r w:rsidR="00B3548A" w:rsidRPr="006D2566">
        <w:rPr>
          <w:rFonts w:cs="Arial"/>
        </w:rPr>
        <w:t xml:space="preserve"> za celou dobu trvání smlouvy</w:t>
      </w:r>
      <w:r w:rsidR="00B36CCC" w:rsidRPr="006D2566">
        <w:rPr>
          <w:rFonts w:cs="Arial"/>
        </w:rPr>
        <w:t xml:space="preserve">. Pokud nebude naplněna celková hodnota indikátoru, pak bude sankcionováno </w:t>
      </w:r>
      <w:r w:rsidR="00BB10D8" w:rsidRPr="006D2566">
        <w:rPr>
          <w:rFonts w:cs="Arial"/>
        </w:rPr>
        <w:t xml:space="preserve">částečně nenaplnění indikátoru za celou dobu trvání smlouvy. </w:t>
      </w:r>
      <w:r w:rsidR="00B3548A" w:rsidRPr="006D2566">
        <w:rPr>
          <w:rFonts w:cs="Arial"/>
        </w:rPr>
        <w:t>Tj. p</w:t>
      </w:r>
      <w:r w:rsidR="00D71EDF" w:rsidRPr="006D2566">
        <w:rPr>
          <w:rFonts w:cs="Arial"/>
        </w:rPr>
        <w:t xml:space="preserve">okud k 31.12.2034 bude vyhodnoceno, že za celou dobu trvání smlouvy </w:t>
      </w:r>
      <w:r w:rsidR="00342210" w:rsidRPr="006D2566">
        <w:rPr>
          <w:rFonts w:cs="Arial"/>
        </w:rPr>
        <w:t>bylo uzavřeno např. 28 místo požadovaných 30 smluv, pak bude smluvní pokuta činit 2/30 z </w:t>
      </w:r>
      <w:r w:rsidR="009F37F8" w:rsidRPr="006D2566">
        <w:rPr>
          <w:rFonts w:cs="Arial"/>
        </w:rPr>
        <w:t>2</w:t>
      </w:r>
      <w:r w:rsidR="00342210" w:rsidRPr="006D2566">
        <w:rPr>
          <w:rFonts w:cs="Arial"/>
        </w:rPr>
        <w:t>000 Kč za každý den trvání smlouvy od data účinnosti do 31.12.2034.</w:t>
      </w:r>
    </w:p>
    <w:p w14:paraId="11411E2E" w14:textId="77777777" w:rsidR="00342210" w:rsidRPr="006D2566" w:rsidRDefault="008B28F2"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lastRenderedPageBreak/>
        <w:t xml:space="preserve">Vzorec výpočtu smluvní pokuty tedy je: nenaplněná míra indikátoru/požadovaná hodnota indikátoru </w:t>
      </w:r>
      <w:r w:rsidR="00C377F8" w:rsidRPr="006D2566">
        <w:rPr>
          <w:rFonts w:cs="Arial"/>
        </w:rPr>
        <w:t xml:space="preserve">(30) </w:t>
      </w:r>
      <w:r w:rsidRPr="006D2566">
        <w:rPr>
          <w:rFonts w:cs="Arial"/>
        </w:rPr>
        <w:t xml:space="preserve">* </w:t>
      </w:r>
      <w:r w:rsidR="009F37F8" w:rsidRPr="006D2566">
        <w:rPr>
          <w:rFonts w:cs="Arial"/>
        </w:rPr>
        <w:t>2</w:t>
      </w:r>
      <w:r w:rsidRPr="006D2566">
        <w:rPr>
          <w:rFonts w:cs="Arial"/>
        </w:rPr>
        <w:t xml:space="preserve">000 Kč * počet dnů </w:t>
      </w:r>
      <w:r w:rsidR="004467F5" w:rsidRPr="006D2566">
        <w:rPr>
          <w:rFonts w:cs="Arial"/>
        </w:rPr>
        <w:t>účinnosti</w:t>
      </w:r>
      <w:r w:rsidR="00C377F8" w:rsidRPr="006D2566">
        <w:rPr>
          <w:rFonts w:cs="Arial"/>
        </w:rPr>
        <w:t xml:space="preserve"> smlouvy</w:t>
      </w:r>
      <w:r w:rsidRPr="006D2566">
        <w:rPr>
          <w:rFonts w:cs="Arial"/>
        </w:rPr>
        <w:t>.</w:t>
      </w:r>
    </w:p>
    <w:p w14:paraId="0A2F7F8A" w14:textId="77777777" w:rsidR="008B28F2" w:rsidRPr="006D2566" w:rsidRDefault="008B28F2" w:rsidP="00266B36">
      <w:pPr>
        <w:widowControl w:val="0"/>
        <w:tabs>
          <w:tab w:val="left" w:pos="-1980"/>
          <w:tab w:val="left" w:pos="426"/>
        </w:tabs>
        <w:adjustRightInd w:val="0"/>
        <w:spacing w:after="120" w:line="240" w:lineRule="auto"/>
        <w:jc w:val="both"/>
        <w:textAlignment w:val="baseline"/>
        <w:outlineLvl w:val="0"/>
        <w:rPr>
          <w:rFonts w:cs="Arial"/>
        </w:rPr>
      </w:pPr>
    </w:p>
    <w:p w14:paraId="5B3C86C8" w14:textId="2A2C0417" w:rsidR="00F23143" w:rsidRPr="006D2566" w:rsidRDefault="00F23143"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Ad o) Je sledováno naplnění hodnoty každého kalendářního roku. Částečné naplnění je možné. Pokud nebude dosažena příslušná hodnota indikátoru – počet přijatých studentů v daném kalendářním roce, je pokuta počítána za celý kalendářní rok, ve kterém nebyl výstup naplněn, a to poměrně podle míry nenaplnění. Nenaplněná hodnota indikátoru se nepřičítá k hodnotě roku následujícího.</w:t>
      </w:r>
      <w:r w:rsidR="00C06970" w:rsidRPr="006D2566">
        <w:rPr>
          <w:rFonts w:cs="Arial"/>
        </w:rPr>
        <w:t xml:space="preserve"> </w:t>
      </w:r>
    </w:p>
    <w:p w14:paraId="3C0B8298" w14:textId="3BDE5404" w:rsidR="00F23143" w:rsidRPr="006D2566" w:rsidRDefault="00F23143"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Vzorec výpočtu smluvní pokuty tedy je: nenaplněná míra indikátoru /požadovaná hodnota indikátoru * </w:t>
      </w:r>
      <w:r w:rsidR="009F37F8" w:rsidRPr="006D2566">
        <w:rPr>
          <w:rFonts w:cs="Arial"/>
        </w:rPr>
        <w:t>2</w:t>
      </w:r>
      <w:r w:rsidRPr="006D2566">
        <w:rPr>
          <w:rFonts w:cs="Arial"/>
        </w:rPr>
        <w:t>000 Kč * počet dnů kalendářního roku</w:t>
      </w:r>
      <w:r w:rsidR="00065D8D" w:rsidRPr="006D2566">
        <w:rPr>
          <w:rFonts w:cs="Arial"/>
        </w:rPr>
        <w:t>.</w:t>
      </w:r>
    </w:p>
    <w:p w14:paraId="209DD631" w14:textId="77777777" w:rsidR="00F23143" w:rsidRPr="006D2566" w:rsidRDefault="00F23143"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Tj. pokud např. v kalendářním roce 2027 bude ke studiu přijato 200 studentů namísto požadovaných </w:t>
      </w:r>
      <w:r w:rsidR="00ED2ED7" w:rsidRPr="006D2566">
        <w:rPr>
          <w:rFonts w:cs="Arial"/>
        </w:rPr>
        <w:t>208</w:t>
      </w:r>
      <w:r w:rsidRPr="006D2566">
        <w:rPr>
          <w:rFonts w:cs="Arial"/>
        </w:rPr>
        <w:t xml:space="preserve">, pak vznikne Kraji nárok na smluvní pokutu ve výši nenaplnění, tedy </w:t>
      </w:r>
      <w:r w:rsidR="00ED2ED7" w:rsidRPr="006D2566">
        <w:rPr>
          <w:rFonts w:cs="Arial"/>
        </w:rPr>
        <w:t>8</w:t>
      </w:r>
      <w:r w:rsidRPr="006D2566">
        <w:rPr>
          <w:rFonts w:cs="Arial"/>
        </w:rPr>
        <w:t>/20</w:t>
      </w:r>
      <w:r w:rsidR="00ED2ED7" w:rsidRPr="006D2566">
        <w:rPr>
          <w:rFonts w:cs="Arial"/>
        </w:rPr>
        <w:t>8</w:t>
      </w:r>
      <w:r w:rsidRPr="006D2566">
        <w:rPr>
          <w:rFonts w:cs="Arial"/>
        </w:rPr>
        <w:t xml:space="preserve"> z </w:t>
      </w:r>
      <w:r w:rsidR="009F37F8" w:rsidRPr="006D2566">
        <w:rPr>
          <w:rFonts w:cs="Arial"/>
        </w:rPr>
        <w:t>2</w:t>
      </w:r>
      <w:r w:rsidRPr="006D2566">
        <w:rPr>
          <w:rFonts w:cs="Arial"/>
        </w:rPr>
        <w:t xml:space="preserve">000 Kč za </w:t>
      </w:r>
      <w:bookmarkStart w:id="4" w:name="_Hlk163636806"/>
      <w:r w:rsidRPr="006D2566">
        <w:rPr>
          <w:rFonts w:cs="Arial"/>
        </w:rPr>
        <w:t>každý den kalendářního roku 2027.</w:t>
      </w:r>
      <w:bookmarkEnd w:id="4"/>
      <w:r w:rsidRPr="006D2566">
        <w:rPr>
          <w:rFonts w:cs="Arial"/>
        </w:rPr>
        <w:t xml:space="preserve"> </w:t>
      </w:r>
    </w:p>
    <w:p w14:paraId="622EC887" w14:textId="5512B45B" w:rsidR="00BB10D8" w:rsidRPr="006D2566" w:rsidRDefault="00C06970" w:rsidP="00D678C8">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Indikátor je splněn pouze v případě, že je naplněn celkový počet míst a současně také požadovaný počet míst v určených </w:t>
      </w:r>
      <w:r w:rsidR="004843F7" w:rsidRPr="006D2566">
        <w:rPr>
          <w:rFonts w:cs="Arial"/>
        </w:rPr>
        <w:t>programech</w:t>
      </w:r>
      <w:r w:rsidRPr="006D2566">
        <w:rPr>
          <w:rFonts w:cs="Arial"/>
        </w:rPr>
        <w:t>.</w:t>
      </w:r>
    </w:p>
    <w:p w14:paraId="17D558AA" w14:textId="6531A557" w:rsidR="00C06970" w:rsidRPr="006D2566" w:rsidRDefault="007F1DD0" w:rsidP="00D678C8">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Pokud bude naplněn celkový počet studentů, ale nebude naplněn počet studentů v požadovaném programu, pak se vypočte smluvní pokuta z nenaplněné míry požadovaného počtu studentů takto:</w:t>
      </w:r>
    </w:p>
    <w:p w14:paraId="725AAA58" w14:textId="05236B8E" w:rsidR="009410C8" w:rsidRPr="006D2566" w:rsidRDefault="009410C8" w:rsidP="009410C8">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nenaplněná míra požadovaného počtu studentů konkrétního </w:t>
      </w:r>
      <w:r w:rsidR="004843F7" w:rsidRPr="006D2566">
        <w:rPr>
          <w:rFonts w:cs="Arial"/>
        </w:rPr>
        <w:t xml:space="preserve">programu </w:t>
      </w:r>
      <w:r w:rsidRPr="006D2566">
        <w:rPr>
          <w:rFonts w:cs="Arial"/>
        </w:rPr>
        <w:t xml:space="preserve">/požadovaná hodnota počtu studentů konkrétního </w:t>
      </w:r>
      <w:r w:rsidR="004843F7" w:rsidRPr="006D2566">
        <w:rPr>
          <w:rFonts w:cs="Arial"/>
        </w:rPr>
        <w:t xml:space="preserve">programu </w:t>
      </w:r>
      <w:r w:rsidRPr="006D2566">
        <w:rPr>
          <w:rFonts w:cs="Arial"/>
        </w:rPr>
        <w:t>* 2000 Kč * počet dnů kalendářního roku</w:t>
      </w:r>
      <w:r w:rsidR="00065D8D" w:rsidRPr="006D2566">
        <w:rPr>
          <w:rFonts w:cs="Arial"/>
        </w:rPr>
        <w:t>.</w:t>
      </w:r>
    </w:p>
    <w:p w14:paraId="264ED1B4" w14:textId="66974D6E" w:rsidR="009410C8" w:rsidRPr="006D2566" w:rsidRDefault="009410C8" w:rsidP="009410C8">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Tj. pokud např. v kalendářním roce bude ke studiu přijato </w:t>
      </w:r>
      <w:r w:rsidR="00E30E77" w:rsidRPr="006D2566">
        <w:rPr>
          <w:rFonts w:cs="Arial"/>
        </w:rPr>
        <w:t xml:space="preserve">230 studentů, ale v programu „Strojírenství a výrobní technologie“ jich bude přijato jen 50 namísto požadovaných 96, vypočte se smluvní pokuta ve výši nenaplnění, tedy </w:t>
      </w:r>
      <w:r w:rsidR="00C96198" w:rsidRPr="006D2566">
        <w:rPr>
          <w:rFonts w:cs="Arial"/>
        </w:rPr>
        <w:t>46/96 z 2000 Kč za každý den kalendářního roku 2027.</w:t>
      </w:r>
    </w:p>
    <w:p w14:paraId="01564757" w14:textId="77777777" w:rsidR="007F1DD0" w:rsidRPr="006D2566" w:rsidRDefault="007F1DD0" w:rsidP="00D678C8">
      <w:pPr>
        <w:widowControl w:val="0"/>
        <w:tabs>
          <w:tab w:val="left" w:pos="-1980"/>
          <w:tab w:val="left" w:pos="426"/>
        </w:tabs>
        <w:adjustRightInd w:val="0"/>
        <w:spacing w:after="120" w:line="240" w:lineRule="auto"/>
        <w:jc w:val="both"/>
        <w:textAlignment w:val="baseline"/>
        <w:outlineLvl w:val="0"/>
        <w:rPr>
          <w:rFonts w:cs="Arial"/>
        </w:rPr>
      </w:pPr>
    </w:p>
    <w:p w14:paraId="37CFBBC2" w14:textId="77777777" w:rsidR="004270C3" w:rsidRPr="006D2566" w:rsidRDefault="0049133A"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Ad 1.1.3</w:t>
      </w:r>
      <w:r w:rsidR="008F7EE2" w:rsidRPr="006D2566">
        <w:rPr>
          <w:rFonts w:cs="Arial"/>
        </w:rPr>
        <w:t xml:space="preserve">) </w:t>
      </w:r>
      <w:r w:rsidR="00A270BC" w:rsidRPr="006D2566">
        <w:rPr>
          <w:rFonts w:cs="Arial"/>
        </w:rPr>
        <w:t>S</w:t>
      </w:r>
      <w:r w:rsidR="008F7EE2" w:rsidRPr="006D2566">
        <w:rPr>
          <w:rFonts w:cs="Arial"/>
        </w:rPr>
        <w:t xml:space="preserve">mluvní pokutou je sankcionováno také pozdní </w:t>
      </w:r>
      <w:r w:rsidR="00AB0734" w:rsidRPr="006D2566">
        <w:rPr>
          <w:rFonts w:cs="Arial"/>
        </w:rPr>
        <w:t>odevzdání</w:t>
      </w:r>
      <w:r w:rsidR="008F7EE2" w:rsidRPr="006D2566">
        <w:rPr>
          <w:rFonts w:cs="Arial"/>
        </w:rPr>
        <w:t xml:space="preserve"> každoroční zprávy, a to </w:t>
      </w:r>
      <w:r w:rsidR="009F37F8" w:rsidRPr="006D2566">
        <w:rPr>
          <w:rFonts w:cs="Arial"/>
        </w:rPr>
        <w:t>2</w:t>
      </w:r>
      <w:r w:rsidR="008F7EE2" w:rsidRPr="006D2566">
        <w:rPr>
          <w:rFonts w:cs="Arial"/>
        </w:rPr>
        <w:t xml:space="preserve">000 Kč za každý den </w:t>
      </w:r>
      <w:proofErr w:type="gramStart"/>
      <w:r w:rsidR="008F7EE2" w:rsidRPr="006D2566">
        <w:rPr>
          <w:rFonts w:cs="Arial"/>
        </w:rPr>
        <w:t>prodlení</w:t>
      </w:r>
      <w:r w:rsidR="00CB1874" w:rsidRPr="006D2566">
        <w:rPr>
          <w:rFonts w:cs="Arial"/>
        </w:rPr>
        <w:t xml:space="preserve"> -</w:t>
      </w:r>
      <w:r w:rsidR="005E03C5" w:rsidRPr="006D2566">
        <w:rPr>
          <w:rFonts w:cs="Arial"/>
        </w:rPr>
        <w:t xml:space="preserve"> počít</w:t>
      </w:r>
      <w:r w:rsidR="00AF339C" w:rsidRPr="006D2566">
        <w:rPr>
          <w:rFonts w:cs="Arial"/>
        </w:rPr>
        <w:t>á</w:t>
      </w:r>
      <w:r w:rsidR="005E03C5" w:rsidRPr="006D2566">
        <w:rPr>
          <w:rFonts w:cs="Arial"/>
        </w:rPr>
        <w:t>no</w:t>
      </w:r>
      <w:proofErr w:type="gramEnd"/>
      <w:r w:rsidR="008F7EE2" w:rsidRPr="006D2566">
        <w:rPr>
          <w:rFonts w:cs="Arial"/>
        </w:rPr>
        <w:t xml:space="preserve"> od</w:t>
      </w:r>
      <w:r w:rsidR="005A6FDC" w:rsidRPr="006D2566">
        <w:rPr>
          <w:rFonts w:cs="Arial"/>
        </w:rPr>
        <w:t>e dne následujícího po ter</w:t>
      </w:r>
      <w:r w:rsidR="00AB0734" w:rsidRPr="006D2566">
        <w:rPr>
          <w:rFonts w:cs="Arial"/>
        </w:rPr>
        <w:t>m</w:t>
      </w:r>
      <w:r w:rsidR="005A6FDC" w:rsidRPr="006D2566">
        <w:rPr>
          <w:rFonts w:cs="Arial"/>
        </w:rPr>
        <w:t xml:space="preserve">ínu pro </w:t>
      </w:r>
      <w:r w:rsidR="00AB0734" w:rsidRPr="006D2566">
        <w:rPr>
          <w:rFonts w:cs="Arial"/>
        </w:rPr>
        <w:t>odevzdání</w:t>
      </w:r>
      <w:r w:rsidR="005A6FDC" w:rsidRPr="006D2566">
        <w:rPr>
          <w:rFonts w:cs="Arial"/>
        </w:rPr>
        <w:t xml:space="preserve"> zprávy až do jejího řádného odevzdání. Řádným odevzdáním se rozumí odevzdání zprávy, jejímž obsahem je hodnocení každého indikátoru dle 1.1.2.</w:t>
      </w:r>
      <w:r w:rsidR="00AB0734" w:rsidRPr="006D2566">
        <w:rPr>
          <w:rFonts w:cs="Arial"/>
        </w:rPr>
        <w:t xml:space="preserve"> spolu s požadovanými daty a přílohami.</w:t>
      </w:r>
      <w:r w:rsidR="005E03C5" w:rsidRPr="006D2566">
        <w:rPr>
          <w:rFonts w:cs="Arial"/>
        </w:rPr>
        <w:t xml:space="preserve"> Pokud ve zprávě bude chybět vyhodnocení kteréhokoliv indikátoru </w:t>
      </w:r>
      <w:r w:rsidR="00D678C8" w:rsidRPr="006D2566">
        <w:rPr>
          <w:rFonts w:cs="Arial"/>
        </w:rPr>
        <w:t>[</w:t>
      </w:r>
      <w:r w:rsidR="005E03C5" w:rsidRPr="006D2566">
        <w:rPr>
          <w:rFonts w:cs="Arial"/>
        </w:rPr>
        <w:t xml:space="preserve">kromě </w:t>
      </w:r>
      <w:r w:rsidR="00A16502" w:rsidRPr="006D2566">
        <w:rPr>
          <w:rFonts w:cs="Arial"/>
        </w:rPr>
        <w:t>1.1.2 j), který je hodnocen jen v letech konání průzkumu</w:t>
      </w:r>
      <w:r w:rsidR="009951DC" w:rsidRPr="006D2566">
        <w:rPr>
          <w:rFonts w:cs="Arial"/>
        </w:rPr>
        <w:t xml:space="preserve"> a musí být součástí zprávy jen za roky, </w:t>
      </w:r>
      <w:r w:rsidR="00FB734D" w:rsidRPr="006D2566">
        <w:rPr>
          <w:rFonts w:cs="Arial"/>
        </w:rPr>
        <w:t>v nichž podle smlouvy má být konán</w:t>
      </w:r>
      <w:r w:rsidR="00D678C8" w:rsidRPr="006D2566">
        <w:rPr>
          <w:rFonts w:cs="Arial"/>
        </w:rPr>
        <w:t>]</w:t>
      </w:r>
      <w:r w:rsidR="00A16502" w:rsidRPr="006D2566">
        <w:rPr>
          <w:rFonts w:cs="Arial"/>
        </w:rPr>
        <w:t>, p</w:t>
      </w:r>
      <w:r w:rsidR="00CB1874" w:rsidRPr="006D2566">
        <w:rPr>
          <w:rFonts w:cs="Arial"/>
        </w:rPr>
        <w:t>ak není zpráva odevzdána řádně.</w:t>
      </w:r>
    </w:p>
    <w:p w14:paraId="3762DDB7" w14:textId="77777777" w:rsidR="001259EB" w:rsidRPr="006D2566" w:rsidRDefault="001259EB" w:rsidP="00BB10D8">
      <w:pPr>
        <w:widowControl w:val="0"/>
        <w:tabs>
          <w:tab w:val="left" w:pos="-1980"/>
          <w:tab w:val="left" w:pos="426"/>
        </w:tabs>
        <w:adjustRightInd w:val="0"/>
        <w:spacing w:after="120" w:line="240" w:lineRule="auto"/>
        <w:ind w:left="360"/>
        <w:jc w:val="both"/>
        <w:textAlignment w:val="baseline"/>
        <w:outlineLvl w:val="0"/>
        <w:rPr>
          <w:rFonts w:cs="Arial"/>
        </w:rPr>
      </w:pPr>
    </w:p>
    <w:p w14:paraId="66E07FF5" w14:textId="77777777" w:rsidR="003E10E4" w:rsidRPr="006D2566" w:rsidRDefault="00017CBA" w:rsidP="00266B36">
      <w:pPr>
        <w:widowControl w:val="0"/>
        <w:tabs>
          <w:tab w:val="left" w:pos="-1980"/>
          <w:tab w:val="left" w:pos="426"/>
        </w:tabs>
        <w:adjustRightInd w:val="0"/>
        <w:spacing w:after="120" w:line="240" w:lineRule="auto"/>
        <w:jc w:val="both"/>
        <w:textAlignment w:val="baseline"/>
        <w:outlineLvl w:val="0"/>
        <w:rPr>
          <w:rFonts w:cs="Arial"/>
          <w:u w:val="single"/>
        </w:rPr>
      </w:pPr>
      <w:r w:rsidRPr="006D2566">
        <w:rPr>
          <w:rFonts w:cs="Arial"/>
          <w:u w:val="single"/>
        </w:rPr>
        <w:t xml:space="preserve">1.1.4.2. </w:t>
      </w:r>
      <w:r w:rsidR="003E10E4" w:rsidRPr="006D2566">
        <w:rPr>
          <w:rFonts w:cs="Arial"/>
          <w:u w:val="single"/>
        </w:rPr>
        <w:t>S</w:t>
      </w:r>
      <w:r w:rsidRPr="006D2566">
        <w:rPr>
          <w:rFonts w:cs="Arial"/>
          <w:u w:val="single"/>
        </w:rPr>
        <w:t>polečná ustanovení</w:t>
      </w:r>
      <w:r w:rsidR="003E10E4" w:rsidRPr="006D2566">
        <w:rPr>
          <w:rFonts w:cs="Arial"/>
          <w:u w:val="single"/>
        </w:rPr>
        <w:t xml:space="preserve"> ke smluvním pokutám</w:t>
      </w:r>
    </w:p>
    <w:p w14:paraId="4D99C8F9" w14:textId="77777777" w:rsidR="00253421" w:rsidRPr="006D2566" w:rsidRDefault="00253421"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 xml:space="preserve">Vyhodnocení naplnění výstupů dle bodu 1.1.2 </w:t>
      </w:r>
      <w:r w:rsidR="00764789" w:rsidRPr="006D2566">
        <w:rPr>
          <w:rFonts w:cs="Arial"/>
        </w:rPr>
        <w:t xml:space="preserve">za účelem stanovení smluvních pokut </w:t>
      </w:r>
      <w:r w:rsidRPr="006D2566">
        <w:rPr>
          <w:rFonts w:cs="Arial"/>
        </w:rPr>
        <w:t xml:space="preserve">bude probíhat vždy na základě každoroční zprávy dle 1.1.3. </w:t>
      </w:r>
      <w:r w:rsidR="00E46A90" w:rsidRPr="006D2566">
        <w:rPr>
          <w:rFonts w:cs="Arial"/>
        </w:rPr>
        <w:t>V případě ne</w:t>
      </w:r>
      <w:r w:rsidR="00C378D6" w:rsidRPr="006D2566">
        <w:rPr>
          <w:rFonts w:cs="Arial"/>
        </w:rPr>
        <w:t xml:space="preserve">souladu mezi stranami </w:t>
      </w:r>
      <w:r w:rsidR="00B36690" w:rsidRPr="006D2566">
        <w:rPr>
          <w:rFonts w:cs="Arial"/>
        </w:rPr>
        <w:t>týkající</w:t>
      </w:r>
      <w:r w:rsidR="00712B59" w:rsidRPr="006D2566">
        <w:rPr>
          <w:rFonts w:cs="Arial"/>
        </w:rPr>
        <w:t>ho</w:t>
      </w:r>
      <w:r w:rsidR="00B36690" w:rsidRPr="006D2566">
        <w:rPr>
          <w:rFonts w:cs="Arial"/>
        </w:rPr>
        <w:t xml:space="preserve"> se</w:t>
      </w:r>
      <w:r w:rsidR="00C378D6" w:rsidRPr="006D2566">
        <w:rPr>
          <w:rFonts w:cs="Arial"/>
        </w:rPr>
        <w:t> mí</w:t>
      </w:r>
      <w:r w:rsidR="00B36690" w:rsidRPr="006D2566">
        <w:rPr>
          <w:rFonts w:cs="Arial"/>
        </w:rPr>
        <w:t>ry</w:t>
      </w:r>
      <w:r w:rsidR="00C378D6" w:rsidRPr="006D2566">
        <w:rPr>
          <w:rFonts w:cs="Arial"/>
        </w:rPr>
        <w:t xml:space="preserve"> naplnění indikátorů, zavazují se smluvní strany pokusit se o smírné řešení. </w:t>
      </w:r>
      <w:r w:rsidRPr="006D2566">
        <w:rPr>
          <w:rFonts w:cs="Arial"/>
        </w:rPr>
        <w:t>Po tomto vyhodnocení bude Krajem vystavena Univerzitě faktura ve výši součtu smluvních pokut, na něž vznikl v důsledku nenaplnění výstupů</w:t>
      </w:r>
      <w:r w:rsidR="00030E42" w:rsidRPr="006D2566">
        <w:rPr>
          <w:rFonts w:cs="Arial"/>
        </w:rPr>
        <w:t xml:space="preserve"> </w:t>
      </w:r>
      <w:r w:rsidR="00895E5C" w:rsidRPr="006D2566">
        <w:rPr>
          <w:rFonts w:cs="Arial"/>
        </w:rPr>
        <w:t>a pozdního</w:t>
      </w:r>
      <w:r w:rsidR="00030E42" w:rsidRPr="006D2566">
        <w:rPr>
          <w:rFonts w:cs="Arial"/>
        </w:rPr>
        <w:t xml:space="preserve"> odevzdání zprávy, </w:t>
      </w:r>
      <w:r w:rsidRPr="006D2566">
        <w:rPr>
          <w:rFonts w:cs="Arial"/>
        </w:rPr>
        <w:t xml:space="preserve">nárok, a to i v případě, že nenaplnění bude </w:t>
      </w:r>
      <w:r w:rsidR="008716B4" w:rsidRPr="006D2566">
        <w:rPr>
          <w:rFonts w:cs="Arial"/>
        </w:rPr>
        <w:t xml:space="preserve">k datu vystavení faktury </w:t>
      </w:r>
      <w:r w:rsidRPr="006D2566">
        <w:rPr>
          <w:rFonts w:cs="Arial"/>
        </w:rPr>
        <w:t xml:space="preserve">trvající [např. zahájení výuky dle bodu 1.1.2.a)], v takovém případě bude faktura vystavena za každé období </w:t>
      </w:r>
      <w:r w:rsidR="008716B4" w:rsidRPr="006D2566">
        <w:rPr>
          <w:rFonts w:cs="Arial"/>
        </w:rPr>
        <w:t xml:space="preserve">(tj. kalendářní či akademický rok) </w:t>
      </w:r>
      <w:r w:rsidRPr="006D2566">
        <w:rPr>
          <w:rFonts w:cs="Arial"/>
        </w:rPr>
        <w:t xml:space="preserve">trvání nenaplnění zvlášť. </w:t>
      </w:r>
      <w:r w:rsidR="00644887" w:rsidRPr="006D2566">
        <w:rPr>
          <w:rFonts w:cs="Arial"/>
        </w:rPr>
        <w:t xml:space="preserve">Smluvní strany sjednávají splatnost smluvních pokut na </w:t>
      </w:r>
      <w:r w:rsidR="00140F94" w:rsidRPr="006D2566">
        <w:rPr>
          <w:rFonts w:cs="Arial"/>
        </w:rPr>
        <w:t>30</w:t>
      </w:r>
      <w:r w:rsidR="00644887" w:rsidRPr="006D2566">
        <w:rPr>
          <w:rFonts w:cs="Arial"/>
        </w:rPr>
        <w:t xml:space="preserve"> kalendářních dnů ode dne </w:t>
      </w:r>
      <w:r w:rsidR="004844B1" w:rsidRPr="006D2566">
        <w:rPr>
          <w:rFonts w:cs="Arial"/>
        </w:rPr>
        <w:t xml:space="preserve">jejich </w:t>
      </w:r>
      <w:r w:rsidR="00644887" w:rsidRPr="006D2566">
        <w:rPr>
          <w:rFonts w:cs="Arial"/>
        </w:rPr>
        <w:t>doručení.</w:t>
      </w:r>
    </w:p>
    <w:p w14:paraId="1FBFD2AC" w14:textId="1190BB3A" w:rsidR="00A90F61" w:rsidRPr="006D2566" w:rsidRDefault="00A90F61"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Pokud nebude indikátor naplněn v důsledku vyšší moci (</w:t>
      </w:r>
      <w:proofErr w:type="gramStart"/>
      <w:r w:rsidRPr="006D2566">
        <w:rPr>
          <w:rFonts w:cs="Arial"/>
        </w:rPr>
        <w:t>živeln</w:t>
      </w:r>
      <w:r w:rsidR="00065D8D" w:rsidRPr="006D2566">
        <w:rPr>
          <w:rFonts w:cs="Arial"/>
        </w:rPr>
        <w:t>í</w:t>
      </w:r>
      <w:proofErr w:type="gramEnd"/>
      <w:r w:rsidRPr="006D2566">
        <w:rPr>
          <w:rFonts w:cs="Arial"/>
        </w:rPr>
        <w:t xml:space="preserve"> katastrofa, pandemie), pak se sankce neuplatní a nevyčerpaná hodnota indikátoru se na následující období nepřevádí.</w:t>
      </w:r>
    </w:p>
    <w:p w14:paraId="1D01DEA3" w14:textId="77777777" w:rsidR="00CE792A" w:rsidRPr="006D2566" w:rsidRDefault="006B4892" w:rsidP="00266B36">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Není-li stanoveno jinak, jsou s</w:t>
      </w:r>
      <w:r w:rsidR="004270C3" w:rsidRPr="006D2566">
        <w:rPr>
          <w:rFonts w:cs="Arial"/>
        </w:rPr>
        <w:t xml:space="preserve">mluvní pokuty </w:t>
      </w:r>
      <w:r w:rsidR="00317974" w:rsidRPr="006D2566">
        <w:rPr>
          <w:rFonts w:cs="Arial"/>
        </w:rPr>
        <w:t>počítány do splnění, maximálně však do 31.12.2034.</w:t>
      </w:r>
      <w:r w:rsidR="00FB1D36" w:rsidRPr="006D2566">
        <w:rPr>
          <w:rFonts w:cs="Arial"/>
        </w:rPr>
        <w:t xml:space="preserve"> </w:t>
      </w:r>
      <w:r w:rsidR="00035E09" w:rsidRPr="006D2566">
        <w:rPr>
          <w:rFonts w:cs="Arial"/>
        </w:rPr>
        <w:t>Celková výše smluvních pokut za celé období trvání</w:t>
      </w:r>
      <w:r w:rsidR="00FE7279" w:rsidRPr="006D2566">
        <w:rPr>
          <w:rFonts w:cs="Arial"/>
        </w:rPr>
        <w:t xml:space="preserve"> smlouvy může dosáhnout maximálně výše dotace dle dotační smlouvy </w:t>
      </w:r>
      <w:r w:rsidR="009D1640" w:rsidRPr="006D2566">
        <w:rPr>
          <w:rFonts w:cs="Arial"/>
        </w:rPr>
        <w:t xml:space="preserve">mezi Krajem a UTB </w:t>
      </w:r>
      <w:r w:rsidR="00FE7279" w:rsidRPr="006D2566">
        <w:rPr>
          <w:rFonts w:cs="Arial"/>
        </w:rPr>
        <w:t>na výstavbu budovy U1</w:t>
      </w:r>
      <w:r w:rsidR="00DE2696" w:rsidRPr="006D2566">
        <w:rPr>
          <w:rFonts w:cs="Arial"/>
        </w:rPr>
        <w:t>, tj. 200 mil. Kč</w:t>
      </w:r>
      <w:r w:rsidR="00FE7279" w:rsidRPr="006D2566">
        <w:rPr>
          <w:rFonts w:cs="Arial"/>
        </w:rPr>
        <w:t>.</w:t>
      </w:r>
      <w:r w:rsidR="008800D4" w:rsidRPr="006D2566">
        <w:rPr>
          <w:rFonts w:cs="Arial"/>
        </w:rPr>
        <w:t xml:space="preserve"> </w:t>
      </w:r>
    </w:p>
    <w:p w14:paraId="6BC6D7FF" w14:textId="2E60642B" w:rsidR="005605AE" w:rsidRPr="006D2566" w:rsidRDefault="005605AE" w:rsidP="5DDA96DC">
      <w:pPr>
        <w:widowControl w:val="0"/>
        <w:tabs>
          <w:tab w:val="left" w:pos="426"/>
        </w:tabs>
        <w:adjustRightInd w:val="0"/>
        <w:spacing w:after="120" w:line="240" w:lineRule="auto"/>
        <w:jc w:val="both"/>
        <w:textAlignment w:val="baseline"/>
        <w:outlineLvl w:val="0"/>
        <w:rPr>
          <w:rFonts w:cs="Arial"/>
        </w:rPr>
      </w:pPr>
      <w:r w:rsidRPr="006D2566">
        <w:rPr>
          <w:rFonts w:cs="Arial"/>
        </w:rPr>
        <w:t>Smluvní strany si pro případ porušení dotační smlouvy vedoucí k odvodu za porušení rozpočtové kázně sjednávají toto pravidlo: Součet odvodu za porušení rozpočtové kázně z dotační smlouvy na výstavbu budovy U1 a smluvních pokut dle této smlouvy může dosáhnout maximálně výše 200 mil. Kč, přičemž platí, že do součtu se nezapočítává případné penále z odvodu za porušení rozpočtové kázně podle dotační smlouvy</w:t>
      </w:r>
      <w:r w:rsidR="4AD373E1" w:rsidRPr="006D2566">
        <w:rPr>
          <w:rFonts w:cs="Arial"/>
        </w:rPr>
        <w:t>.</w:t>
      </w:r>
      <w:r w:rsidRPr="006D2566">
        <w:rPr>
          <w:rFonts w:cs="Arial"/>
        </w:rPr>
        <w:t xml:space="preserve"> Pokud tedy bude např. UTB z titulu dotační smlouvy pravomocně uložen </w:t>
      </w:r>
      <w:r w:rsidR="48F34409" w:rsidRPr="006D2566">
        <w:rPr>
          <w:rFonts w:cs="Arial"/>
        </w:rPr>
        <w:t xml:space="preserve">platebním výměrem </w:t>
      </w:r>
      <w:r w:rsidRPr="006D2566">
        <w:rPr>
          <w:rFonts w:cs="Arial"/>
        </w:rPr>
        <w:t>odvod ve výši 200 mil. Kč (případně UTB tento odvod k výzvě Kraje zaplatí</w:t>
      </w:r>
      <w:r w:rsidR="5F2B2E65" w:rsidRPr="006D2566">
        <w:rPr>
          <w:rFonts w:cs="Arial"/>
        </w:rPr>
        <w:t xml:space="preserve"> ještě před vydáním platebního výměru</w:t>
      </w:r>
      <w:r w:rsidRPr="006D2566">
        <w:rPr>
          <w:rFonts w:cs="Arial"/>
        </w:rPr>
        <w:t xml:space="preserve">), pak dosud zaplacené smluvní pokuty dle této smlouvy budou </w:t>
      </w:r>
      <w:r w:rsidR="15606A96" w:rsidRPr="006D2566">
        <w:rPr>
          <w:rFonts w:cs="Arial"/>
        </w:rPr>
        <w:t>vráceny</w:t>
      </w:r>
      <w:r w:rsidRPr="006D2566">
        <w:rPr>
          <w:rFonts w:cs="Arial"/>
        </w:rPr>
        <w:t xml:space="preserve"> Krajem Univerzitě do tří měsíců ode dne vzniku nároku </w:t>
      </w:r>
      <w:r w:rsidR="7D8D4750" w:rsidRPr="006D2566">
        <w:rPr>
          <w:rFonts w:cs="Arial"/>
        </w:rPr>
        <w:t>na vrácení smluvní pokuty</w:t>
      </w:r>
      <w:r w:rsidRPr="006D2566">
        <w:rPr>
          <w:rFonts w:cs="Arial"/>
        </w:rPr>
        <w:t xml:space="preserve">, případně zaniká nárok na </w:t>
      </w:r>
      <w:r w:rsidRPr="006D2566">
        <w:rPr>
          <w:rFonts w:cs="Arial"/>
        </w:rPr>
        <w:lastRenderedPageBreak/>
        <w:t xml:space="preserve">jejich vymáhání, pokud by ještě nebyly zaplaceny v době vzniku </w:t>
      </w:r>
      <w:r w:rsidR="3449ADDD" w:rsidRPr="006D2566">
        <w:rPr>
          <w:rFonts w:cs="Arial"/>
        </w:rPr>
        <w:t>nároku na vrácení smluvních pokut</w:t>
      </w:r>
      <w:r w:rsidRPr="006D2566">
        <w:rPr>
          <w:rFonts w:cs="Arial"/>
        </w:rPr>
        <w:t>. Nárok na vrácení smluvní pokuty, případně zánik práva Kraje smluvní pokuty vymáhat, nastává dnem právní moci platebního výměru k odvodu za porušení rozpočtové kázně, případně dnem vrácení dotace ze strany UTB (pokud bude naplněn nebo překročen limit částky 200 mil. Kč), a to podle toho, který okamžik nastane později. Dále také v případě nižšího</w:t>
      </w:r>
      <w:r w:rsidR="31CBEDD3" w:rsidRPr="006D2566">
        <w:rPr>
          <w:rFonts w:cs="Arial"/>
        </w:rPr>
        <w:t xml:space="preserve"> (než 200 mil. Kč.)</w:t>
      </w:r>
      <w:r w:rsidRPr="006D2566">
        <w:rPr>
          <w:rFonts w:cs="Arial"/>
        </w:rPr>
        <w:t xml:space="preserve"> odvodu za porušení rozpočtové kázně z dotační smlouvy, bude tento započítán do celkového limitu sankcí (odvod + smluvní pokuty) 200 mil. Kč. Tento limit ve výši 200 mil. Kč </w:t>
      </w:r>
      <w:r w:rsidR="2E303978" w:rsidRPr="006D2566">
        <w:rPr>
          <w:rFonts w:cs="Arial"/>
        </w:rPr>
        <w:t xml:space="preserve">v kombinaci s odvodem za porušení rozpočtové kázně podle dotační smlouvy </w:t>
      </w:r>
      <w:r w:rsidRPr="006D2566">
        <w:rPr>
          <w:rFonts w:cs="Arial"/>
        </w:rPr>
        <w:t>platí také pro případ vzniku nároků Kraje podle čl. V</w:t>
      </w:r>
      <w:r w:rsidR="00065D8D" w:rsidRPr="006D2566">
        <w:rPr>
          <w:rFonts w:cs="Arial"/>
        </w:rPr>
        <w:t>.</w:t>
      </w:r>
      <w:r w:rsidRPr="006D2566">
        <w:rPr>
          <w:rFonts w:cs="Arial"/>
        </w:rPr>
        <w:t> odst. 3 této smlouvy, případně platí také pro případ jakýchkoliv jiných peněžních nároků, které Kraji vzniknou</w:t>
      </w:r>
      <w:r w:rsidR="49BDC820" w:rsidRPr="006D2566">
        <w:rPr>
          <w:rFonts w:cs="Arial"/>
        </w:rPr>
        <w:t xml:space="preserve"> v souvislosti s touto smlouvou nebo jejím zánikem</w:t>
      </w:r>
      <w:r w:rsidRPr="006D2566">
        <w:rPr>
          <w:rFonts w:cs="Arial"/>
        </w:rPr>
        <w:t>.</w:t>
      </w:r>
    </w:p>
    <w:p w14:paraId="46594819" w14:textId="155D57DA" w:rsidR="005605AE" w:rsidRPr="006D2566" w:rsidRDefault="005605AE" w:rsidP="009B43E4">
      <w:pPr>
        <w:widowControl w:val="0"/>
        <w:tabs>
          <w:tab w:val="left" w:pos="-1980"/>
          <w:tab w:val="left" w:pos="426"/>
        </w:tabs>
        <w:adjustRightInd w:val="0"/>
        <w:spacing w:after="120" w:line="240" w:lineRule="auto"/>
        <w:jc w:val="both"/>
        <w:textAlignment w:val="baseline"/>
        <w:outlineLvl w:val="0"/>
        <w:rPr>
          <w:rFonts w:cs="Arial"/>
        </w:rPr>
      </w:pPr>
      <w:r w:rsidRPr="006D2566">
        <w:rPr>
          <w:rFonts w:cs="Arial"/>
        </w:rPr>
        <w:t>Smluvní strany se zavazují, že v případě hrozící smluvní pokuty zahájí bezodkladně jednání tak, aby mohla být smluvní pokuta ponížena (započtena) protiplněním nabídnutým ze strany UTB (např. nájem prostor, kdy hodnota nájmu bude započtena proti smluvní pokutě). Kraj není povinen nabízené protiplnění přijmout. Pokud UTB protiplnění nenabídne nebo toto nebude Krajem přijato, je UTB bez dalšího povinna k úhradě smluvní pokuty</w:t>
      </w:r>
      <w:r w:rsidR="00EB3E3B" w:rsidRPr="006D2566">
        <w:rPr>
          <w:rFonts w:cs="Arial"/>
        </w:rPr>
        <w:t xml:space="preserve"> (s výše uvedeným limitem 200 mil. Kč v kombinaci s odvody za porušení rozpočtové kázně)</w:t>
      </w:r>
      <w:r w:rsidRPr="006D2566">
        <w:rPr>
          <w:rFonts w:cs="Arial"/>
        </w:rPr>
        <w:t>. Případné nepeněžité plnění podle tohoto odstavce se nepočítá do limitu 200 mil. Kč podle předchozího odstavce a UTB nevzniká nárok na jeho zaplacení ani v případě, že nastanou okolnosti předvídané v předchozím odstavci tohoto čl. smlouvy.</w:t>
      </w:r>
    </w:p>
    <w:bookmarkEnd w:id="1"/>
    <w:bookmarkEnd w:id="2"/>
    <w:p w14:paraId="47967C55" w14:textId="77777777" w:rsidR="00190407" w:rsidRPr="006D2566" w:rsidRDefault="00190407" w:rsidP="00190407">
      <w:pPr>
        <w:pStyle w:val="Nadpis1"/>
        <w:spacing w:before="320"/>
        <w:ind w:left="714" w:hanging="357"/>
        <w:rPr>
          <w:rFonts w:cs="Arial"/>
          <w:b w:val="0"/>
          <w:caps/>
          <w:sz w:val="20"/>
          <w:szCs w:val="20"/>
        </w:rPr>
      </w:pPr>
      <w:r w:rsidRPr="006D2566">
        <w:rPr>
          <w:rFonts w:cs="Arial"/>
          <w:sz w:val="20"/>
          <w:szCs w:val="20"/>
        </w:rPr>
        <w:t xml:space="preserve">PRÁVA A POVINNOSTI </w:t>
      </w:r>
      <w:r w:rsidR="005C3DEE" w:rsidRPr="006D2566">
        <w:rPr>
          <w:rFonts w:cs="Arial"/>
          <w:sz w:val="20"/>
          <w:szCs w:val="20"/>
        </w:rPr>
        <w:t>SMLUVNÍCH STRAN</w:t>
      </w:r>
    </w:p>
    <w:p w14:paraId="732C9275" w14:textId="79D23860" w:rsidR="00190407" w:rsidRPr="006D2566" w:rsidRDefault="00373EB5" w:rsidP="00373EB5">
      <w:pPr>
        <w:pStyle w:val="Textvbloku"/>
        <w:widowControl w:val="0"/>
        <w:spacing w:before="100"/>
        <w:ind w:right="0"/>
        <w:rPr>
          <w:rFonts w:cs="Arial"/>
        </w:rPr>
      </w:pPr>
      <w:r>
        <w:rPr>
          <w:rFonts w:cs="Arial"/>
        </w:rPr>
        <w:t xml:space="preserve">1. </w:t>
      </w:r>
      <w:r w:rsidR="005C3DEE" w:rsidRPr="006D2566">
        <w:rPr>
          <w:rFonts w:cs="Arial"/>
        </w:rPr>
        <w:t>Smluvní strany</w:t>
      </w:r>
      <w:r w:rsidR="00190407" w:rsidRPr="006D2566">
        <w:rPr>
          <w:rFonts w:cs="Arial"/>
        </w:rPr>
        <w:t xml:space="preserve"> se zavazuj</w:t>
      </w:r>
      <w:r w:rsidR="005C3DEE" w:rsidRPr="006D2566">
        <w:rPr>
          <w:rFonts w:cs="Arial"/>
        </w:rPr>
        <w:t>í</w:t>
      </w:r>
      <w:r w:rsidR="00190407" w:rsidRPr="006D2566">
        <w:rPr>
          <w:rFonts w:cs="Arial"/>
        </w:rPr>
        <w:t xml:space="preserve"> před</w:t>
      </w:r>
      <w:r w:rsidR="005C3DEE" w:rsidRPr="006D2566">
        <w:rPr>
          <w:rFonts w:cs="Arial"/>
        </w:rPr>
        <w:t xml:space="preserve">ávat si </w:t>
      </w:r>
      <w:r w:rsidR="00190407" w:rsidRPr="006D2566">
        <w:rPr>
          <w:rFonts w:cs="Arial"/>
        </w:rPr>
        <w:t xml:space="preserve">včas </w:t>
      </w:r>
      <w:r w:rsidR="00B73536" w:rsidRPr="006D2566">
        <w:rPr>
          <w:rFonts w:cs="Arial"/>
        </w:rPr>
        <w:t xml:space="preserve">(ve vzájemně odsouhlasených </w:t>
      </w:r>
      <w:r w:rsidR="005C3DEE" w:rsidRPr="006D2566">
        <w:rPr>
          <w:rFonts w:cs="Arial"/>
        </w:rPr>
        <w:t>termínech</w:t>
      </w:r>
      <w:r w:rsidR="00B73536" w:rsidRPr="006D2566">
        <w:rPr>
          <w:rFonts w:cs="Arial"/>
        </w:rPr>
        <w:t xml:space="preserve">) </w:t>
      </w:r>
      <w:r w:rsidR="00190407" w:rsidRPr="006D2566">
        <w:rPr>
          <w:rFonts w:cs="Arial"/>
        </w:rPr>
        <w:t xml:space="preserve">veškeré informace a </w:t>
      </w:r>
      <w:r w:rsidR="005C3DEE" w:rsidRPr="006D2566">
        <w:rPr>
          <w:rFonts w:cs="Arial"/>
        </w:rPr>
        <w:t>podklady</w:t>
      </w:r>
      <w:r w:rsidR="00190407" w:rsidRPr="006D2566">
        <w:rPr>
          <w:rFonts w:cs="Arial"/>
        </w:rPr>
        <w:t xml:space="preserve">, které jsou nutné nebo užitečné pro plnění závazku </w:t>
      </w:r>
      <w:r w:rsidR="005C3DEE" w:rsidRPr="006D2566">
        <w:rPr>
          <w:rFonts w:cs="Arial"/>
        </w:rPr>
        <w:t>z této smlouvy</w:t>
      </w:r>
      <w:r w:rsidR="00190407" w:rsidRPr="006D2566">
        <w:rPr>
          <w:rFonts w:cs="Arial"/>
        </w:rPr>
        <w:t xml:space="preserve"> a poskytovat </w:t>
      </w:r>
      <w:r w:rsidR="005C3DEE" w:rsidRPr="006D2566">
        <w:rPr>
          <w:rFonts w:cs="Arial"/>
        </w:rPr>
        <w:t xml:space="preserve">si potřebnou </w:t>
      </w:r>
      <w:r w:rsidR="00190407" w:rsidRPr="006D2566">
        <w:rPr>
          <w:rFonts w:cs="Arial"/>
        </w:rPr>
        <w:t>součinnost.</w:t>
      </w:r>
    </w:p>
    <w:p w14:paraId="0FFB7A95" w14:textId="14CD230D" w:rsidR="00E06AC9" w:rsidRPr="006D2566" w:rsidRDefault="00373EB5" w:rsidP="00373EB5">
      <w:pPr>
        <w:pStyle w:val="Textvbloku"/>
        <w:widowControl w:val="0"/>
        <w:spacing w:before="100"/>
        <w:ind w:right="0"/>
        <w:rPr>
          <w:rFonts w:cs="Arial"/>
        </w:rPr>
      </w:pPr>
      <w:r>
        <w:rPr>
          <w:rFonts w:cs="Arial"/>
        </w:rPr>
        <w:t xml:space="preserve">2. </w:t>
      </w:r>
      <w:r w:rsidR="0088571B" w:rsidRPr="006D2566">
        <w:rPr>
          <w:rFonts w:cs="Arial"/>
        </w:rPr>
        <w:t>Smluvní strany jsou</w:t>
      </w:r>
      <w:r w:rsidR="00E06AC9" w:rsidRPr="006D2566">
        <w:rPr>
          <w:rFonts w:cs="Arial"/>
        </w:rPr>
        <w:t xml:space="preserve"> povinn</w:t>
      </w:r>
      <w:r w:rsidR="0088571B" w:rsidRPr="006D2566">
        <w:rPr>
          <w:rFonts w:cs="Arial"/>
        </w:rPr>
        <w:t>y</w:t>
      </w:r>
      <w:r w:rsidR="00E06AC9" w:rsidRPr="006D2566">
        <w:rPr>
          <w:rFonts w:cs="Arial"/>
        </w:rPr>
        <w:t xml:space="preserve"> postupovat při plnění svého závazku </w:t>
      </w:r>
      <w:r w:rsidR="0088571B" w:rsidRPr="006D2566">
        <w:rPr>
          <w:rFonts w:cs="Arial"/>
        </w:rPr>
        <w:t xml:space="preserve">z této smlouvy </w:t>
      </w:r>
      <w:r w:rsidR="00E06AC9" w:rsidRPr="006D2566">
        <w:rPr>
          <w:rFonts w:cs="Arial"/>
        </w:rPr>
        <w:t>poctivě a pečlivě podle svých schopností, znalostí a s odbornou péčí tak, aby byly splněny závazky vyplývající z této smlouvy a současně tak, aby byl naplněn smysl a účel dohodnutého plnění</w:t>
      </w:r>
      <w:r w:rsidR="0088571B" w:rsidRPr="006D2566">
        <w:rPr>
          <w:rFonts w:cs="Arial"/>
        </w:rPr>
        <w:t>.</w:t>
      </w:r>
      <w:r w:rsidR="00E06AC9" w:rsidRPr="006D2566">
        <w:rPr>
          <w:rFonts w:cs="Arial"/>
        </w:rPr>
        <w:t xml:space="preserve"> Univerzita je povinna oznámit Kraji všechny okolnosti, které zjistila při vykonávání své činnosti dle této smlouvy a jež by mohly mít vliv na změnu požadavku Kraje</w:t>
      </w:r>
      <w:r w:rsidR="0088571B" w:rsidRPr="006D2566">
        <w:rPr>
          <w:rFonts w:cs="Arial"/>
        </w:rPr>
        <w:t xml:space="preserve"> (např. změna studijních programů)</w:t>
      </w:r>
      <w:r w:rsidR="00E06AC9" w:rsidRPr="006D2566">
        <w:rPr>
          <w:rFonts w:cs="Arial"/>
        </w:rPr>
        <w:t xml:space="preserve">. Univerzita je oprávněna předem si vyžádat vyjádření Kraje k navrhovanému postupu, bude-li to pro řádný výkon činností Univerzity potřebné nebo účelné. Pokud se Kraj v požadované lhůtě </w:t>
      </w:r>
      <w:proofErr w:type="gramStart"/>
      <w:r w:rsidR="00E06AC9" w:rsidRPr="006D2566">
        <w:rPr>
          <w:rFonts w:cs="Arial"/>
        </w:rPr>
        <w:t>nevyjádří</w:t>
      </w:r>
      <w:proofErr w:type="gramEnd"/>
      <w:r w:rsidR="00E06AC9" w:rsidRPr="006D2566">
        <w:rPr>
          <w:rFonts w:cs="Arial"/>
        </w:rPr>
        <w:t xml:space="preserve"> k navrhovanému postupu, platí, že souhlasí. </w:t>
      </w:r>
    </w:p>
    <w:p w14:paraId="3D9A6525" w14:textId="2ACD4296" w:rsidR="00E06AC9" w:rsidRPr="006D2566" w:rsidRDefault="00373EB5" w:rsidP="00373EB5">
      <w:pPr>
        <w:pStyle w:val="Textvbloku"/>
        <w:widowControl w:val="0"/>
        <w:spacing w:before="100"/>
        <w:ind w:right="0"/>
        <w:rPr>
          <w:rFonts w:cs="Arial"/>
        </w:rPr>
      </w:pPr>
      <w:r>
        <w:rPr>
          <w:rFonts w:cs="Arial"/>
        </w:rPr>
        <w:t xml:space="preserve">3. </w:t>
      </w:r>
      <w:r w:rsidR="00E06AC9" w:rsidRPr="006D2566">
        <w:rPr>
          <w:rFonts w:cs="Arial"/>
        </w:rPr>
        <w:t>Univerzita se dále zavazuje při plnění závazku dle této smlouvy dodržovat obecně závazné předpisy, tuto smlouvu a požadavky Kraje týkající se činnosti Univerzity dle této smlouvy, které nebudou v rozporu s právními předpisy.</w:t>
      </w:r>
    </w:p>
    <w:p w14:paraId="67270D10" w14:textId="4689C1D7" w:rsidR="00E06AC9" w:rsidRPr="006D2566" w:rsidRDefault="00373EB5" w:rsidP="00373EB5">
      <w:pPr>
        <w:pStyle w:val="Textvbloku"/>
        <w:widowControl w:val="0"/>
        <w:spacing w:before="100"/>
        <w:ind w:right="0"/>
        <w:rPr>
          <w:rFonts w:cs="Arial"/>
        </w:rPr>
      </w:pPr>
      <w:r>
        <w:rPr>
          <w:rFonts w:cs="Arial"/>
        </w:rPr>
        <w:t xml:space="preserve">4. </w:t>
      </w:r>
      <w:r w:rsidR="00E06AC9" w:rsidRPr="006D2566">
        <w:rPr>
          <w:rFonts w:cs="Arial"/>
        </w:rPr>
        <w:t>Univerzita je oprávněna pověřit plněním předmětu této smlouvy třetí osoby. Za jejich činnost však odpovídá Kraji, jako by ji vykonávala sama. Univerzita je taktéž oprávněna při plnění předmětu této smlouvy požádat o součinnost Kraj.</w:t>
      </w:r>
    </w:p>
    <w:p w14:paraId="602D09BC" w14:textId="5B1B4604" w:rsidR="00E06AC9" w:rsidRPr="006D2566" w:rsidRDefault="00373EB5" w:rsidP="00373EB5">
      <w:pPr>
        <w:pStyle w:val="Textvbloku"/>
        <w:widowControl w:val="0"/>
        <w:spacing w:before="100"/>
        <w:ind w:right="0"/>
        <w:rPr>
          <w:rFonts w:cs="Arial"/>
        </w:rPr>
      </w:pPr>
      <w:r>
        <w:rPr>
          <w:rFonts w:cs="Arial"/>
        </w:rPr>
        <w:t xml:space="preserve">5. </w:t>
      </w:r>
      <w:r w:rsidR="00E06AC9" w:rsidRPr="006D2566">
        <w:rPr>
          <w:rFonts w:cs="Arial"/>
        </w:rPr>
        <w:t xml:space="preserve">Univerzita je povinna bezodkladně informovat Kraj o všech závažných opatřeních či krocích, které při plnění svého závazku učinila. </w:t>
      </w:r>
    </w:p>
    <w:p w14:paraId="3ADB52DB" w14:textId="02782259" w:rsidR="00E06AC9" w:rsidRPr="006D2566" w:rsidRDefault="00373EB5" w:rsidP="00373EB5">
      <w:pPr>
        <w:pStyle w:val="Textvbloku"/>
        <w:widowControl w:val="0"/>
        <w:spacing w:before="100"/>
        <w:ind w:right="0"/>
        <w:rPr>
          <w:rFonts w:cs="Arial"/>
        </w:rPr>
      </w:pPr>
      <w:r>
        <w:rPr>
          <w:rFonts w:cs="Arial"/>
        </w:rPr>
        <w:t xml:space="preserve">6. </w:t>
      </w:r>
      <w:r w:rsidR="00E06AC9" w:rsidRPr="006D2566">
        <w:rPr>
          <w:rFonts w:cs="Arial"/>
        </w:rPr>
        <w:t>Smluvní strany se zavazují zachovávat mlčenlivost o veškerých informacích, které se dozvěděly při plnění této smlouvy, ledaže se tyto informace stanou veřejně známými, s výjimkou poskytování informací jiným orgánům státní správy nebo samosprávy na základě zákona. Tato povinnost se dále nevztahuje na případy, kdy je sdělení či využití informací vyžadováno zákony ČR či EU nebo druhá smluvní strana poskytla se sdělením či využitím těchto informací předchozí písemný souhlas. Závazek sjednaný v tomto článku trvá i po ukončení této smlouvy.</w:t>
      </w:r>
    </w:p>
    <w:p w14:paraId="0B066212" w14:textId="77777777" w:rsidR="00190407" w:rsidRPr="006D2566" w:rsidRDefault="00190407" w:rsidP="00190407">
      <w:pPr>
        <w:pStyle w:val="Nadpis1"/>
        <w:rPr>
          <w:caps/>
        </w:rPr>
      </w:pPr>
      <w:r w:rsidRPr="006D2566">
        <w:t>TRVÁNÍ SMLOUVY, ZÁNIK SMLOUVY</w:t>
      </w:r>
    </w:p>
    <w:p w14:paraId="0EECFD19" w14:textId="77777777" w:rsidR="00190407" w:rsidRPr="006D2566" w:rsidRDefault="00A10E5E" w:rsidP="0043552B">
      <w:pPr>
        <w:pStyle w:val="Textvbloku"/>
        <w:widowControl w:val="0"/>
        <w:numPr>
          <w:ilvl w:val="0"/>
          <w:numId w:val="5"/>
        </w:numPr>
        <w:spacing w:before="100"/>
        <w:ind w:left="426" w:right="0" w:hanging="426"/>
        <w:rPr>
          <w:rFonts w:cs="Arial"/>
        </w:rPr>
      </w:pPr>
      <w:r w:rsidRPr="006D2566">
        <w:rPr>
          <w:rFonts w:cs="Arial"/>
        </w:rPr>
        <w:t xml:space="preserve">Tato smlouva se uzavírá na dobu určitou </w:t>
      </w:r>
      <w:r w:rsidR="00190407" w:rsidRPr="006D2566">
        <w:rPr>
          <w:rFonts w:cs="Arial"/>
        </w:rPr>
        <w:t xml:space="preserve">do </w:t>
      </w:r>
      <w:r w:rsidR="00190407" w:rsidRPr="00373EB5">
        <w:rPr>
          <w:rFonts w:cs="Arial"/>
        </w:rPr>
        <w:t>31. 1</w:t>
      </w:r>
      <w:r w:rsidR="009877DE" w:rsidRPr="00373EB5">
        <w:rPr>
          <w:rFonts w:cs="Arial"/>
        </w:rPr>
        <w:t>2. 203</w:t>
      </w:r>
      <w:r w:rsidR="00190407" w:rsidRPr="00373EB5">
        <w:rPr>
          <w:rFonts w:cs="Arial"/>
        </w:rPr>
        <w:t>4</w:t>
      </w:r>
      <w:r w:rsidR="009877DE" w:rsidRPr="006D2566">
        <w:rPr>
          <w:rFonts w:cs="Arial"/>
        </w:rPr>
        <w:t>.</w:t>
      </w:r>
      <w:r w:rsidRPr="006D2566">
        <w:rPr>
          <w:rFonts w:cs="Arial"/>
        </w:rPr>
        <w:t xml:space="preserve"> Uplynutím tohoto data není dotčena povinnost předložení zá</w:t>
      </w:r>
      <w:r w:rsidR="009E6997" w:rsidRPr="006D2566">
        <w:rPr>
          <w:rFonts w:cs="Arial"/>
        </w:rPr>
        <w:t>věrečné zprávy dle odst. 1.1.3 smlouvy</w:t>
      </w:r>
      <w:r w:rsidR="006C5A8D" w:rsidRPr="006D2566">
        <w:rPr>
          <w:rFonts w:cs="Arial"/>
        </w:rPr>
        <w:t xml:space="preserve"> </w:t>
      </w:r>
      <w:r w:rsidR="00C351C2" w:rsidRPr="006D2566">
        <w:rPr>
          <w:rFonts w:cs="Arial"/>
        </w:rPr>
        <w:t>a</w:t>
      </w:r>
      <w:r w:rsidR="006C5A8D" w:rsidRPr="006D2566">
        <w:rPr>
          <w:rFonts w:cs="Arial"/>
        </w:rPr>
        <w:t xml:space="preserve"> </w:t>
      </w:r>
      <w:r w:rsidR="00C351C2" w:rsidRPr="006D2566">
        <w:rPr>
          <w:rFonts w:cs="Arial"/>
        </w:rPr>
        <w:t>další práva a povinnosti</w:t>
      </w:r>
      <w:r w:rsidR="00EC61B2" w:rsidRPr="006D2566">
        <w:rPr>
          <w:rFonts w:cs="Arial"/>
        </w:rPr>
        <w:t xml:space="preserve">, jež </w:t>
      </w:r>
      <w:r w:rsidR="00A238F9" w:rsidRPr="006D2566">
        <w:rPr>
          <w:rFonts w:cs="Arial"/>
        </w:rPr>
        <w:t>ze</w:t>
      </w:r>
      <w:r w:rsidR="00EC61B2" w:rsidRPr="006D2566">
        <w:rPr>
          <w:rFonts w:cs="Arial"/>
        </w:rPr>
        <w:t xml:space="preserve"> své povahy mají trvat</w:t>
      </w:r>
      <w:r w:rsidR="00E40563" w:rsidRPr="006D2566">
        <w:rPr>
          <w:rFonts w:cs="Arial"/>
        </w:rPr>
        <w:t xml:space="preserve"> </w:t>
      </w:r>
      <w:r w:rsidR="00AA3D60" w:rsidRPr="006D2566">
        <w:rPr>
          <w:rFonts w:cs="Arial"/>
        </w:rPr>
        <w:t>i po ukončení smlouvy</w:t>
      </w:r>
      <w:r w:rsidR="00E40563" w:rsidRPr="006D2566">
        <w:rPr>
          <w:rFonts w:cs="Arial"/>
        </w:rPr>
        <w:t>.</w:t>
      </w:r>
    </w:p>
    <w:p w14:paraId="34B6502B" w14:textId="77777777" w:rsidR="00B05C74" w:rsidRPr="006D2566" w:rsidRDefault="00190407" w:rsidP="0043552B">
      <w:pPr>
        <w:pStyle w:val="Textvbloku"/>
        <w:widowControl w:val="0"/>
        <w:numPr>
          <w:ilvl w:val="0"/>
          <w:numId w:val="5"/>
        </w:numPr>
        <w:spacing w:before="100"/>
        <w:ind w:left="426" w:right="0" w:hanging="426"/>
        <w:rPr>
          <w:rFonts w:cs="Arial"/>
        </w:rPr>
      </w:pPr>
      <w:r w:rsidRPr="006D2566">
        <w:rPr>
          <w:rFonts w:cs="Arial"/>
        </w:rPr>
        <w:t xml:space="preserve">V případě podstatného porušení povinnosti ze strany </w:t>
      </w:r>
      <w:r w:rsidR="009877DE" w:rsidRPr="006D2566">
        <w:rPr>
          <w:rFonts w:cs="Arial"/>
        </w:rPr>
        <w:t>Univerzity</w:t>
      </w:r>
      <w:r w:rsidRPr="006D2566">
        <w:rPr>
          <w:rFonts w:cs="Arial"/>
        </w:rPr>
        <w:t xml:space="preserve"> je </w:t>
      </w:r>
      <w:r w:rsidR="009877DE" w:rsidRPr="006D2566">
        <w:rPr>
          <w:rFonts w:cs="Arial"/>
        </w:rPr>
        <w:t>Kraj</w:t>
      </w:r>
      <w:r w:rsidRPr="006D2566">
        <w:rPr>
          <w:rFonts w:cs="Arial"/>
        </w:rPr>
        <w:t xml:space="preserve"> oprávněn od této smlouvy odstoupit bez zbytečného odkladu, podstatným porušením povinnosti se rozumí rovněž opakované porušení povinnost</w:t>
      </w:r>
      <w:r w:rsidR="00D56D19" w:rsidRPr="006D2566">
        <w:rPr>
          <w:rFonts w:cs="Arial"/>
        </w:rPr>
        <w:t>í</w:t>
      </w:r>
      <w:r w:rsidRPr="006D2566">
        <w:rPr>
          <w:rFonts w:cs="Arial"/>
        </w:rPr>
        <w:t xml:space="preserve"> </w:t>
      </w:r>
      <w:r w:rsidR="009877DE" w:rsidRPr="006D2566">
        <w:rPr>
          <w:rFonts w:cs="Arial"/>
        </w:rPr>
        <w:t>Univerzity</w:t>
      </w:r>
      <w:r w:rsidRPr="006D2566">
        <w:rPr>
          <w:rFonts w:cs="Arial"/>
        </w:rPr>
        <w:t xml:space="preserve">. </w:t>
      </w:r>
      <w:proofErr w:type="gramStart"/>
      <w:r w:rsidRPr="006D2566">
        <w:rPr>
          <w:rFonts w:cs="Arial"/>
        </w:rPr>
        <w:t>Poruší</w:t>
      </w:r>
      <w:proofErr w:type="gramEnd"/>
      <w:r w:rsidRPr="006D2566">
        <w:rPr>
          <w:rFonts w:cs="Arial"/>
        </w:rPr>
        <w:t xml:space="preserve">-li </w:t>
      </w:r>
      <w:r w:rsidR="009877DE" w:rsidRPr="006D2566">
        <w:rPr>
          <w:rFonts w:cs="Arial"/>
        </w:rPr>
        <w:t>Univerzita</w:t>
      </w:r>
      <w:r w:rsidRPr="006D2566">
        <w:rPr>
          <w:rFonts w:cs="Arial"/>
        </w:rPr>
        <w:t xml:space="preserve"> povinnost z této smlouvy a nejedná se o podstatné porušení povinnosti, je </w:t>
      </w:r>
      <w:r w:rsidR="009877DE" w:rsidRPr="006D2566">
        <w:rPr>
          <w:rFonts w:cs="Arial"/>
        </w:rPr>
        <w:t>Kraj</w:t>
      </w:r>
      <w:r w:rsidRPr="006D2566">
        <w:rPr>
          <w:rFonts w:cs="Arial"/>
        </w:rPr>
        <w:t xml:space="preserve"> oprávněn odstoupit od smlouvy, nesplní-li </w:t>
      </w:r>
      <w:r w:rsidR="009877DE" w:rsidRPr="006D2566">
        <w:rPr>
          <w:rFonts w:cs="Arial"/>
        </w:rPr>
        <w:t>Univerzita</w:t>
      </w:r>
      <w:r w:rsidRPr="006D2566">
        <w:rPr>
          <w:rFonts w:cs="Arial"/>
        </w:rPr>
        <w:t xml:space="preserve"> svou </w:t>
      </w:r>
      <w:r w:rsidRPr="006D2566">
        <w:rPr>
          <w:rFonts w:cs="Arial"/>
        </w:rPr>
        <w:lastRenderedPageBreak/>
        <w:t xml:space="preserve">povinnost ani v dostatečně přiměřené lhůtě, kterou </w:t>
      </w:r>
      <w:r w:rsidR="009877DE" w:rsidRPr="006D2566">
        <w:rPr>
          <w:rFonts w:cs="Arial"/>
        </w:rPr>
        <w:t>jí</w:t>
      </w:r>
      <w:r w:rsidRPr="006D2566">
        <w:rPr>
          <w:rFonts w:cs="Arial"/>
        </w:rPr>
        <w:t xml:space="preserve"> </w:t>
      </w:r>
      <w:r w:rsidR="009877DE" w:rsidRPr="006D2566">
        <w:rPr>
          <w:rFonts w:cs="Arial"/>
        </w:rPr>
        <w:t>Kraj</w:t>
      </w:r>
      <w:r w:rsidRPr="006D2566">
        <w:rPr>
          <w:rFonts w:cs="Arial"/>
        </w:rPr>
        <w:t xml:space="preserve"> poskytl k nápravě.</w:t>
      </w:r>
      <w:r w:rsidR="002D48B9" w:rsidRPr="006D2566">
        <w:rPr>
          <w:rFonts w:cs="Arial"/>
        </w:rPr>
        <w:t xml:space="preserve"> </w:t>
      </w:r>
    </w:p>
    <w:p w14:paraId="512E6247" w14:textId="77777777" w:rsidR="00B05C74" w:rsidRPr="006D2566" w:rsidRDefault="0075404F" w:rsidP="00373EB5">
      <w:pPr>
        <w:pStyle w:val="Textvbloku"/>
        <w:widowControl w:val="0"/>
        <w:numPr>
          <w:ilvl w:val="0"/>
          <w:numId w:val="5"/>
        </w:numPr>
        <w:spacing w:before="100"/>
        <w:ind w:left="426" w:right="0" w:hanging="426"/>
        <w:rPr>
          <w:rFonts w:cs="Arial"/>
        </w:rPr>
      </w:pPr>
      <w:r w:rsidRPr="006D2566">
        <w:rPr>
          <w:rFonts w:cs="Arial"/>
        </w:rPr>
        <w:t xml:space="preserve">Podstatným porušením smlouvy se rozumí nenaplnění alespoň 3 indikátorů dle bodu 1.1.2 smlouvy, které bude vykázáno ve zprávě dle 1.1.3. </w:t>
      </w:r>
      <w:r w:rsidR="008408D9" w:rsidRPr="006D2566">
        <w:rPr>
          <w:rFonts w:cs="Arial"/>
        </w:rPr>
        <w:t xml:space="preserve">Za </w:t>
      </w:r>
      <w:r w:rsidR="00394086" w:rsidRPr="006D2566">
        <w:rPr>
          <w:rFonts w:cs="Arial"/>
        </w:rPr>
        <w:t>nenaplnění</w:t>
      </w:r>
      <w:r w:rsidR="00911AB7" w:rsidRPr="006D2566">
        <w:rPr>
          <w:rFonts w:cs="Arial"/>
        </w:rPr>
        <w:t xml:space="preserve"> indikátoru</w:t>
      </w:r>
      <w:r w:rsidR="00046AB5" w:rsidRPr="006D2566">
        <w:rPr>
          <w:rFonts w:cs="Arial"/>
        </w:rPr>
        <w:t xml:space="preserve"> je </w:t>
      </w:r>
      <w:r w:rsidR="00077B4D" w:rsidRPr="006D2566">
        <w:rPr>
          <w:rFonts w:cs="Arial"/>
        </w:rPr>
        <w:t xml:space="preserve">pro účely </w:t>
      </w:r>
      <w:r w:rsidR="00072B65" w:rsidRPr="006D2566">
        <w:rPr>
          <w:rFonts w:cs="Arial"/>
        </w:rPr>
        <w:t>tohoto odstavce</w:t>
      </w:r>
      <w:r w:rsidR="008408D9" w:rsidRPr="006D2566">
        <w:rPr>
          <w:rFonts w:cs="Arial"/>
        </w:rPr>
        <w:t xml:space="preserve"> považováno</w:t>
      </w:r>
      <w:r w:rsidR="00911AB7" w:rsidRPr="006D2566">
        <w:rPr>
          <w:rFonts w:cs="Arial"/>
        </w:rPr>
        <w:t xml:space="preserve"> jeho nenaplnění z míry větší než 10</w:t>
      </w:r>
      <w:r w:rsidR="001658E6" w:rsidRPr="006D2566">
        <w:rPr>
          <w:rFonts w:cs="Arial"/>
        </w:rPr>
        <w:t xml:space="preserve"> </w:t>
      </w:r>
      <w:r w:rsidR="00911AB7" w:rsidRPr="006D2566">
        <w:rPr>
          <w:rFonts w:cs="Arial"/>
        </w:rPr>
        <w:t>%</w:t>
      </w:r>
      <w:r w:rsidR="00AD25F0" w:rsidRPr="006D2566">
        <w:rPr>
          <w:rFonts w:cs="Arial"/>
        </w:rPr>
        <w:t xml:space="preserve">, tedy výlučně </w:t>
      </w:r>
      <w:r w:rsidR="00AD25F0" w:rsidRPr="00373EB5">
        <w:rPr>
          <w:rFonts w:cs="Arial"/>
        </w:rPr>
        <w:t xml:space="preserve">pro účely tohoto odstavce platí, že </w:t>
      </w:r>
      <w:r w:rsidR="00D76C78" w:rsidRPr="00373EB5">
        <w:rPr>
          <w:rFonts w:cs="Arial"/>
        </w:rPr>
        <w:t>indikátor</w:t>
      </w:r>
      <w:r w:rsidR="00AD25F0" w:rsidRPr="00373EB5">
        <w:rPr>
          <w:rFonts w:cs="Arial"/>
        </w:rPr>
        <w:t>, u kterého je možné částečné naplnění, je považován za splněný, pokud je naplněn alespoň na 90 %.</w:t>
      </w:r>
      <w:r w:rsidR="00911AB7" w:rsidRPr="006D2566">
        <w:rPr>
          <w:rFonts w:cs="Arial"/>
        </w:rPr>
        <w:t xml:space="preserve"> </w:t>
      </w:r>
    </w:p>
    <w:p w14:paraId="7B7D23C4" w14:textId="56590C9A" w:rsidR="00B05C74" w:rsidRPr="006D2566" w:rsidRDefault="0075404F" w:rsidP="00373EB5">
      <w:pPr>
        <w:pStyle w:val="Textvbloku"/>
        <w:widowControl w:val="0"/>
        <w:numPr>
          <w:ilvl w:val="0"/>
          <w:numId w:val="5"/>
        </w:numPr>
        <w:spacing w:before="100"/>
        <w:ind w:left="426" w:right="0" w:hanging="426"/>
        <w:rPr>
          <w:rFonts w:cs="Arial"/>
        </w:rPr>
      </w:pPr>
      <w:r w:rsidRPr="006D2566">
        <w:rPr>
          <w:rFonts w:cs="Arial"/>
        </w:rPr>
        <w:t xml:space="preserve">Pro účely tohoto odstavce je samostatným indikátorem každé písmeno bodu 1.1.2., avšak </w:t>
      </w:r>
      <w:r w:rsidR="00DC5717" w:rsidRPr="006D2566">
        <w:rPr>
          <w:rFonts w:cs="Arial"/>
        </w:rPr>
        <w:t>u</w:t>
      </w:r>
      <w:r w:rsidRPr="006D2566">
        <w:rPr>
          <w:rFonts w:cs="Arial"/>
        </w:rPr>
        <w:t xml:space="preserve"> indikátoru 1.1.2. písm. a) je </w:t>
      </w:r>
      <w:r w:rsidR="00CC7975" w:rsidRPr="006D2566">
        <w:rPr>
          <w:rFonts w:cs="Arial"/>
        </w:rPr>
        <w:t>porušením indikátoru ne</w:t>
      </w:r>
      <w:r w:rsidR="002F00E4" w:rsidRPr="006D2566">
        <w:rPr>
          <w:rFonts w:cs="Arial"/>
        </w:rPr>
        <w:t>zahájení výuky</w:t>
      </w:r>
      <w:r w:rsidR="001B75E5" w:rsidRPr="006D2566">
        <w:rPr>
          <w:rFonts w:cs="Arial"/>
        </w:rPr>
        <w:t>/pokračování ve výuce</w:t>
      </w:r>
      <w:r w:rsidR="002F00E4" w:rsidRPr="006D2566">
        <w:rPr>
          <w:rFonts w:cs="Arial"/>
        </w:rPr>
        <w:t xml:space="preserve"> </w:t>
      </w:r>
      <w:r w:rsidR="00E85865" w:rsidRPr="006D2566">
        <w:rPr>
          <w:rFonts w:cs="Arial"/>
        </w:rPr>
        <w:t xml:space="preserve">studijního programu </w:t>
      </w:r>
      <w:r w:rsidR="00EE33B1" w:rsidRPr="006D2566">
        <w:rPr>
          <w:rFonts w:cs="Arial"/>
        </w:rPr>
        <w:t xml:space="preserve">„Strojírenství a výrobní technologie“ a </w:t>
      </w:r>
      <w:r w:rsidR="003E5686" w:rsidRPr="006D2566">
        <w:rPr>
          <w:rFonts w:cs="Arial"/>
        </w:rPr>
        <w:t>„Polovodičové materiály“</w:t>
      </w:r>
      <w:r w:rsidR="009631EB" w:rsidRPr="006D2566">
        <w:rPr>
          <w:rFonts w:cs="Arial"/>
        </w:rPr>
        <w:t xml:space="preserve"> (tyto programy jsou tedy samostatným </w:t>
      </w:r>
      <w:r w:rsidR="007C6B3A" w:rsidRPr="006D2566">
        <w:rPr>
          <w:rFonts w:cs="Arial"/>
        </w:rPr>
        <w:t>indikátorem</w:t>
      </w:r>
      <w:r w:rsidR="006F4C9D" w:rsidRPr="006D2566">
        <w:rPr>
          <w:rFonts w:cs="Arial"/>
        </w:rPr>
        <w:t xml:space="preserve"> a musí </w:t>
      </w:r>
      <w:r w:rsidR="003C3901" w:rsidRPr="006D2566">
        <w:rPr>
          <w:rFonts w:cs="Arial"/>
        </w:rPr>
        <w:t xml:space="preserve">být </w:t>
      </w:r>
      <w:r w:rsidR="00961AE7" w:rsidRPr="006D2566">
        <w:rPr>
          <w:rFonts w:cs="Arial"/>
        </w:rPr>
        <w:t>splněny vždy</w:t>
      </w:r>
      <w:r w:rsidR="00BE495E" w:rsidRPr="006D2566">
        <w:rPr>
          <w:rFonts w:cs="Arial"/>
        </w:rPr>
        <w:t>)</w:t>
      </w:r>
      <w:r w:rsidR="007C6B3A" w:rsidRPr="006D2566">
        <w:rPr>
          <w:rFonts w:cs="Arial"/>
        </w:rPr>
        <w:t>.</w:t>
      </w:r>
      <w:r w:rsidR="00630848" w:rsidRPr="006D2566">
        <w:rPr>
          <w:rFonts w:cs="Arial"/>
        </w:rPr>
        <w:t xml:space="preserve"> </w:t>
      </w:r>
      <w:r w:rsidR="007C6B3A" w:rsidRPr="006D2566">
        <w:rPr>
          <w:rFonts w:cs="Arial"/>
        </w:rPr>
        <w:t>U</w:t>
      </w:r>
      <w:r w:rsidR="00630848" w:rsidRPr="006D2566">
        <w:rPr>
          <w:rFonts w:cs="Arial"/>
        </w:rPr>
        <w:t xml:space="preserve"> ostatních </w:t>
      </w:r>
      <w:r w:rsidR="001E677B" w:rsidRPr="006D2566">
        <w:rPr>
          <w:rFonts w:cs="Arial"/>
        </w:rPr>
        <w:t>studijních programů</w:t>
      </w:r>
      <w:r w:rsidR="00535D04" w:rsidRPr="006D2566">
        <w:rPr>
          <w:rFonts w:cs="Arial"/>
        </w:rPr>
        <w:t xml:space="preserve"> </w:t>
      </w:r>
      <w:r w:rsidR="007F2674" w:rsidRPr="006D2566">
        <w:rPr>
          <w:rFonts w:cs="Arial"/>
        </w:rPr>
        <w:t xml:space="preserve">bodu </w:t>
      </w:r>
      <w:r w:rsidR="00405650" w:rsidRPr="006D2566">
        <w:rPr>
          <w:rFonts w:cs="Arial"/>
        </w:rPr>
        <w:t>1.1.2. a)</w:t>
      </w:r>
      <w:r w:rsidR="00630848" w:rsidRPr="006D2566">
        <w:rPr>
          <w:rFonts w:cs="Arial"/>
        </w:rPr>
        <w:t xml:space="preserve"> </w:t>
      </w:r>
      <w:r w:rsidR="003841AA" w:rsidRPr="006D2566">
        <w:rPr>
          <w:rFonts w:cs="Arial"/>
        </w:rPr>
        <w:t xml:space="preserve">je </w:t>
      </w:r>
      <w:r w:rsidR="00605783" w:rsidRPr="006D2566">
        <w:rPr>
          <w:rFonts w:cs="Arial"/>
        </w:rPr>
        <w:t>ne</w:t>
      </w:r>
      <w:r w:rsidR="003841AA" w:rsidRPr="006D2566">
        <w:rPr>
          <w:rFonts w:cs="Arial"/>
        </w:rPr>
        <w:t xml:space="preserve">naplněním indikátoru </w:t>
      </w:r>
      <w:r w:rsidR="004A7345" w:rsidRPr="006D2566">
        <w:rPr>
          <w:rFonts w:cs="Arial"/>
        </w:rPr>
        <w:t>ne</w:t>
      </w:r>
      <w:r w:rsidR="003841AA" w:rsidRPr="006D2566">
        <w:rPr>
          <w:rFonts w:cs="Arial"/>
        </w:rPr>
        <w:t>zahájení výuky</w:t>
      </w:r>
      <w:r w:rsidR="001B75E5" w:rsidRPr="006D2566">
        <w:rPr>
          <w:rFonts w:cs="Arial"/>
        </w:rPr>
        <w:t>/</w:t>
      </w:r>
      <w:r w:rsidR="00605783" w:rsidRPr="006D2566">
        <w:rPr>
          <w:rFonts w:cs="Arial"/>
        </w:rPr>
        <w:t>ne</w:t>
      </w:r>
      <w:r w:rsidR="001B75E5" w:rsidRPr="006D2566">
        <w:rPr>
          <w:rFonts w:cs="Arial"/>
        </w:rPr>
        <w:t>pokračování ve výuce</w:t>
      </w:r>
      <w:r w:rsidR="003841AA" w:rsidRPr="006D2566">
        <w:rPr>
          <w:rFonts w:cs="Arial"/>
        </w:rPr>
        <w:t xml:space="preserve"> </w:t>
      </w:r>
      <w:r w:rsidR="002F00E4" w:rsidRPr="006D2566">
        <w:rPr>
          <w:rFonts w:cs="Arial"/>
        </w:rPr>
        <w:t>u</w:t>
      </w:r>
      <w:r w:rsidR="003841AA" w:rsidRPr="006D2566">
        <w:rPr>
          <w:rFonts w:cs="Arial"/>
        </w:rPr>
        <w:t xml:space="preserve"> alespoň </w:t>
      </w:r>
      <w:r w:rsidR="00D75FAC" w:rsidRPr="006D2566">
        <w:rPr>
          <w:rFonts w:cs="Arial"/>
        </w:rPr>
        <w:t>tří</w:t>
      </w:r>
      <w:r w:rsidR="002F00E4" w:rsidRPr="006D2566">
        <w:rPr>
          <w:rFonts w:cs="Arial"/>
        </w:rPr>
        <w:t xml:space="preserve"> </w:t>
      </w:r>
      <w:r w:rsidR="009E17DB" w:rsidRPr="006D2566">
        <w:rPr>
          <w:rFonts w:cs="Arial"/>
        </w:rPr>
        <w:t xml:space="preserve">studijních programů </w:t>
      </w:r>
      <w:r w:rsidR="00BB56D3" w:rsidRPr="006D2566">
        <w:rPr>
          <w:rFonts w:cs="Arial"/>
        </w:rPr>
        <w:t>v jednom roce</w:t>
      </w:r>
      <w:r w:rsidR="004A7345" w:rsidRPr="006D2566">
        <w:rPr>
          <w:rFonts w:cs="Arial"/>
        </w:rPr>
        <w:t xml:space="preserve"> s tím, že ve vztahu k tomuto odstavci je </w:t>
      </w:r>
      <w:r w:rsidR="00CC53E3" w:rsidRPr="006D2566">
        <w:rPr>
          <w:rFonts w:cs="Arial"/>
        </w:rPr>
        <w:t xml:space="preserve">bod </w:t>
      </w:r>
      <w:r w:rsidR="004A7345" w:rsidRPr="006D2566">
        <w:rPr>
          <w:rFonts w:cs="Arial"/>
        </w:rPr>
        <w:t>vyhodnocován nejdříve za akademický rok 2028/</w:t>
      </w:r>
      <w:r w:rsidR="009330C6" w:rsidRPr="006D2566">
        <w:rPr>
          <w:rFonts w:cs="Arial"/>
        </w:rPr>
        <w:t>2029</w:t>
      </w:r>
      <w:r w:rsidRPr="006D2566">
        <w:rPr>
          <w:rFonts w:cs="Arial"/>
        </w:rPr>
        <w:t>.</w:t>
      </w:r>
      <w:r w:rsidR="00175D1E" w:rsidRPr="006D2566">
        <w:rPr>
          <w:rFonts w:cs="Arial"/>
        </w:rPr>
        <w:t xml:space="preserve"> </w:t>
      </w:r>
      <w:r w:rsidR="00B05C74" w:rsidRPr="006D2566">
        <w:rPr>
          <w:rFonts w:cs="Arial"/>
        </w:rPr>
        <w:t xml:space="preserve">V případě studijních programů v oblasti vzdělávání Zdravotnické obory </w:t>
      </w:r>
      <w:r w:rsidR="00344D06" w:rsidRPr="006D2566">
        <w:rPr>
          <w:rFonts w:cs="Arial"/>
        </w:rPr>
        <w:t xml:space="preserve">však </w:t>
      </w:r>
      <w:r w:rsidR="00D210DD" w:rsidRPr="006D2566">
        <w:rPr>
          <w:rFonts w:cs="Arial"/>
        </w:rPr>
        <w:t xml:space="preserve">není porušením </w:t>
      </w:r>
      <w:r w:rsidR="00FC0B39" w:rsidRPr="006D2566">
        <w:rPr>
          <w:rFonts w:cs="Arial"/>
        </w:rPr>
        <w:t>smlouvy</w:t>
      </w:r>
      <w:r w:rsidR="00CA06E8" w:rsidRPr="006D2566">
        <w:rPr>
          <w:rFonts w:cs="Arial"/>
        </w:rPr>
        <w:t xml:space="preserve"> (nezapočítává se do </w:t>
      </w:r>
      <w:r w:rsidR="0066494F" w:rsidRPr="006D2566">
        <w:rPr>
          <w:rFonts w:cs="Arial"/>
        </w:rPr>
        <w:t xml:space="preserve">limitu 3 nenaplněných </w:t>
      </w:r>
      <w:r w:rsidR="00FE03F2" w:rsidRPr="006D2566">
        <w:rPr>
          <w:rFonts w:cs="Arial"/>
        </w:rPr>
        <w:t>studijních programů</w:t>
      </w:r>
      <w:r w:rsidR="0066494F" w:rsidRPr="006D2566">
        <w:rPr>
          <w:rFonts w:cs="Arial"/>
        </w:rPr>
        <w:t>)</w:t>
      </w:r>
      <w:r w:rsidR="00FC0B39" w:rsidRPr="006D2566">
        <w:rPr>
          <w:rFonts w:cs="Arial"/>
        </w:rPr>
        <w:t>, pokud dojde k </w:t>
      </w:r>
      <w:r w:rsidR="00D323D5" w:rsidRPr="006D2566">
        <w:rPr>
          <w:rFonts w:cs="Arial"/>
        </w:rPr>
        <w:t>ne</w:t>
      </w:r>
      <w:r w:rsidR="00FC0B39" w:rsidRPr="006D2566">
        <w:rPr>
          <w:rFonts w:cs="Arial"/>
        </w:rPr>
        <w:t xml:space="preserve">naplnění </w:t>
      </w:r>
      <w:r w:rsidR="009F45E9" w:rsidRPr="006D2566">
        <w:rPr>
          <w:rFonts w:cs="Arial"/>
        </w:rPr>
        <w:t>(získání akreditace)</w:t>
      </w:r>
      <w:r w:rsidR="00FC0B39" w:rsidRPr="006D2566">
        <w:rPr>
          <w:rFonts w:cs="Arial"/>
        </w:rPr>
        <w:t xml:space="preserve"> z důvodu neposkytnutí </w:t>
      </w:r>
      <w:r w:rsidR="00D6796D" w:rsidRPr="006D2566">
        <w:rPr>
          <w:rFonts w:cs="Arial"/>
        </w:rPr>
        <w:t xml:space="preserve">potřebné </w:t>
      </w:r>
      <w:r w:rsidR="00FC0B39" w:rsidRPr="006D2566">
        <w:rPr>
          <w:rFonts w:cs="Arial"/>
        </w:rPr>
        <w:t>součinnosti ze strany Kraje či jím založené společnosti Krajská nemocnice T.</w:t>
      </w:r>
      <w:r w:rsidR="0025237B" w:rsidRPr="006D2566">
        <w:rPr>
          <w:rFonts w:cs="Arial"/>
        </w:rPr>
        <w:t xml:space="preserve"> </w:t>
      </w:r>
      <w:r w:rsidR="00FC0B39" w:rsidRPr="006D2566">
        <w:rPr>
          <w:rFonts w:cs="Arial"/>
        </w:rPr>
        <w:t>Bati, a.s.</w:t>
      </w:r>
      <w:r w:rsidR="00D6796D" w:rsidRPr="006D2566">
        <w:rPr>
          <w:rFonts w:cs="Arial"/>
        </w:rPr>
        <w:t>, ačkoliv byla tato součinnost ze strany UTB výslovně žádána.</w:t>
      </w:r>
      <w:r w:rsidR="003826AF" w:rsidRPr="006D2566">
        <w:rPr>
          <w:rFonts w:cs="Arial"/>
        </w:rPr>
        <w:t xml:space="preserve"> Součinnost</w:t>
      </w:r>
      <w:r w:rsidR="007842FD" w:rsidRPr="006D2566">
        <w:rPr>
          <w:rFonts w:cs="Arial"/>
        </w:rPr>
        <w:t xml:space="preserve"> je v</w:t>
      </w:r>
      <w:r w:rsidR="0075618E" w:rsidRPr="006D2566">
        <w:rPr>
          <w:rFonts w:cs="Arial"/>
        </w:rPr>
        <w:t> tomto případě představována</w:t>
      </w:r>
      <w:r w:rsidR="003826AF" w:rsidRPr="006D2566">
        <w:rPr>
          <w:rFonts w:cs="Arial"/>
        </w:rPr>
        <w:t xml:space="preserve"> zajištění</w:t>
      </w:r>
      <w:r w:rsidR="0075618E" w:rsidRPr="006D2566">
        <w:rPr>
          <w:rFonts w:cs="Arial"/>
        </w:rPr>
        <w:t>m</w:t>
      </w:r>
      <w:r w:rsidR="003826AF" w:rsidRPr="006D2566">
        <w:rPr>
          <w:rFonts w:cs="Arial"/>
        </w:rPr>
        <w:t xml:space="preserve"> odpovídajícího garanta a vyučujících ze strany lékařů nezbytných k zajištění standardů Ministerstva zdravotnictví a </w:t>
      </w:r>
      <w:r w:rsidR="00892A2B" w:rsidRPr="006D2566">
        <w:rPr>
          <w:rFonts w:cs="Arial"/>
        </w:rPr>
        <w:t>Národního akreditačního úřadu pro vysoké školství</w:t>
      </w:r>
      <w:r w:rsidR="003826AF" w:rsidRPr="006D2566">
        <w:rPr>
          <w:rFonts w:cs="Arial"/>
        </w:rPr>
        <w:t>.</w:t>
      </w:r>
      <w:r w:rsidR="00D210DD" w:rsidRPr="006D2566">
        <w:rPr>
          <w:rFonts w:cs="Arial"/>
        </w:rPr>
        <w:t xml:space="preserve"> </w:t>
      </w:r>
    </w:p>
    <w:p w14:paraId="0AD21E94" w14:textId="77777777" w:rsidR="00175D1E" w:rsidRPr="006D2566" w:rsidRDefault="00173070" w:rsidP="00373EB5">
      <w:pPr>
        <w:pStyle w:val="Textvbloku"/>
        <w:widowControl w:val="0"/>
        <w:numPr>
          <w:ilvl w:val="0"/>
          <w:numId w:val="5"/>
        </w:numPr>
        <w:spacing w:before="100"/>
        <w:ind w:left="426" w:right="0" w:hanging="426"/>
        <w:rPr>
          <w:rFonts w:cs="Arial"/>
        </w:rPr>
      </w:pPr>
      <w:r w:rsidRPr="006D2566">
        <w:rPr>
          <w:rFonts w:cs="Arial"/>
        </w:rPr>
        <w:t xml:space="preserve">Smluvní strany se zavazují, že v případě hrozícího </w:t>
      </w:r>
      <w:r w:rsidR="009449A3" w:rsidRPr="006D2566">
        <w:rPr>
          <w:rFonts w:cs="Arial"/>
        </w:rPr>
        <w:t xml:space="preserve">odstoupení </w:t>
      </w:r>
      <w:r w:rsidR="00382CDB" w:rsidRPr="006D2566">
        <w:rPr>
          <w:rFonts w:cs="Arial"/>
        </w:rPr>
        <w:t xml:space="preserve">dle tohoto odstavce </w:t>
      </w:r>
      <w:r w:rsidRPr="006D2566">
        <w:rPr>
          <w:rFonts w:cs="Arial"/>
        </w:rPr>
        <w:t>zahájí bezodkladně jednání</w:t>
      </w:r>
      <w:r w:rsidR="00564E09" w:rsidRPr="006D2566">
        <w:rPr>
          <w:rFonts w:cs="Arial"/>
        </w:rPr>
        <w:t xml:space="preserve"> o </w:t>
      </w:r>
      <w:r w:rsidR="00382CDB" w:rsidRPr="006D2566">
        <w:rPr>
          <w:rFonts w:cs="Arial"/>
        </w:rPr>
        <w:t>možném řešení situace</w:t>
      </w:r>
      <w:r w:rsidRPr="006D2566">
        <w:rPr>
          <w:rFonts w:cs="Arial"/>
        </w:rPr>
        <w:t>.</w:t>
      </w:r>
    </w:p>
    <w:p w14:paraId="39EBB75B" w14:textId="77777777" w:rsidR="000B6725" w:rsidRPr="006D2566" w:rsidRDefault="00175D1E" w:rsidP="0043552B">
      <w:pPr>
        <w:pStyle w:val="Textvbloku"/>
        <w:widowControl w:val="0"/>
        <w:numPr>
          <w:ilvl w:val="0"/>
          <w:numId w:val="5"/>
        </w:numPr>
        <w:spacing w:before="100"/>
        <w:ind w:left="426" w:right="0" w:hanging="426"/>
        <w:rPr>
          <w:rFonts w:cs="Arial"/>
        </w:rPr>
      </w:pPr>
      <w:r w:rsidRPr="006D2566">
        <w:rPr>
          <w:rFonts w:cs="Arial"/>
        </w:rPr>
        <w:t xml:space="preserve">V případě odstoupení od smlouvy dle odst. 2 tohoto článku, vyplatí Univerzita Kraji finanční plnění ve výši násobku let zbývajících do konce trvání smlouvy (započítává se i rok, v němž odstoupení nabylo účinnosti) a částky 15 mil. Kč, a to do </w:t>
      </w:r>
      <w:r w:rsidR="00115DAA" w:rsidRPr="006D2566">
        <w:rPr>
          <w:rFonts w:cs="Arial"/>
        </w:rPr>
        <w:t>3</w:t>
      </w:r>
      <w:r w:rsidRPr="006D2566">
        <w:rPr>
          <w:rFonts w:cs="Arial"/>
        </w:rPr>
        <w:t xml:space="preserve">0 dnů od účinnosti odstoupení od smlouvy. </w:t>
      </w:r>
      <w:r w:rsidR="009140E0" w:rsidRPr="006D2566">
        <w:rPr>
          <w:rFonts w:cs="Arial"/>
        </w:rPr>
        <w:t>Např. pokud Kraj odstoupí od smlouvy v březnu 2030, bude finanční plnění Univerzity představovat násob</w:t>
      </w:r>
      <w:r w:rsidR="000B6725" w:rsidRPr="006D2566">
        <w:rPr>
          <w:rFonts w:cs="Arial"/>
        </w:rPr>
        <w:t>ek 15mil. Kč a zbývajících let trvání smlouvy, tj.</w:t>
      </w:r>
      <w:r w:rsidR="009140E0" w:rsidRPr="006D2566">
        <w:rPr>
          <w:rFonts w:cs="Arial"/>
        </w:rPr>
        <w:t>: 2030, 2031, 2032, 3033 a 3034</w:t>
      </w:r>
      <w:r w:rsidR="00683909" w:rsidRPr="006D2566">
        <w:rPr>
          <w:rFonts w:cs="Arial"/>
        </w:rPr>
        <w:t xml:space="preserve"> </w:t>
      </w:r>
      <w:r w:rsidR="009140E0" w:rsidRPr="006D2566">
        <w:rPr>
          <w:rFonts w:cs="Arial"/>
        </w:rPr>
        <w:t>- tedy 5</w:t>
      </w:r>
      <w:r w:rsidR="001079FF" w:rsidRPr="006D2566">
        <w:rPr>
          <w:rFonts w:cs="Arial"/>
        </w:rPr>
        <w:t xml:space="preserve"> </w:t>
      </w:r>
      <w:r w:rsidR="009140E0" w:rsidRPr="006D2566">
        <w:rPr>
          <w:rFonts w:cs="Arial"/>
        </w:rPr>
        <w:t xml:space="preserve">let. Výsledné finanční plnění </w:t>
      </w:r>
      <w:r w:rsidR="00CA440D" w:rsidRPr="006D2566">
        <w:rPr>
          <w:rFonts w:cs="Arial"/>
        </w:rPr>
        <w:t xml:space="preserve">tak </w:t>
      </w:r>
      <w:r w:rsidR="009140E0" w:rsidRPr="006D2566">
        <w:rPr>
          <w:rFonts w:cs="Arial"/>
        </w:rPr>
        <w:t>bude 5*15mil, tj</w:t>
      </w:r>
      <w:r w:rsidR="00F234F5" w:rsidRPr="006D2566">
        <w:rPr>
          <w:rFonts w:cs="Arial"/>
        </w:rPr>
        <w:t>.</w:t>
      </w:r>
      <w:r w:rsidR="009140E0" w:rsidRPr="006D2566">
        <w:rPr>
          <w:rFonts w:cs="Arial"/>
        </w:rPr>
        <w:t xml:space="preserve"> 75 </w:t>
      </w:r>
      <w:r w:rsidR="001079FF" w:rsidRPr="006D2566">
        <w:rPr>
          <w:rFonts w:cs="Arial"/>
        </w:rPr>
        <w:t>mil. Kč</w:t>
      </w:r>
      <w:r w:rsidR="006510E9" w:rsidRPr="006D2566">
        <w:rPr>
          <w:rFonts w:cs="Arial"/>
        </w:rPr>
        <w:t>.</w:t>
      </w:r>
    </w:p>
    <w:p w14:paraId="22E6029D" w14:textId="77777777" w:rsidR="00036CF0" w:rsidRPr="006D2566" w:rsidRDefault="00036CF0" w:rsidP="00036CF0">
      <w:pPr>
        <w:pStyle w:val="Textvbloku"/>
        <w:widowControl w:val="0"/>
        <w:numPr>
          <w:ilvl w:val="0"/>
          <w:numId w:val="5"/>
        </w:numPr>
        <w:spacing w:before="100"/>
        <w:ind w:left="426" w:right="0" w:hanging="426"/>
        <w:rPr>
          <w:rFonts w:cs="Arial"/>
        </w:rPr>
      </w:pPr>
      <w:r w:rsidRPr="006D2566">
        <w:rPr>
          <w:rFonts w:cs="Arial"/>
        </w:rPr>
        <w:t>Nad rámec finančního plnění dle předchozího odstavce, poskytne Univerzita v případě odstoupení od smlouvy dle odst. 2 tohoto článku Kraji (</w:t>
      </w:r>
      <w:r w:rsidR="009049C2" w:rsidRPr="006D2566">
        <w:rPr>
          <w:rFonts w:cs="Arial"/>
        </w:rPr>
        <w:t>a/</w:t>
      </w:r>
      <w:r w:rsidRPr="006D2566">
        <w:rPr>
          <w:rFonts w:cs="Arial"/>
        </w:rPr>
        <w:t xml:space="preserve">nebo jím zřízené či založené organizaci) výpůjčku v rozsahu jednoho patra budovy U1, a to na dobu 10 let. Prostory budou předány k užívání do 3 kalendářních měsíců od skončení akademického roku, ve kterém dojde k odstoupení dle odst. 2 tohoto článku. </w:t>
      </w:r>
      <w:r w:rsidR="00F737A5" w:rsidRPr="006D2566">
        <w:rPr>
          <w:rFonts w:cs="Arial"/>
        </w:rPr>
        <w:t>Pokud výpůjč</w:t>
      </w:r>
      <w:r w:rsidR="00B614E8" w:rsidRPr="006D2566">
        <w:rPr>
          <w:rFonts w:cs="Arial"/>
        </w:rPr>
        <w:t xml:space="preserve">ka </w:t>
      </w:r>
      <w:r w:rsidR="000B3689" w:rsidRPr="006D2566">
        <w:rPr>
          <w:rFonts w:cs="Arial"/>
        </w:rPr>
        <w:t xml:space="preserve">uvedených prostor </w:t>
      </w:r>
      <w:r w:rsidR="00B614E8" w:rsidRPr="006D2566">
        <w:rPr>
          <w:rFonts w:cs="Arial"/>
        </w:rPr>
        <w:t>nebude možná z</w:t>
      </w:r>
      <w:r w:rsidR="00A1070B" w:rsidRPr="006D2566">
        <w:rPr>
          <w:rFonts w:cs="Arial"/>
        </w:rPr>
        <w:t xml:space="preserve"> prokazatelných </w:t>
      </w:r>
      <w:r w:rsidR="00B614E8" w:rsidRPr="006D2566">
        <w:rPr>
          <w:rFonts w:cs="Arial"/>
        </w:rPr>
        <w:t>objektivních důvodů</w:t>
      </w:r>
      <w:r w:rsidR="00ED002C" w:rsidRPr="006D2566">
        <w:rPr>
          <w:rFonts w:cs="Arial"/>
        </w:rPr>
        <w:t xml:space="preserve"> (např. podmínky jiné dotační smlouvy než </w:t>
      </w:r>
      <w:r w:rsidR="001E5C3F" w:rsidRPr="006D2566">
        <w:rPr>
          <w:rFonts w:cs="Arial"/>
        </w:rPr>
        <w:t xml:space="preserve">uzavřené </w:t>
      </w:r>
      <w:r w:rsidR="00ED002C" w:rsidRPr="006D2566">
        <w:rPr>
          <w:rFonts w:cs="Arial"/>
        </w:rPr>
        <w:t>mezi Krajem a UTB)</w:t>
      </w:r>
      <w:r w:rsidR="001C13CD" w:rsidRPr="006D2566">
        <w:rPr>
          <w:rFonts w:cs="Arial"/>
        </w:rPr>
        <w:t xml:space="preserve">, pak Univerzita nabídne Kraji </w:t>
      </w:r>
      <w:r w:rsidR="00797D0B" w:rsidRPr="006D2566">
        <w:rPr>
          <w:rFonts w:cs="Arial"/>
        </w:rPr>
        <w:t xml:space="preserve">k výpůjčce </w:t>
      </w:r>
      <w:r w:rsidR="00D23334" w:rsidRPr="006D2566">
        <w:rPr>
          <w:rFonts w:cs="Arial"/>
        </w:rPr>
        <w:t xml:space="preserve">jiné </w:t>
      </w:r>
      <w:r w:rsidR="00ED002C" w:rsidRPr="006D2566">
        <w:rPr>
          <w:rFonts w:cs="Arial"/>
        </w:rPr>
        <w:t>vhodné</w:t>
      </w:r>
      <w:r w:rsidR="001C13CD" w:rsidRPr="006D2566">
        <w:rPr>
          <w:rFonts w:cs="Arial"/>
        </w:rPr>
        <w:t xml:space="preserve"> prostory o rozloze minimálně 1300 m</w:t>
      </w:r>
      <w:r w:rsidR="00797D0B" w:rsidRPr="00373EB5">
        <w:rPr>
          <w:rFonts w:cs="Arial"/>
        </w:rPr>
        <w:t>²</w:t>
      </w:r>
      <w:r w:rsidR="00A1764D" w:rsidRPr="00373EB5">
        <w:rPr>
          <w:rFonts w:cs="Arial"/>
        </w:rPr>
        <w:t>,</w:t>
      </w:r>
      <w:r w:rsidRPr="006D2566">
        <w:rPr>
          <w:rFonts w:cs="Arial"/>
        </w:rPr>
        <w:t xml:space="preserve"> </w:t>
      </w:r>
      <w:r w:rsidR="00A1764D" w:rsidRPr="006D2566">
        <w:rPr>
          <w:rFonts w:cs="Arial"/>
        </w:rPr>
        <w:t xml:space="preserve">a to </w:t>
      </w:r>
      <w:r w:rsidR="00D23334" w:rsidRPr="006D2566">
        <w:rPr>
          <w:rFonts w:cs="Arial"/>
        </w:rPr>
        <w:t>v odpovídající lokalitě</w:t>
      </w:r>
      <w:r w:rsidR="002E1C63" w:rsidRPr="006D2566">
        <w:rPr>
          <w:rFonts w:cs="Arial"/>
        </w:rPr>
        <w:t xml:space="preserve"> (širší centrum města Zlína)</w:t>
      </w:r>
      <w:r w:rsidR="000932B8" w:rsidRPr="006D2566">
        <w:rPr>
          <w:rFonts w:cs="Arial"/>
        </w:rPr>
        <w:t>.</w:t>
      </w:r>
    </w:p>
    <w:p w14:paraId="6CFF11BB" w14:textId="67F8110E" w:rsidR="002A3074" w:rsidRPr="006D2566" w:rsidRDefault="00175D1E" w:rsidP="0043552B">
      <w:pPr>
        <w:pStyle w:val="Textvbloku"/>
        <w:widowControl w:val="0"/>
        <w:numPr>
          <w:ilvl w:val="0"/>
          <w:numId w:val="5"/>
        </w:numPr>
        <w:spacing w:before="100"/>
        <w:ind w:left="426" w:right="0" w:hanging="426"/>
        <w:rPr>
          <w:rFonts w:cs="Arial"/>
        </w:rPr>
      </w:pPr>
      <w:r w:rsidRPr="006D2566">
        <w:rPr>
          <w:rFonts w:cs="Arial"/>
        </w:rPr>
        <w:t>Výše plnění dle předchozí</w:t>
      </w:r>
      <w:r w:rsidR="0024203B" w:rsidRPr="006D2566">
        <w:rPr>
          <w:rFonts w:cs="Arial"/>
        </w:rPr>
        <w:t>ch</w:t>
      </w:r>
      <w:r w:rsidR="000B6725" w:rsidRPr="006D2566">
        <w:rPr>
          <w:rFonts w:cs="Arial"/>
        </w:rPr>
        <w:t xml:space="preserve"> odstavc</w:t>
      </w:r>
      <w:r w:rsidR="0024203B" w:rsidRPr="006D2566">
        <w:rPr>
          <w:rFonts w:cs="Arial"/>
        </w:rPr>
        <w:t>ů</w:t>
      </w:r>
      <w:r w:rsidR="000B6725" w:rsidRPr="006D2566">
        <w:rPr>
          <w:rFonts w:cs="Arial"/>
        </w:rPr>
        <w:t xml:space="preserve"> </w:t>
      </w:r>
      <w:r w:rsidRPr="006D2566">
        <w:rPr>
          <w:rFonts w:cs="Arial"/>
        </w:rPr>
        <w:t xml:space="preserve">je odůvodněna tím, že tato smlouva navazuje na smlouvu o poskytnutí individuální dotace UTB ve výši </w:t>
      </w:r>
      <w:r w:rsidR="007166A3" w:rsidRPr="006D2566">
        <w:rPr>
          <w:rFonts w:cs="Arial"/>
        </w:rPr>
        <w:t xml:space="preserve">maximálně </w:t>
      </w:r>
      <w:r w:rsidRPr="006D2566">
        <w:rPr>
          <w:rFonts w:cs="Arial"/>
        </w:rPr>
        <w:t xml:space="preserve">200 milionů Kč ze strany Kraje. Touto dotační smlouvu chce Kraj podpořit růst, rozvoj a zkvalitnění výuky UTB. Zkvalitnění výuky je také odraženo v této smlouvě, zejména v bodě 1.1., proto pokud by nebyla smlouva v této části naplněna z důvodu předčasného ukončení smlouvy, je tato skutečnost kompenzována </w:t>
      </w:r>
      <w:r w:rsidR="006716B4" w:rsidRPr="006D2566">
        <w:rPr>
          <w:rFonts w:cs="Arial"/>
        </w:rPr>
        <w:t>protiplněním</w:t>
      </w:r>
      <w:r w:rsidR="00816A2A" w:rsidRPr="006D2566">
        <w:rPr>
          <w:rFonts w:cs="Arial"/>
        </w:rPr>
        <w:t>, to vše s limitem podle bodu 1.1.4.2. této smlouvy</w:t>
      </w:r>
      <w:r w:rsidRPr="006D2566">
        <w:rPr>
          <w:rFonts w:cs="Arial"/>
        </w:rPr>
        <w:t xml:space="preserve">. </w:t>
      </w:r>
    </w:p>
    <w:p w14:paraId="105824D4" w14:textId="77777777" w:rsidR="00F44D7A" w:rsidRPr="006D2566" w:rsidRDefault="00A9006D" w:rsidP="00F44D7A">
      <w:pPr>
        <w:pStyle w:val="Textvbloku"/>
        <w:widowControl w:val="0"/>
        <w:numPr>
          <w:ilvl w:val="0"/>
          <w:numId w:val="5"/>
        </w:numPr>
        <w:spacing w:before="100"/>
        <w:ind w:left="426" w:right="0" w:hanging="426"/>
        <w:rPr>
          <w:rFonts w:cs="Arial"/>
        </w:rPr>
      </w:pPr>
      <w:r w:rsidRPr="006D2566">
        <w:rPr>
          <w:rFonts w:cs="Arial"/>
        </w:rPr>
        <w:t>UTB</w:t>
      </w:r>
      <w:r w:rsidR="00190407" w:rsidRPr="006D2566">
        <w:rPr>
          <w:rFonts w:cs="Arial"/>
        </w:rPr>
        <w:t xml:space="preserve"> je oprávněn</w:t>
      </w:r>
      <w:r w:rsidRPr="006D2566">
        <w:rPr>
          <w:rFonts w:cs="Arial"/>
        </w:rPr>
        <w:t>a</w:t>
      </w:r>
      <w:r w:rsidR="00190407" w:rsidRPr="006D2566">
        <w:rPr>
          <w:rFonts w:cs="Arial"/>
        </w:rPr>
        <w:t xml:space="preserve"> odstoupit od této smlouvy v</w:t>
      </w:r>
      <w:r w:rsidR="00A14BB2" w:rsidRPr="006D2566">
        <w:rPr>
          <w:rFonts w:cs="Arial"/>
        </w:rPr>
        <w:t> </w:t>
      </w:r>
      <w:r w:rsidR="00190407" w:rsidRPr="006D2566">
        <w:rPr>
          <w:rFonts w:cs="Arial"/>
        </w:rPr>
        <w:t>případ</w:t>
      </w:r>
      <w:r w:rsidR="00A14BB2" w:rsidRPr="006D2566">
        <w:rPr>
          <w:rFonts w:cs="Arial"/>
        </w:rPr>
        <w:t xml:space="preserve">ě, </w:t>
      </w:r>
      <w:r w:rsidR="00190407" w:rsidRPr="006D2566">
        <w:rPr>
          <w:rFonts w:cs="Arial"/>
          <w:spacing w:val="-2"/>
        </w:rPr>
        <w:t xml:space="preserve">kdy </w:t>
      </w:r>
      <w:r w:rsidRPr="006D2566">
        <w:rPr>
          <w:rFonts w:cs="Arial"/>
          <w:spacing w:val="-2"/>
        </w:rPr>
        <w:t>Kraj</w:t>
      </w:r>
      <w:r w:rsidR="00190407" w:rsidRPr="006D2566">
        <w:rPr>
          <w:rFonts w:cs="Arial"/>
          <w:spacing w:val="-2"/>
        </w:rPr>
        <w:t xml:space="preserve"> </w:t>
      </w:r>
      <w:r w:rsidR="00E52B8E" w:rsidRPr="006D2566">
        <w:rPr>
          <w:rFonts w:cs="Arial"/>
          <w:spacing w:val="-2"/>
        </w:rPr>
        <w:t>opakovaně</w:t>
      </w:r>
      <w:r w:rsidR="00583420" w:rsidRPr="006D2566">
        <w:rPr>
          <w:rFonts w:cs="Arial"/>
          <w:spacing w:val="-2"/>
        </w:rPr>
        <w:t xml:space="preserve"> (minimálně 3x během jednoho kalendářního roku</w:t>
      </w:r>
      <w:r w:rsidR="00875207" w:rsidRPr="006D2566">
        <w:rPr>
          <w:rFonts w:cs="Arial"/>
          <w:spacing w:val="-2"/>
        </w:rPr>
        <w:t>)</w:t>
      </w:r>
      <w:r w:rsidR="00E52B8E" w:rsidRPr="006D2566">
        <w:rPr>
          <w:rFonts w:cs="Arial"/>
          <w:spacing w:val="-2"/>
        </w:rPr>
        <w:t xml:space="preserve"> a dlouhodobě</w:t>
      </w:r>
      <w:r w:rsidR="00875207" w:rsidRPr="006D2566">
        <w:rPr>
          <w:rFonts w:cs="Arial"/>
          <w:spacing w:val="-2"/>
        </w:rPr>
        <w:t xml:space="preserve"> (minimálně ve dvou po sobě jdoucích letech)</w:t>
      </w:r>
      <w:r w:rsidR="00E52B8E" w:rsidRPr="006D2566">
        <w:rPr>
          <w:rFonts w:cs="Arial"/>
          <w:spacing w:val="-2"/>
        </w:rPr>
        <w:t xml:space="preserve"> </w:t>
      </w:r>
      <w:r w:rsidR="007F0916" w:rsidRPr="006D2566">
        <w:rPr>
          <w:rFonts w:cs="Arial"/>
          <w:spacing w:val="-2"/>
        </w:rPr>
        <w:t>svým jednáním neumožňuje</w:t>
      </w:r>
      <w:r w:rsidR="00190407" w:rsidRPr="006D2566">
        <w:rPr>
          <w:rFonts w:cs="Arial"/>
          <w:spacing w:val="-2"/>
        </w:rPr>
        <w:t xml:space="preserve"> </w:t>
      </w:r>
      <w:r w:rsidRPr="006D2566">
        <w:rPr>
          <w:rFonts w:cs="Arial"/>
          <w:spacing w:val="-2"/>
        </w:rPr>
        <w:t>UTB</w:t>
      </w:r>
      <w:r w:rsidR="00190407" w:rsidRPr="006D2566">
        <w:rPr>
          <w:rFonts w:cs="Arial"/>
          <w:spacing w:val="-2"/>
        </w:rPr>
        <w:t xml:space="preserve"> pl</w:t>
      </w:r>
      <w:r w:rsidR="009877DE" w:rsidRPr="006D2566">
        <w:rPr>
          <w:rFonts w:cs="Arial"/>
          <w:spacing w:val="-2"/>
        </w:rPr>
        <w:t>n</w:t>
      </w:r>
      <w:r w:rsidR="007F0916" w:rsidRPr="006D2566">
        <w:rPr>
          <w:rFonts w:cs="Arial"/>
          <w:spacing w:val="-2"/>
        </w:rPr>
        <w:t>it</w:t>
      </w:r>
      <w:r w:rsidR="009877DE" w:rsidRPr="006D2566">
        <w:rPr>
          <w:rFonts w:cs="Arial"/>
          <w:spacing w:val="-2"/>
        </w:rPr>
        <w:t xml:space="preserve"> závaz</w:t>
      </w:r>
      <w:r w:rsidR="007F0916" w:rsidRPr="006D2566">
        <w:rPr>
          <w:rFonts w:cs="Arial"/>
          <w:spacing w:val="-2"/>
        </w:rPr>
        <w:t>e</w:t>
      </w:r>
      <w:r w:rsidR="009877DE" w:rsidRPr="006D2566">
        <w:rPr>
          <w:rFonts w:cs="Arial"/>
          <w:spacing w:val="-2"/>
        </w:rPr>
        <w:t xml:space="preserve">k </w:t>
      </w:r>
      <w:r w:rsidR="007F0916" w:rsidRPr="006D2566">
        <w:rPr>
          <w:rFonts w:cs="Arial"/>
          <w:spacing w:val="-2"/>
        </w:rPr>
        <w:t>dle této smlouvy</w:t>
      </w:r>
      <w:r w:rsidR="00190407" w:rsidRPr="006D2566">
        <w:rPr>
          <w:rFonts w:cs="Arial"/>
          <w:spacing w:val="-2"/>
        </w:rPr>
        <w:t>, přestože byl na možnost odstoupení</w:t>
      </w:r>
      <w:r w:rsidR="00875207" w:rsidRPr="006D2566">
        <w:rPr>
          <w:rFonts w:cs="Arial"/>
          <w:spacing w:val="-2"/>
        </w:rPr>
        <w:t xml:space="preserve"> </w:t>
      </w:r>
      <w:r w:rsidR="00190407" w:rsidRPr="006D2566">
        <w:rPr>
          <w:rFonts w:cs="Arial"/>
          <w:spacing w:val="-2"/>
        </w:rPr>
        <w:t>písemně upozorněn a byla mu poskytnuta dostatečně přiměřená lhůta k nápravě.</w:t>
      </w:r>
    </w:p>
    <w:p w14:paraId="20899017" w14:textId="77777777" w:rsidR="00D3415A" w:rsidRPr="006D2566" w:rsidRDefault="00190407" w:rsidP="00F44D7A">
      <w:pPr>
        <w:pStyle w:val="Textvbloku"/>
        <w:widowControl w:val="0"/>
        <w:numPr>
          <w:ilvl w:val="0"/>
          <w:numId w:val="5"/>
        </w:numPr>
        <w:spacing w:before="100"/>
        <w:ind w:left="426" w:right="0" w:hanging="426"/>
        <w:rPr>
          <w:rFonts w:cs="Arial"/>
        </w:rPr>
      </w:pPr>
      <w:r w:rsidRPr="006D2566">
        <w:rPr>
          <w:rFonts w:cs="Arial"/>
        </w:rPr>
        <w:t xml:space="preserve">Odstoupením od smlouvy, tj. doručením projevu vůle o odstoupení druhému účastníkovi, smlouva zaniká. </w:t>
      </w:r>
      <w:r w:rsidR="006A4BBF" w:rsidRPr="006D2566">
        <w:rPr>
          <w:rFonts w:cs="Arial"/>
        </w:rPr>
        <w:t xml:space="preserve">Odstoupení od smlouvy se však nedotýká povinnosti splnit závazky </w:t>
      </w:r>
      <w:r w:rsidR="00F44D7A" w:rsidRPr="006D2566">
        <w:rPr>
          <w:rFonts w:cs="Arial"/>
        </w:rPr>
        <w:t xml:space="preserve">plynoucí z </w:t>
      </w:r>
      <w:r w:rsidR="006A4BBF" w:rsidRPr="006D2566">
        <w:rPr>
          <w:rFonts w:cs="Arial"/>
        </w:rPr>
        <w:t xml:space="preserve">nároku na náhradu škody, smluvní pokuty, řešení sporů mezi smluvními stranami. </w:t>
      </w:r>
    </w:p>
    <w:p w14:paraId="5869893D" w14:textId="77777777" w:rsidR="00190407" w:rsidRPr="006D2566" w:rsidRDefault="00190407" w:rsidP="0043552B">
      <w:pPr>
        <w:pStyle w:val="Textvbloku"/>
        <w:widowControl w:val="0"/>
        <w:numPr>
          <w:ilvl w:val="0"/>
          <w:numId w:val="5"/>
        </w:numPr>
        <w:spacing w:before="100"/>
        <w:ind w:left="426" w:right="0" w:hanging="426"/>
        <w:rPr>
          <w:rFonts w:cs="Arial"/>
        </w:rPr>
      </w:pPr>
      <w:r w:rsidRPr="006D2566">
        <w:rPr>
          <w:rFonts w:cs="Arial"/>
        </w:rPr>
        <w:t>Smluvní strany si sjednávají, že škodou se rozumí z</w:t>
      </w:r>
      <w:r w:rsidR="00045A51" w:rsidRPr="006D2566">
        <w:rPr>
          <w:rFonts w:cs="Arial"/>
        </w:rPr>
        <w:t xml:space="preserve">ejména </w:t>
      </w:r>
      <w:r w:rsidRPr="006D2566">
        <w:rPr>
          <w:rFonts w:cs="Arial"/>
        </w:rPr>
        <w:t xml:space="preserve">částka rovnající se částce, kterou </w:t>
      </w:r>
      <w:r w:rsidR="00541DFA" w:rsidRPr="006D2566">
        <w:rPr>
          <w:rFonts w:cs="Arial"/>
        </w:rPr>
        <w:t>Kraj</w:t>
      </w:r>
      <w:r w:rsidRPr="006D2566">
        <w:rPr>
          <w:rFonts w:cs="Arial"/>
        </w:rPr>
        <w:t xml:space="preserve"> musel vynaložit pro zajištěn</w:t>
      </w:r>
      <w:r w:rsidR="00541DFA" w:rsidRPr="006D2566">
        <w:rPr>
          <w:rFonts w:cs="Arial"/>
        </w:rPr>
        <w:t>í činností, vymezených v čl. I</w:t>
      </w:r>
      <w:r w:rsidRPr="006D2566">
        <w:rPr>
          <w:rFonts w:cs="Arial"/>
        </w:rPr>
        <w:t>. této smlouvy pouze v důsledku vadnosti plnění</w:t>
      </w:r>
      <w:r w:rsidR="005372F3" w:rsidRPr="006D2566">
        <w:rPr>
          <w:rFonts w:cs="Arial"/>
        </w:rPr>
        <w:t>/odmítnutí plnění</w:t>
      </w:r>
      <w:r w:rsidRPr="006D2566">
        <w:rPr>
          <w:rFonts w:cs="Arial"/>
        </w:rPr>
        <w:t xml:space="preserve"> </w:t>
      </w:r>
      <w:r w:rsidR="00541DFA" w:rsidRPr="006D2566">
        <w:rPr>
          <w:rFonts w:cs="Arial"/>
        </w:rPr>
        <w:t>Univerzity</w:t>
      </w:r>
      <w:r w:rsidRPr="006D2566">
        <w:rPr>
          <w:rFonts w:cs="Arial"/>
        </w:rPr>
        <w:t>.</w:t>
      </w:r>
    </w:p>
    <w:p w14:paraId="63C2BC8E" w14:textId="77777777" w:rsidR="00273C65" w:rsidRPr="006D2566" w:rsidRDefault="00273C65" w:rsidP="0043552B">
      <w:pPr>
        <w:pStyle w:val="Textvbloku"/>
        <w:widowControl w:val="0"/>
        <w:numPr>
          <w:ilvl w:val="0"/>
          <w:numId w:val="5"/>
        </w:numPr>
        <w:spacing w:before="100"/>
        <w:ind w:left="426" w:right="0" w:hanging="426"/>
        <w:rPr>
          <w:rFonts w:cs="Arial"/>
        </w:rPr>
      </w:pPr>
      <w:r w:rsidRPr="006D2566">
        <w:rPr>
          <w:rFonts w:cs="Arial"/>
        </w:rPr>
        <w:t>Smluvní strany si dále sjednávají, že škodou se rovněž rozumí částka odpovídající újmě, kterou Univerzita utrpěla z důvodů činnosti Kraje v rozporu s touto smlouvou</w:t>
      </w:r>
      <w:r w:rsidR="00C623DF" w:rsidRPr="006D2566">
        <w:rPr>
          <w:rFonts w:cs="Arial"/>
        </w:rPr>
        <w:t xml:space="preserve"> či jeho nečinnosti</w:t>
      </w:r>
      <w:r w:rsidRPr="006D2566">
        <w:rPr>
          <w:rFonts w:cs="Arial"/>
        </w:rPr>
        <w:t>.</w:t>
      </w:r>
    </w:p>
    <w:p w14:paraId="40C873CB" w14:textId="77777777" w:rsidR="00190407" w:rsidRPr="006D2566" w:rsidRDefault="00190407" w:rsidP="0043552B">
      <w:pPr>
        <w:pStyle w:val="Textvbloku"/>
        <w:widowControl w:val="0"/>
        <w:numPr>
          <w:ilvl w:val="0"/>
          <w:numId w:val="5"/>
        </w:numPr>
        <w:spacing w:before="100"/>
        <w:ind w:left="426" w:right="0" w:hanging="426"/>
        <w:rPr>
          <w:rFonts w:cs="Arial"/>
        </w:rPr>
      </w:pPr>
      <w:r w:rsidRPr="006D2566">
        <w:rPr>
          <w:rFonts w:cs="Arial"/>
        </w:rPr>
        <w:t>V případě ukončení této smlouvy před dobou sjednanou v odst. 1. tohoto článku je </w:t>
      </w:r>
      <w:r w:rsidR="00541DFA" w:rsidRPr="006D2566">
        <w:rPr>
          <w:rFonts w:cs="Arial"/>
        </w:rPr>
        <w:t>Univerzita</w:t>
      </w:r>
      <w:r w:rsidRPr="006D2566">
        <w:rPr>
          <w:rFonts w:cs="Arial"/>
        </w:rPr>
        <w:t xml:space="preserve"> p</w:t>
      </w:r>
      <w:r w:rsidR="00541DFA" w:rsidRPr="006D2566">
        <w:rPr>
          <w:rFonts w:cs="Arial"/>
        </w:rPr>
        <w:t>ovinna</w:t>
      </w:r>
      <w:r w:rsidRPr="006D2566">
        <w:rPr>
          <w:rFonts w:cs="Arial"/>
        </w:rPr>
        <w:t xml:space="preserve"> uskutečnit, resp. dokončit nezbytné úkony, jejichž neuskutečněním by mohla vzniknout </w:t>
      </w:r>
      <w:r w:rsidR="00541DFA" w:rsidRPr="006D2566">
        <w:rPr>
          <w:rFonts w:cs="Arial"/>
        </w:rPr>
        <w:t>Kraji</w:t>
      </w:r>
      <w:r w:rsidRPr="006D2566">
        <w:rPr>
          <w:rFonts w:cs="Arial"/>
        </w:rPr>
        <w:t xml:space="preserve"> škoda.</w:t>
      </w:r>
    </w:p>
    <w:p w14:paraId="650F1546" w14:textId="4668CE5D" w:rsidR="006718D7" w:rsidRPr="006D2566" w:rsidRDefault="00DA7254" w:rsidP="006718D7">
      <w:pPr>
        <w:pStyle w:val="Textvbloku"/>
        <w:widowControl w:val="0"/>
        <w:numPr>
          <w:ilvl w:val="0"/>
          <w:numId w:val="5"/>
        </w:numPr>
        <w:spacing w:before="100"/>
        <w:ind w:left="426" w:right="0" w:hanging="426"/>
        <w:rPr>
          <w:rFonts w:cs="Arial"/>
        </w:rPr>
      </w:pPr>
      <w:r w:rsidRPr="006D2566">
        <w:rPr>
          <w:rFonts w:cs="Arial"/>
        </w:rPr>
        <w:lastRenderedPageBreak/>
        <w:t>Smluvní strany se dohodly, že v</w:t>
      </w:r>
      <w:r w:rsidR="00A438C2" w:rsidRPr="006D2566">
        <w:rPr>
          <w:rFonts w:cs="Arial"/>
        </w:rPr>
        <w:t xml:space="preserve"> případě, že </w:t>
      </w:r>
      <w:r w:rsidR="005037CA" w:rsidRPr="006D2566">
        <w:rPr>
          <w:rFonts w:cs="Arial"/>
        </w:rPr>
        <w:t>dojde k ukončení dotační smlouvy</w:t>
      </w:r>
      <w:r w:rsidR="004627C3" w:rsidRPr="006D2566">
        <w:rPr>
          <w:rFonts w:cs="Arial"/>
        </w:rPr>
        <w:t xml:space="preserve"> (čl. 9 dotační smlouvy)</w:t>
      </w:r>
      <w:r w:rsidR="00A438C2" w:rsidRPr="006D2566">
        <w:rPr>
          <w:rFonts w:cs="Arial"/>
        </w:rPr>
        <w:t xml:space="preserve">, pak </w:t>
      </w:r>
      <w:r w:rsidRPr="006D2566">
        <w:rPr>
          <w:rFonts w:cs="Arial"/>
        </w:rPr>
        <w:t xml:space="preserve">je ukončena </w:t>
      </w:r>
      <w:r w:rsidR="004627C3" w:rsidRPr="006D2566">
        <w:rPr>
          <w:rFonts w:cs="Arial"/>
        </w:rPr>
        <w:t xml:space="preserve">bez dalšího </w:t>
      </w:r>
      <w:r w:rsidRPr="006D2566">
        <w:rPr>
          <w:rFonts w:cs="Arial"/>
        </w:rPr>
        <w:t xml:space="preserve">i </w:t>
      </w:r>
      <w:r w:rsidR="00A438C2" w:rsidRPr="006D2566">
        <w:rPr>
          <w:rFonts w:cs="Arial"/>
        </w:rPr>
        <w:t>tato smlouva</w:t>
      </w:r>
      <w:r w:rsidR="00242B8B" w:rsidRPr="006D2566">
        <w:rPr>
          <w:rFonts w:cs="Arial"/>
        </w:rPr>
        <w:t>.</w:t>
      </w:r>
      <w:r w:rsidR="006718D7" w:rsidRPr="006D2566">
        <w:rPr>
          <w:rFonts w:cs="Arial"/>
        </w:rPr>
        <w:t xml:space="preserve"> Tím není dotčeno právo Kraje na zaplacení smluvních pokut, na které vznikl </w:t>
      </w:r>
      <w:r w:rsidR="414A8411" w:rsidRPr="006D2566">
        <w:rPr>
          <w:rFonts w:cs="Arial"/>
        </w:rPr>
        <w:t>K</w:t>
      </w:r>
      <w:r w:rsidR="006718D7" w:rsidRPr="006D2566">
        <w:rPr>
          <w:rFonts w:cs="Arial"/>
        </w:rPr>
        <w:t xml:space="preserve">raji nárok do doby </w:t>
      </w:r>
      <w:r w:rsidR="006C5B11" w:rsidRPr="006D2566">
        <w:rPr>
          <w:rFonts w:cs="Arial"/>
        </w:rPr>
        <w:t>ukončení</w:t>
      </w:r>
      <w:r w:rsidR="006718D7" w:rsidRPr="006D2566">
        <w:rPr>
          <w:rFonts w:cs="Arial"/>
        </w:rPr>
        <w:t xml:space="preserve"> této smlouvy.</w:t>
      </w:r>
      <w:r w:rsidR="6E52B317" w:rsidRPr="006D2566">
        <w:rPr>
          <w:rFonts w:cs="Arial"/>
        </w:rPr>
        <w:t xml:space="preserve"> L</w:t>
      </w:r>
      <w:r w:rsidR="360D1EEB" w:rsidRPr="006D2566">
        <w:rPr>
          <w:rFonts w:cs="Arial"/>
        </w:rPr>
        <w:t>i</w:t>
      </w:r>
      <w:r w:rsidR="6E52B317" w:rsidRPr="006D2566">
        <w:rPr>
          <w:rFonts w:cs="Arial"/>
        </w:rPr>
        <w:t xml:space="preserve">mitace částkou 200 mil. Kč podle </w:t>
      </w:r>
      <w:r w:rsidR="48567D25" w:rsidRPr="006D2566">
        <w:rPr>
          <w:rFonts w:cs="Arial"/>
        </w:rPr>
        <w:t xml:space="preserve">bodu </w:t>
      </w:r>
      <w:r w:rsidR="6E52B317" w:rsidRPr="006D2566">
        <w:rPr>
          <w:rFonts w:cs="Arial"/>
        </w:rPr>
        <w:t>1.1.4.2.</w:t>
      </w:r>
      <w:r w:rsidR="2F7F5835" w:rsidRPr="006D2566">
        <w:rPr>
          <w:rFonts w:cs="Arial"/>
        </w:rPr>
        <w:t xml:space="preserve">této smlouvy </w:t>
      </w:r>
      <w:r w:rsidR="4406A0EC" w:rsidRPr="006D2566">
        <w:rPr>
          <w:rFonts w:cs="Arial"/>
        </w:rPr>
        <w:t xml:space="preserve">zůstává </w:t>
      </w:r>
      <w:r w:rsidR="062D4325" w:rsidRPr="006D2566">
        <w:rPr>
          <w:rFonts w:cs="Arial"/>
        </w:rPr>
        <w:t>v platnosti</w:t>
      </w:r>
      <w:r w:rsidR="4406A0EC" w:rsidRPr="006D2566">
        <w:rPr>
          <w:rFonts w:cs="Arial"/>
        </w:rPr>
        <w:t xml:space="preserve"> i v případě zániku této smlouvy, </w:t>
      </w:r>
      <w:r w:rsidR="23CBE00D" w:rsidRPr="006D2566">
        <w:rPr>
          <w:rFonts w:cs="Arial"/>
        </w:rPr>
        <w:t>podle první věty</w:t>
      </w:r>
      <w:r w:rsidR="4406A0EC" w:rsidRPr="006D2566">
        <w:rPr>
          <w:rFonts w:cs="Arial"/>
        </w:rPr>
        <w:t xml:space="preserve"> toho</w:t>
      </w:r>
      <w:r w:rsidR="597D8753" w:rsidRPr="006D2566">
        <w:rPr>
          <w:rFonts w:cs="Arial"/>
        </w:rPr>
        <w:t>to odstavce.</w:t>
      </w:r>
      <w:r w:rsidR="6E52B317" w:rsidRPr="006D2566">
        <w:rPr>
          <w:rFonts w:cs="Arial"/>
        </w:rPr>
        <w:t xml:space="preserve"> </w:t>
      </w:r>
    </w:p>
    <w:p w14:paraId="0EB0192A" w14:textId="77777777" w:rsidR="00A438C2" w:rsidRPr="006D2566" w:rsidRDefault="00A438C2" w:rsidP="006718D7">
      <w:pPr>
        <w:pStyle w:val="Textvbloku"/>
        <w:widowControl w:val="0"/>
        <w:spacing w:before="100"/>
        <w:ind w:left="426" w:right="0"/>
        <w:rPr>
          <w:rFonts w:cs="Arial"/>
        </w:rPr>
      </w:pPr>
    </w:p>
    <w:p w14:paraId="14C227F8" w14:textId="77777777" w:rsidR="00190407" w:rsidRPr="006D2566" w:rsidRDefault="00190407" w:rsidP="00190407">
      <w:pPr>
        <w:pStyle w:val="Nadpis1"/>
        <w:rPr>
          <w:caps/>
        </w:rPr>
      </w:pPr>
      <w:r w:rsidRPr="006D2566">
        <w:t>KONTAKTNÍ OSOBY</w:t>
      </w:r>
    </w:p>
    <w:p w14:paraId="7784020C" w14:textId="77777777" w:rsidR="00190407" w:rsidRPr="006D2566" w:rsidRDefault="00190407" w:rsidP="00190407">
      <w:pPr>
        <w:pStyle w:val="Odstavecseseznamem"/>
        <w:spacing w:line="240" w:lineRule="auto"/>
        <w:ind w:left="426"/>
        <w:jc w:val="both"/>
        <w:rPr>
          <w:rFonts w:ascii="Arial" w:hAnsi="Arial" w:cs="Arial"/>
          <w:sz w:val="20"/>
          <w:szCs w:val="20"/>
        </w:rPr>
      </w:pPr>
      <w:r w:rsidRPr="006D2566">
        <w:rPr>
          <w:rFonts w:ascii="Arial" w:hAnsi="Arial" w:cs="Arial"/>
          <w:sz w:val="20"/>
          <w:szCs w:val="20"/>
        </w:rPr>
        <w:t>Kontaktními osobami ve věcech této smlouvy jsou</w:t>
      </w:r>
      <w:r w:rsidR="00C35C05" w:rsidRPr="006D2566">
        <w:rPr>
          <w:rFonts w:ascii="Arial" w:hAnsi="Arial" w:cs="Arial"/>
          <w:sz w:val="20"/>
          <w:szCs w:val="20"/>
        </w:rPr>
        <w:t>:</w:t>
      </w:r>
    </w:p>
    <w:p w14:paraId="1E4F85F7" w14:textId="77777777" w:rsidR="00C35C05" w:rsidRPr="006D2566" w:rsidRDefault="00D73CEA" w:rsidP="00190407">
      <w:pPr>
        <w:pStyle w:val="Odstavecseseznamem"/>
        <w:spacing w:line="240" w:lineRule="auto"/>
        <w:ind w:left="426"/>
        <w:jc w:val="both"/>
        <w:rPr>
          <w:rFonts w:ascii="Arial" w:hAnsi="Arial" w:cs="Arial"/>
          <w:sz w:val="20"/>
          <w:szCs w:val="20"/>
        </w:rPr>
      </w:pPr>
      <w:r w:rsidRPr="006D2566">
        <w:rPr>
          <w:rFonts w:ascii="Arial" w:hAnsi="Arial" w:cs="Arial"/>
          <w:sz w:val="20"/>
          <w:szCs w:val="20"/>
        </w:rPr>
        <w:t>Za</w:t>
      </w:r>
      <w:r w:rsidR="00B10F66" w:rsidRPr="006D2566">
        <w:rPr>
          <w:rFonts w:ascii="Arial" w:hAnsi="Arial" w:cs="Arial"/>
          <w:sz w:val="20"/>
          <w:szCs w:val="20"/>
        </w:rPr>
        <w:t xml:space="preserve"> Kraj</w:t>
      </w:r>
      <w:r w:rsidRPr="006D2566">
        <w:t>:</w:t>
      </w:r>
      <w:r w:rsidRPr="006D2566">
        <w:rPr>
          <w:rFonts w:ascii="Arial" w:hAnsi="Arial" w:cs="Arial"/>
          <w:sz w:val="20"/>
          <w:szCs w:val="20"/>
        </w:rPr>
        <w:tab/>
        <w:t xml:space="preserve">Ing. Kubernátová Barbora, e-mail: </w:t>
      </w:r>
      <w:hyperlink r:id="rId8" w:history="1">
        <w:r w:rsidR="00475EA1" w:rsidRPr="006D2566">
          <w:rPr>
            <w:rStyle w:val="Hypertextovodkaz"/>
            <w:rFonts w:ascii="Arial" w:hAnsi="Arial" w:cs="Arial"/>
            <w:sz w:val="20"/>
            <w:szCs w:val="20"/>
          </w:rPr>
          <w:t>barbora.kubernatova@zlinskykraj.cz</w:t>
        </w:r>
      </w:hyperlink>
      <w:r w:rsidR="007B2FF1" w:rsidRPr="006D2566">
        <w:rPr>
          <w:rFonts w:ascii="Arial" w:hAnsi="Arial" w:cs="Arial"/>
          <w:sz w:val="20"/>
          <w:szCs w:val="20"/>
        </w:rPr>
        <w:t xml:space="preserve">, </w:t>
      </w:r>
      <w:proofErr w:type="spellStart"/>
      <w:r w:rsidR="007B2FF1" w:rsidRPr="006D2566">
        <w:rPr>
          <w:rFonts w:ascii="Arial" w:hAnsi="Arial" w:cs="Arial"/>
          <w:sz w:val="20"/>
          <w:szCs w:val="20"/>
        </w:rPr>
        <w:t>tel.č</w:t>
      </w:r>
      <w:proofErr w:type="spellEnd"/>
      <w:r w:rsidR="007B2FF1" w:rsidRPr="006D2566">
        <w:rPr>
          <w:rFonts w:ascii="Arial" w:hAnsi="Arial" w:cs="Arial"/>
          <w:sz w:val="20"/>
          <w:szCs w:val="20"/>
        </w:rPr>
        <w:t xml:space="preserve">. </w:t>
      </w:r>
      <w:r w:rsidR="00767E6B" w:rsidRPr="006D2566">
        <w:rPr>
          <w:rFonts w:ascii="Arial" w:hAnsi="Arial" w:cs="Arial"/>
          <w:sz w:val="20"/>
          <w:szCs w:val="20"/>
        </w:rPr>
        <w:t>577 043 843.</w:t>
      </w:r>
    </w:p>
    <w:p w14:paraId="6BD31517" w14:textId="77777777" w:rsidR="00B10F66" w:rsidRPr="006D2566" w:rsidRDefault="00D73CEA" w:rsidP="00190407">
      <w:pPr>
        <w:pStyle w:val="Odstavecseseznamem"/>
        <w:spacing w:line="240" w:lineRule="auto"/>
        <w:ind w:left="426"/>
        <w:jc w:val="both"/>
        <w:rPr>
          <w:rFonts w:ascii="Arial" w:hAnsi="Arial" w:cs="Arial"/>
          <w:sz w:val="20"/>
          <w:szCs w:val="20"/>
        </w:rPr>
      </w:pPr>
      <w:r w:rsidRPr="006D2566">
        <w:rPr>
          <w:rFonts w:ascii="Arial" w:hAnsi="Arial" w:cs="Arial"/>
          <w:sz w:val="20"/>
          <w:szCs w:val="20"/>
        </w:rPr>
        <w:t>Za</w:t>
      </w:r>
      <w:r w:rsidR="00B10F66" w:rsidRPr="006D2566">
        <w:rPr>
          <w:rFonts w:ascii="Arial" w:hAnsi="Arial" w:cs="Arial"/>
          <w:sz w:val="20"/>
          <w:szCs w:val="20"/>
        </w:rPr>
        <w:t xml:space="preserve"> UTB: </w:t>
      </w:r>
      <w:r w:rsidR="001D178E" w:rsidRPr="006D2566">
        <w:rPr>
          <w:rFonts w:ascii="Arial" w:hAnsi="Arial" w:cs="Arial"/>
          <w:sz w:val="20"/>
          <w:szCs w:val="20"/>
        </w:rPr>
        <w:t xml:space="preserve">děkan </w:t>
      </w:r>
      <w:r w:rsidR="00AE5D62" w:rsidRPr="006D2566">
        <w:rPr>
          <w:rFonts w:ascii="Arial" w:hAnsi="Arial" w:cs="Arial"/>
          <w:sz w:val="20"/>
          <w:szCs w:val="20"/>
        </w:rPr>
        <w:t xml:space="preserve">Fakulty Technologické UTB, e-mail: </w:t>
      </w:r>
      <w:hyperlink r:id="rId9" w:history="1">
        <w:r w:rsidR="00407FDE" w:rsidRPr="006D2566">
          <w:rPr>
            <w:rStyle w:val="Hypertextovodkaz"/>
            <w:rFonts w:ascii="Arial" w:hAnsi="Arial" w:cs="Arial"/>
            <w:sz w:val="20"/>
            <w:szCs w:val="20"/>
          </w:rPr>
          <w:t>dekan@ft.utb.cz</w:t>
        </w:r>
      </w:hyperlink>
      <w:r w:rsidR="00407FDE" w:rsidRPr="006D2566">
        <w:rPr>
          <w:rFonts w:ascii="Arial" w:hAnsi="Arial" w:cs="Arial"/>
          <w:sz w:val="20"/>
          <w:szCs w:val="20"/>
        </w:rPr>
        <w:t xml:space="preserve">, </w:t>
      </w:r>
      <w:proofErr w:type="spellStart"/>
      <w:r w:rsidR="00407FDE" w:rsidRPr="006D2566">
        <w:rPr>
          <w:rFonts w:ascii="Arial" w:hAnsi="Arial" w:cs="Arial"/>
          <w:sz w:val="20"/>
          <w:szCs w:val="20"/>
        </w:rPr>
        <w:t>tel.č</w:t>
      </w:r>
      <w:proofErr w:type="spellEnd"/>
      <w:r w:rsidR="00407FDE" w:rsidRPr="006D2566">
        <w:rPr>
          <w:rFonts w:ascii="Arial" w:hAnsi="Arial" w:cs="Arial"/>
          <w:sz w:val="20"/>
          <w:szCs w:val="20"/>
        </w:rPr>
        <w:t>.</w:t>
      </w:r>
      <w:r w:rsidR="00407FDE" w:rsidRPr="006D2566">
        <w:t xml:space="preserve"> </w:t>
      </w:r>
      <w:r w:rsidR="00407FDE" w:rsidRPr="006D2566">
        <w:rPr>
          <w:rFonts w:ascii="Arial" w:hAnsi="Arial" w:cs="Arial"/>
          <w:sz w:val="20"/>
          <w:szCs w:val="20"/>
        </w:rPr>
        <w:t xml:space="preserve">576 031 345 </w:t>
      </w:r>
      <w:r w:rsidR="00C35CA1" w:rsidRPr="006D2566">
        <w:rPr>
          <w:rFonts w:ascii="Arial" w:hAnsi="Arial" w:cs="Arial"/>
          <w:sz w:val="20"/>
          <w:szCs w:val="20"/>
        </w:rPr>
        <w:t>(724 434 557)</w:t>
      </w:r>
      <w:r w:rsidR="00B224B3" w:rsidRPr="006D2566">
        <w:rPr>
          <w:rFonts w:ascii="Arial" w:hAnsi="Arial" w:cs="Arial"/>
          <w:sz w:val="20"/>
          <w:szCs w:val="20"/>
        </w:rPr>
        <w:t>.</w:t>
      </w:r>
    </w:p>
    <w:p w14:paraId="1BDD14AF" w14:textId="77777777" w:rsidR="00190407" w:rsidRPr="006D2566" w:rsidRDefault="00190407" w:rsidP="00190407">
      <w:pPr>
        <w:pStyle w:val="Nadpis1"/>
        <w:rPr>
          <w:caps/>
        </w:rPr>
      </w:pPr>
      <w:r w:rsidRPr="006D2566">
        <w:t xml:space="preserve">STYK MEZI STRANAMI, OZNÁMENÍ </w:t>
      </w:r>
    </w:p>
    <w:p w14:paraId="0B6F44D6" w14:textId="77777777" w:rsidR="00190407" w:rsidRPr="006D2566" w:rsidRDefault="00541DFA" w:rsidP="0043552B">
      <w:pPr>
        <w:pStyle w:val="Textvbloku"/>
        <w:widowControl w:val="0"/>
        <w:numPr>
          <w:ilvl w:val="0"/>
          <w:numId w:val="6"/>
        </w:numPr>
        <w:spacing w:before="100"/>
        <w:ind w:left="426" w:right="0" w:hanging="426"/>
        <w:rPr>
          <w:rFonts w:cs="Arial"/>
        </w:rPr>
      </w:pPr>
      <w:r w:rsidRPr="006D2566">
        <w:t>Není-li výše uvedeno jinak, v</w:t>
      </w:r>
      <w:r w:rsidR="00190407" w:rsidRPr="006D2566">
        <w:t>eškerá oznámení, pokyny nebo jiná vyrozumění, jejichž zaslání nebo doručení tato smlouva vyžaduje (dále jen „oznámení“), se provádí v písemné formě a může být uskutečněno osobním předáním</w:t>
      </w:r>
      <w:r w:rsidR="00EB0F32" w:rsidRPr="006D2566">
        <w:t xml:space="preserve"> či</w:t>
      </w:r>
      <w:r w:rsidR="00190407" w:rsidRPr="006D2566">
        <w:t xml:space="preserve"> datovou </w:t>
      </w:r>
      <w:r w:rsidR="00EB0F32" w:rsidRPr="006D2566">
        <w:t>zprávou</w:t>
      </w:r>
      <w:r w:rsidR="00190407" w:rsidRPr="006D2566">
        <w:t>.</w:t>
      </w:r>
    </w:p>
    <w:p w14:paraId="46B06F41" w14:textId="77777777" w:rsidR="00190407" w:rsidRPr="006D2566" w:rsidRDefault="00190407" w:rsidP="0043552B">
      <w:pPr>
        <w:pStyle w:val="Textvbloku"/>
        <w:widowControl w:val="0"/>
        <w:numPr>
          <w:ilvl w:val="0"/>
          <w:numId w:val="6"/>
        </w:numPr>
        <w:spacing w:before="100"/>
        <w:ind w:left="426" w:right="0" w:hanging="426"/>
        <w:rPr>
          <w:rFonts w:cs="Arial"/>
        </w:rPr>
      </w:pPr>
      <w:r w:rsidRPr="006D2566">
        <w:rPr>
          <w:rFonts w:cs="Arial"/>
        </w:rPr>
        <w:t xml:space="preserve">Výše uvedené adresy a telekomunikační spojení mohou být měněny jednostranným písemným oznámením doručeným příslušnou smluvní stranou druhé smluvní straně. </w:t>
      </w:r>
    </w:p>
    <w:p w14:paraId="79A8DC36" w14:textId="77777777" w:rsidR="00190407" w:rsidRPr="006D2566" w:rsidRDefault="00190407" w:rsidP="0043552B">
      <w:pPr>
        <w:pStyle w:val="Textvbloku"/>
        <w:widowControl w:val="0"/>
        <w:numPr>
          <w:ilvl w:val="0"/>
          <w:numId w:val="6"/>
        </w:numPr>
        <w:spacing w:before="100"/>
        <w:ind w:left="426" w:right="0" w:hanging="426"/>
        <w:rPr>
          <w:rFonts w:cs="Arial"/>
        </w:rPr>
      </w:pPr>
      <w:r w:rsidRPr="006D2566">
        <w:rPr>
          <w:rFonts w:cs="Arial"/>
        </w:rPr>
        <w:t xml:space="preserve">Běžná forma komunikace pro řešení činností, které jsou předmětem závazku dle této smlouvy, bude probíhat formou e-mailu na elektronické adresy, které si strany smlouvy sdělí. </w:t>
      </w:r>
    </w:p>
    <w:p w14:paraId="5E150E62" w14:textId="77777777" w:rsidR="00190407" w:rsidRPr="006D2566" w:rsidRDefault="00190407" w:rsidP="00190407">
      <w:pPr>
        <w:pStyle w:val="Nadpis1"/>
        <w:rPr>
          <w:caps/>
        </w:rPr>
      </w:pPr>
      <w:r w:rsidRPr="006D2566">
        <w:t xml:space="preserve">ZÁVĚREČNÁ USTANOVENÍ </w:t>
      </w:r>
    </w:p>
    <w:p w14:paraId="68D5AEB9" w14:textId="77777777" w:rsidR="00190407" w:rsidRPr="006D2566" w:rsidRDefault="00190407" w:rsidP="0043552B">
      <w:pPr>
        <w:pStyle w:val="Textvbloku"/>
        <w:widowControl w:val="0"/>
        <w:numPr>
          <w:ilvl w:val="0"/>
          <w:numId w:val="7"/>
        </w:numPr>
        <w:spacing w:before="100"/>
        <w:ind w:left="425" w:right="0" w:hanging="425"/>
        <w:rPr>
          <w:rFonts w:cs="Arial"/>
        </w:rPr>
      </w:pPr>
      <w:r w:rsidRPr="006D2566">
        <w:rPr>
          <w:rFonts w:cs="Arial"/>
        </w:rPr>
        <w:t xml:space="preserve">Smluvní strany prohlašují, že závazkový vztah založený touto smlouvou se řídí </w:t>
      </w:r>
      <w:proofErr w:type="spellStart"/>
      <w:r w:rsidRPr="006D2566">
        <w:rPr>
          <w:rFonts w:cs="Arial"/>
        </w:rPr>
        <w:t>ust</w:t>
      </w:r>
      <w:proofErr w:type="spellEnd"/>
      <w:r w:rsidRPr="006D2566">
        <w:rPr>
          <w:rFonts w:cs="Arial"/>
        </w:rPr>
        <w:t xml:space="preserve">. § 1746 odst. 2 zákona č. 89/2012 Sb., občanský zákoník, ve znění pozdějších předpisů (dále jen „OZ“). </w:t>
      </w:r>
    </w:p>
    <w:p w14:paraId="689CE957" w14:textId="77777777" w:rsidR="00190407" w:rsidRPr="006D2566" w:rsidRDefault="00190407" w:rsidP="0043552B">
      <w:pPr>
        <w:pStyle w:val="Textvbloku"/>
        <w:widowControl w:val="0"/>
        <w:numPr>
          <w:ilvl w:val="0"/>
          <w:numId w:val="7"/>
        </w:numPr>
        <w:spacing w:before="100"/>
        <w:ind w:left="425" w:right="0" w:hanging="425"/>
        <w:rPr>
          <w:rFonts w:cs="Arial"/>
        </w:rPr>
      </w:pPr>
      <w:r w:rsidRPr="006D2566">
        <w:rPr>
          <w:rFonts w:cs="Arial"/>
        </w:rPr>
        <w:t xml:space="preserve">Smlouva je povinně zveřejňovaná v registru smluv dle zákona č. 340/2015 Sb., o registru smluv a její účinnost nenastane dříve, než bude uveřejněna. Zveřejnění smlouvy v registru smluv zajistí </w:t>
      </w:r>
      <w:r w:rsidR="000078E2" w:rsidRPr="006D2566">
        <w:rPr>
          <w:rFonts w:cs="Arial"/>
        </w:rPr>
        <w:t>Kraj</w:t>
      </w:r>
      <w:r w:rsidRPr="006D2566">
        <w:rPr>
          <w:rFonts w:cs="Arial"/>
        </w:rPr>
        <w:t xml:space="preserve">. </w:t>
      </w:r>
    </w:p>
    <w:p w14:paraId="66B08B4A" w14:textId="77777777" w:rsidR="00190407" w:rsidRPr="006D2566" w:rsidRDefault="00190407" w:rsidP="0043552B">
      <w:pPr>
        <w:pStyle w:val="Textvbloku"/>
        <w:widowControl w:val="0"/>
        <w:numPr>
          <w:ilvl w:val="0"/>
          <w:numId w:val="7"/>
        </w:numPr>
        <w:spacing w:before="100"/>
        <w:ind w:left="425" w:right="0" w:hanging="425"/>
        <w:rPr>
          <w:rFonts w:cs="Arial"/>
        </w:rPr>
      </w:pPr>
      <w:r w:rsidRPr="006D2566">
        <w:rPr>
          <w:rFonts w:cs="Arial"/>
        </w:rPr>
        <w:t>Tato smlouva zahrnuje úplnou dohodu mezi smluvními stranami. Jakékoliv změny, úpravy, ať již celkové či částečné, podle nebo na základě či z této smlouvy musí mít písemnou formu a musí být podepsány oběma smluvními stranami. Měněna, případně doplňována může být tato smlouva pouze písemnými vzestupně číslovanými dodatky podepsanými oběma stranami.</w:t>
      </w:r>
    </w:p>
    <w:p w14:paraId="1DDC8A2D" w14:textId="77777777" w:rsidR="00190407" w:rsidRPr="006D2566" w:rsidRDefault="00190407" w:rsidP="0043552B">
      <w:pPr>
        <w:pStyle w:val="Textvbloku"/>
        <w:widowControl w:val="0"/>
        <w:numPr>
          <w:ilvl w:val="0"/>
          <w:numId w:val="7"/>
        </w:numPr>
        <w:spacing w:before="100"/>
        <w:ind w:left="425" w:right="0" w:hanging="425"/>
        <w:rPr>
          <w:rFonts w:cs="Arial"/>
        </w:rPr>
      </w:pPr>
      <w:r w:rsidRPr="006D2566">
        <w:rPr>
          <w:rFonts w:cs="Arial"/>
        </w:rPr>
        <w:t>Jestliže některý ze závazků nebo ustanovení této smlouvy bude nebo se stane neplatným či nevymahatelným, bude takový závazek či ustanovení považováno za oddělitelné od ostatních závazků a ujednání smlouvy. Pokud taková situace nastane, zavazují se smluvní strany bez zbytečného prodlení nahradit takový závazek, případně ustanovení, platným a účinným závazkem, případně ustanovením, jehož ekonomický dopad bude co nejvíce odpovídat spornému závazku, ustanovení nebo účelu, to vše v intencích vyjádřených smluvními stranami v této smlouvě.</w:t>
      </w:r>
    </w:p>
    <w:p w14:paraId="30AD903A" w14:textId="77777777" w:rsidR="00190407" w:rsidRPr="006D2566" w:rsidRDefault="00190407" w:rsidP="0043552B">
      <w:pPr>
        <w:numPr>
          <w:ilvl w:val="0"/>
          <w:numId w:val="7"/>
        </w:numPr>
        <w:spacing w:before="100" w:line="240" w:lineRule="auto"/>
        <w:ind w:left="425" w:hanging="425"/>
        <w:jc w:val="both"/>
        <w:rPr>
          <w:rFonts w:cs="Arial"/>
        </w:rPr>
      </w:pPr>
      <w:r w:rsidRPr="006D2566">
        <w:rPr>
          <w:rFonts w:cs="Arial"/>
          <w:lang w:eastAsia="fr-FR"/>
        </w:rPr>
        <w:t xml:space="preserve">Žádná smluvní strana nesmí převést nebo postoupit tuto smlouvu nebo práva a závazky z ní </w:t>
      </w:r>
      <w:r w:rsidRPr="006D2566">
        <w:rPr>
          <w:rFonts w:cs="Arial"/>
        </w:rPr>
        <w:t>vyplývající</w:t>
      </w:r>
      <w:r w:rsidRPr="006D2566">
        <w:rPr>
          <w:rFonts w:cs="Arial"/>
          <w:lang w:eastAsia="fr-FR"/>
        </w:rPr>
        <w:t xml:space="preserve"> bez předchozího písemného souhlasu druhé smluvní strany. </w:t>
      </w:r>
    </w:p>
    <w:p w14:paraId="0D82DD89" w14:textId="77777777" w:rsidR="00190407" w:rsidRPr="006D2566" w:rsidRDefault="00541DFA" w:rsidP="0043552B">
      <w:pPr>
        <w:pStyle w:val="Odstavecseseznamem"/>
        <w:numPr>
          <w:ilvl w:val="0"/>
          <w:numId w:val="7"/>
        </w:numPr>
        <w:spacing w:before="100" w:after="0" w:line="240" w:lineRule="auto"/>
        <w:ind w:left="425" w:hanging="425"/>
        <w:jc w:val="both"/>
        <w:rPr>
          <w:rFonts w:ascii="Arial" w:hAnsi="Arial" w:cs="Arial"/>
          <w:sz w:val="20"/>
          <w:szCs w:val="20"/>
        </w:rPr>
      </w:pPr>
      <w:r w:rsidRPr="006D2566">
        <w:rPr>
          <w:rFonts w:ascii="Arial" w:hAnsi="Arial" w:cs="Arial"/>
          <w:sz w:val="20"/>
          <w:szCs w:val="20"/>
        </w:rPr>
        <w:t>Kraj</w:t>
      </w:r>
      <w:r w:rsidR="00190407" w:rsidRPr="006D2566">
        <w:rPr>
          <w:rFonts w:ascii="Arial" w:hAnsi="Arial" w:cs="Arial"/>
          <w:sz w:val="20"/>
          <w:szCs w:val="20"/>
        </w:rPr>
        <w:t xml:space="preserve"> i </w:t>
      </w:r>
      <w:r w:rsidRPr="006D2566">
        <w:rPr>
          <w:rFonts w:ascii="Arial" w:hAnsi="Arial" w:cs="Arial"/>
          <w:sz w:val="20"/>
          <w:szCs w:val="20"/>
        </w:rPr>
        <w:t>Univerzita</w:t>
      </w:r>
      <w:r w:rsidR="00190407" w:rsidRPr="006D2566">
        <w:rPr>
          <w:rFonts w:ascii="Arial" w:hAnsi="Arial" w:cs="Arial"/>
          <w:sz w:val="20"/>
          <w:szCs w:val="20"/>
        </w:rPr>
        <w:t xml:space="preserve"> potvrzují správnost svých údajů, které jsou uvedeny v záhlaví této smlouvy. V případě, že dojde v průběhu smluvního vztahu ke změnám uvedených údajů, zavazují se oznámit druhé straně bez zbytečného odkladu aktualizaci těchto údajů.</w:t>
      </w:r>
    </w:p>
    <w:p w14:paraId="707989CA" w14:textId="77777777" w:rsidR="00190407" w:rsidRPr="006D2566" w:rsidRDefault="00190407" w:rsidP="0043552B">
      <w:pPr>
        <w:numPr>
          <w:ilvl w:val="0"/>
          <w:numId w:val="7"/>
        </w:numPr>
        <w:spacing w:before="100" w:line="240" w:lineRule="auto"/>
        <w:ind w:left="426" w:hanging="426"/>
        <w:jc w:val="both"/>
        <w:rPr>
          <w:rFonts w:cs="Arial"/>
        </w:rPr>
      </w:pPr>
      <w:r w:rsidRPr="006D2566">
        <w:rPr>
          <w:rFonts w:cs="Arial"/>
        </w:rPr>
        <w:t>Tato smlouva je sepsána v</w:t>
      </w:r>
      <w:r w:rsidR="00C84AAC" w:rsidRPr="006D2566">
        <w:rPr>
          <w:rFonts w:cs="Arial"/>
        </w:rPr>
        <w:t>e</w:t>
      </w:r>
      <w:r w:rsidRPr="006D2566">
        <w:rPr>
          <w:rFonts w:cs="Arial"/>
        </w:rPr>
        <w:t> </w:t>
      </w:r>
      <w:r w:rsidR="001E6B96" w:rsidRPr="006D2566">
        <w:rPr>
          <w:rFonts w:cs="Arial"/>
        </w:rPr>
        <w:t>čtyřech</w:t>
      </w:r>
      <w:r w:rsidRPr="006D2566">
        <w:rPr>
          <w:rFonts w:cs="Arial"/>
        </w:rPr>
        <w:t xml:space="preserve"> vyhotoveních, z nichž </w:t>
      </w:r>
      <w:proofErr w:type="gramStart"/>
      <w:r w:rsidRPr="006D2566">
        <w:rPr>
          <w:rFonts w:cs="Arial"/>
        </w:rPr>
        <w:t>obdrží</w:t>
      </w:r>
      <w:proofErr w:type="gramEnd"/>
      <w:r w:rsidRPr="006D2566">
        <w:rPr>
          <w:rFonts w:cs="Arial"/>
        </w:rPr>
        <w:t xml:space="preserve"> </w:t>
      </w:r>
      <w:r w:rsidR="001E6B96" w:rsidRPr="006D2566">
        <w:rPr>
          <w:rFonts w:cs="Arial"/>
        </w:rPr>
        <w:t>dvě</w:t>
      </w:r>
      <w:r w:rsidRPr="006D2566">
        <w:rPr>
          <w:rFonts w:cs="Arial"/>
        </w:rPr>
        <w:t xml:space="preserve"> </w:t>
      </w:r>
      <w:r w:rsidR="00541DFA" w:rsidRPr="006D2566">
        <w:rPr>
          <w:rFonts w:cs="Arial"/>
        </w:rPr>
        <w:t>Kraj</w:t>
      </w:r>
      <w:r w:rsidRPr="006D2566">
        <w:rPr>
          <w:rFonts w:cs="Arial"/>
        </w:rPr>
        <w:t xml:space="preserve"> a dvě </w:t>
      </w:r>
      <w:r w:rsidR="00541DFA" w:rsidRPr="006D2566">
        <w:rPr>
          <w:rFonts w:cs="Arial"/>
        </w:rPr>
        <w:t>Univerzita</w:t>
      </w:r>
      <w:r w:rsidRPr="006D2566">
        <w:rPr>
          <w:rFonts w:cs="Arial"/>
        </w:rPr>
        <w:t xml:space="preserve">, </w:t>
      </w:r>
      <w:r w:rsidRPr="006D2566">
        <w:t>nebude-li vyhotovena v elektronické podobě s příslušnými elektronickými podpisy smluvních stran dle zákona č. 297/2016 Sb., o službách vytvářejících důvěru pro elektronické transakce, ve znění pozdějších předpisů.</w:t>
      </w:r>
      <w:r w:rsidRPr="006D2566">
        <w:rPr>
          <w:rFonts w:cs="Arial"/>
        </w:rPr>
        <w:t xml:space="preserve">  </w:t>
      </w:r>
    </w:p>
    <w:p w14:paraId="01A7ECFE" w14:textId="77777777" w:rsidR="00190407" w:rsidRPr="006D2566" w:rsidRDefault="00190407" w:rsidP="0043552B">
      <w:pPr>
        <w:numPr>
          <w:ilvl w:val="0"/>
          <w:numId w:val="7"/>
        </w:numPr>
        <w:spacing w:before="100" w:line="240" w:lineRule="auto"/>
        <w:ind w:left="425" w:hanging="425"/>
        <w:jc w:val="both"/>
        <w:rPr>
          <w:rFonts w:cs="Arial"/>
        </w:rPr>
      </w:pPr>
      <w:r w:rsidRPr="006D2566">
        <w:rPr>
          <w:rFonts w:cs="Arial"/>
        </w:rPr>
        <w:t xml:space="preserve">Smluvní strany shodně prohlašují, že tato smlouva byla uzavřena po vzájemném projednání, podle jejich pravé a svobodné vůle, což svými podpisy zástupci smluvních stran stvrzují. </w:t>
      </w:r>
    </w:p>
    <w:p w14:paraId="223B8140" w14:textId="7EE59835" w:rsidR="00BD25E7" w:rsidRPr="006D2566" w:rsidRDefault="00507432" w:rsidP="00BD25E7">
      <w:pPr>
        <w:spacing w:before="200" w:line="240" w:lineRule="auto"/>
        <w:jc w:val="both"/>
        <w:rPr>
          <w:rFonts w:eastAsiaTheme="minorEastAsia" w:cs="Arial"/>
          <w:lang w:eastAsia="cs-CZ"/>
        </w:rPr>
      </w:pPr>
      <w:r w:rsidRPr="006D2566">
        <w:rPr>
          <w:noProof/>
          <w:lang w:eastAsia="cs-CZ"/>
        </w:rPr>
        <w:lastRenderedPageBreak/>
        <mc:AlternateContent>
          <mc:Choice Requires="wps">
            <w:drawing>
              <wp:anchor distT="0" distB="0" distL="114300" distR="114300" simplePos="0" relativeHeight="251658240" behindDoc="0" locked="0" layoutInCell="1" allowOverlap="1" wp14:anchorId="7CF740F9" wp14:editId="004DD662">
                <wp:simplePos x="0" y="0"/>
                <wp:positionH relativeFrom="column">
                  <wp:posOffset>67945</wp:posOffset>
                </wp:positionH>
                <wp:positionV relativeFrom="paragraph">
                  <wp:posOffset>54610</wp:posOffset>
                </wp:positionV>
                <wp:extent cx="5765165" cy="617220"/>
                <wp:effectExtent l="0" t="0" r="26035" b="1143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17220"/>
                        </a:xfrm>
                        <a:prstGeom prst="rect">
                          <a:avLst/>
                        </a:prstGeom>
                        <a:solidFill>
                          <a:srgbClr val="FFFFFF"/>
                        </a:solidFill>
                        <a:ln w="9525">
                          <a:solidFill>
                            <a:srgbClr val="000000"/>
                          </a:solidFill>
                          <a:miter lim="800000"/>
                          <a:headEnd/>
                          <a:tailEnd/>
                        </a:ln>
                      </wps:spPr>
                      <wps:txbx>
                        <w:txbxContent>
                          <w:p w14:paraId="227B51F1" w14:textId="77777777" w:rsidR="00C91432" w:rsidRDefault="00C91432" w:rsidP="00190407">
                            <w:pPr>
                              <w:pStyle w:val="Nadpis3"/>
                              <w:rPr>
                                <w:rFonts w:ascii="Arial" w:hAnsi="Arial" w:cs="Arial"/>
                                <w:iCs/>
                                <w:color w:val="auto"/>
                                <w:sz w:val="20"/>
                              </w:rPr>
                            </w:pPr>
                            <w:r>
                              <w:rPr>
                                <w:rFonts w:ascii="Arial" w:hAnsi="Arial" w:cs="Arial"/>
                                <w:iCs/>
                                <w:color w:val="auto"/>
                                <w:sz w:val="20"/>
                              </w:rPr>
                              <w:t>Doložka dle § 23 zákona č. 129/2000 Sb., o krajích</w:t>
                            </w:r>
                          </w:p>
                          <w:p w14:paraId="70035540" w14:textId="77777777" w:rsidR="00C91432" w:rsidRDefault="00C91432" w:rsidP="00190407">
                            <w:pPr>
                              <w:spacing w:line="240" w:lineRule="auto"/>
                              <w:rPr>
                                <w:rFonts w:cs="Arial"/>
                                <w:iCs/>
                              </w:rPr>
                            </w:pPr>
                            <w:r>
                              <w:rPr>
                                <w:rFonts w:cs="Arial"/>
                                <w:iCs/>
                              </w:rPr>
                              <w:t xml:space="preserve">Rozhodnuto orgánem kraje: </w:t>
                            </w:r>
                            <w:r w:rsidR="004B2C11">
                              <w:rPr>
                                <w:rFonts w:cs="Arial"/>
                                <w:iCs/>
                              </w:rPr>
                              <w:t>Zastupitelstvo</w:t>
                            </w:r>
                            <w:r>
                              <w:rPr>
                                <w:rFonts w:cs="Arial"/>
                                <w:iCs/>
                              </w:rPr>
                              <w:t xml:space="preserve"> Zlínského kraje</w:t>
                            </w:r>
                          </w:p>
                          <w:p w14:paraId="4AEA7C20" w14:textId="2C264919" w:rsidR="00C91432" w:rsidRDefault="00C91432" w:rsidP="00190407">
                            <w:pPr>
                              <w:spacing w:line="240" w:lineRule="auto"/>
                              <w:rPr>
                                <w:rFonts w:cs="Arial"/>
                                <w:iCs/>
                              </w:rPr>
                            </w:pPr>
                            <w:r>
                              <w:rPr>
                                <w:rFonts w:cs="Arial"/>
                                <w:iCs/>
                              </w:rPr>
                              <w:t>Datum a číslo jednací</w:t>
                            </w:r>
                            <w:r w:rsidR="00FB54B5">
                              <w:rPr>
                                <w:rFonts w:cs="Arial"/>
                                <w:iCs/>
                              </w:rPr>
                              <w:t>:</w:t>
                            </w:r>
                            <w:r w:rsidR="00393EFE">
                              <w:rPr>
                                <w:rFonts w:cs="Arial"/>
                                <w:iCs/>
                              </w:rPr>
                              <w:t xml:space="preserve"> 29.04.2024,</w:t>
                            </w:r>
                            <w:r>
                              <w:rPr>
                                <w:rFonts w:cs="Arial"/>
                              </w:rPr>
                              <w:t xml:space="preserve"> č.</w:t>
                            </w:r>
                            <w:r w:rsidR="00393EFE">
                              <w:rPr>
                                <w:rFonts w:cs="Arial"/>
                              </w:rPr>
                              <w:t xml:space="preserve"> usnesení</w:t>
                            </w:r>
                            <w:r w:rsidR="00393EFE" w:rsidRPr="00393EFE">
                              <w:t xml:space="preserve"> </w:t>
                            </w:r>
                            <w:r w:rsidR="00393EFE" w:rsidRPr="00393EFE">
                              <w:rPr>
                                <w:rFonts w:cs="Arial"/>
                              </w:rPr>
                              <w:t>0717/Z23/24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40F9" id="Obdélník 3" o:spid="_x0000_s1026" style="position:absolute;left:0;text-align:left;margin-left:5.35pt;margin-top:4.3pt;width:453.9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">
                <v:textbox>
                  <w:txbxContent>
                    <w:p w14:paraId="227B51F1" w14:textId="77777777" w:rsidR="00C91432" w:rsidRDefault="00C91432" w:rsidP="00190407">
                      <w:pPr>
                        <w:pStyle w:val="Nadpis3"/>
                        <w:rPr>
                          <w:rFonts w:ascii="Arial" w:hAnsi="Arial" w:cs="Arial"/>
                          <w:iCs/>
                          <w:color w:val="auto"/>
                          <w:sz w:val="20"/>
                        </w:rPr>
                      </w:pPr>
                      <w:r>
                        <w:rPr>
                          <w:rFonts w:ascii="Arial" w:hAnsi="Arial" w:cs="Arial"/>
                          <w:iCs/>
                          <w:color w:val="auto"/>
                          <w:sz w:val="20"/>
                        </w:rPr>
                        <w:t>Doložka dle § 23 zákona č. 129/2000 Sb., o krajích</w:t>
                      </w:r>
                    </w:p>
                    <w:p w14:paraId="70035540" w14:textId="77777777" w:rsidR="00C91432" w:rsidRDefault="00C91432" w:rsidP="00190407">
                      <w:pPr>
                        <w:spacing w:line="240" w:lineRule="auto"/>
                        <w:rPr>
                          <w:rFonts w:cs="Arial"/>
                          <w:iCs/>
                        </w:rPr>
                      </w:pPr>
                      <w:r>
                        <w:rPr>
                          <w:rFonts w:cs="Arial"/>
                          <w:iCs/>
                        </w:rPr>
                        <w:t xml:space="preserve">Rozhodnuto orgánem kraje: </w:t>
                      </w:r>
                      <w:r w:rsidR="004B2C11">
                        <w:rPr>
                          <w:rFonts w:cs="Arial"/>
                          <w:iCs/>
                        </w:rPr>
                        <w:t>Zastupitelstvo</w:t>
                      </w:r>
                      <w:r>
                        <w:rPr>
                          <w:rFonts w:cs="Arial"/>
                          <w:iCs/>
                        </w:rPr>
                        <w:t xml:space="preserve"> Zlínského kraje</w:t>
                      </w:r>
                    </w:p>
                    <w:p w14:paraId="4AEA7C20" w14:textId="2C264919" w:rsidR="00C91432" w:rsidRDefault="00C91432" w:rsidP="00190407">
                      <w:pPr>
                        <w:spacing w:line="240" w:lineRule="auto"/>
                        <w:rPr>
                          <w:rFonts w:cs="Arial"/>
                          <w:iCs/>
                        </w:rPr>
                      </w:pPr>
                      <w:r>
                        <w:rPr>
                          <w:rFonts w:cs="Arial"/>
                          <w:iCs/>
                        </w:rPr>
                        <w:t>Datum a číslo jednací</w:t>
                      </w:r>
                      <w:r w:rsidR="00FB54B5">
                        <w:rPr>
                          <w:rFonts w:cs="Arial"/>
                          <w:iCs/>
                        </w:rPr>
                        <w:t>:</w:t>
                      </w:r>
                      <w:r w:rsidR="00393EFE">
                        <w:rPr>
                          <w:rFonts w:cs="Arial"/>
                          <w:iCs/>
                        </w:rPr>
                        <w:t xml:space="preserve"> 29.04.2024,</w:t>
                      </w:r>
                      <w:r>
                        <w:rPr>
                          <w:rFonts w:cs="Arial"/>
                        </w:rPr>
                        <w:t xml:space="preserve"> č.</w:t>
                      </w:r>
                      <w:r w:rsidR="00393EFE">
                        <w:rPr>
                          <w:rFonts w:cs="Arial"/>
                        </w:rPr>
                        <w:t xml:space="preserve"> usnesení</w:t>
                      </w:r>
                      <w:r w:rsidR="00393EFE" w:rsidRPr="00393EFE">
                        <w:t xml:space="preserve"> </w:t>
                      </w:r>
                      <w:r w:rsidR="00393EFE" w:rsidRPr="00393EFE">
                        <w:rPr>
                          <w:rFonts w:cs="Arial"/>
                        </w:rPr>
                        <w:t>0717/Z23/24</w:t>
                      </w:r>
                    </w:p>
                  </w:txbxContent>
                </v:textbox>
              </v:rect>
            </w:pict>
          </mc:Fallback>
        </mc:AlternateContent>
      </w:r>
    </w:p>
    <w:p w14:paraId="5FDA37D6" w14:textId="13E303B0" w:rsidR="0090164B" w:rsidRPr="006D2566" w:rsidRDefault="0090164B" w:rsidP="00BD25E7">
      <w:pPr>
        <w:spacing w:before="200" w:line="240" w:lineRule="auto"/>
        <w:jc w:val="both"/>
        <w:rPr>
          <w:rFonts w:eastAsiaTheme="minorEastAsia" w:cs="Arial"/>
          <w:lang w:eastAsia="cs-CZ"/>
        </w:rPr>
      </w:pPr>
    </w:p>
    <w:p w14:paraId="269E8115" w14:textId="685481CA" w:rsidR="00507432" w:rsidRDefault="00507432" w:rsidP="00B25377">
      <w:pPr>
        <w:pStyle w:val="2rove"/>
        <w:spacing w:line="276" w:lineRule="auto"/>
        <w:ind w:left="0" w:firstLine="0"/>
      </w:pPr>
    </w:p>
    <w:p w14:paraId="610F3799" w14:textId="64B93326" w:rsidR="00507432" w:rsidRDefault="00507432" w:rsidP="00B25377">
      <w:pPr>
        <w:pStyle w:val="2rove"/>
        <w:spacing w:line="276" w:lineRule="auto"/>
        <w:ind w:left="0" w:firstLine="0"/>
      </w:pPr>
    </w:p>
    <w:p w14:paraId="5A9EE9C6" w14:textId="77777777" w:rsidR="00F7398F" w:rsidRDefault="00F7398F" w:rsidP="000F4F4B">
      <w:pPr>
        <w:spacing w:before="200" w:line="240" w:lineRule="auto"/>
        <w:jc w:val="both"/>
        <w:rPr>
          <w:rFonts w:eastAsiaTheme="minorEastAsia" w:cs="Arial"/>
          <w:lang w:eastAsia="cs-CZ"/>
        </w:rPr>
      </w:pPr>
    </w:p>
    <w:p w14:paraId="7F189BFA" w14:textId="4159AF6E" w:rsidR="000F4F4B" w:rsidRPr="006D2566" w:rsidRDefault="0090164B" w:rsidP="000F4F4B">
      <w:pPr>
        <w:spacing w:before="200" w:line="240" w:lineRule="auto"/>
        <w:jc w:val="both"/>
        <w:rPr>
          <w:rFonts w:eastAsiaTheme="minorEastAsia" w:cs="Arial"/>
          <w:lang w:eastAsia="cs-CZ"/>
        </w:rPr>
      </w:pPr>
      <w:r w:rsidRPr="006D2566">
        <w:rPr>
          <w:rFonts w:eastAsiaTheme="minorEastAsia" w:cs="Arial"/>
          <w:lang w:eastAsia="cs-CZ"/>
        </w:rPr>
        <w:t>Ve Zlí</w:t>
      </w:r>
      <w:r w:rsidR="00884B92" w:rsidRPr="006D2566">
        <w:rPr>
          <w:rFonts w:eastAsiaTheme="minorEastAsia" w:cs="Arial"/>
          <w:lang w:eastAsia="cs-CZ"/>
        </w:rPr>
        <w:t>ně d</w:t>
      </w:r>
      <w:r w:rsidR="00190407" w:rsidRPr="006D2566">
        <w:rPr>
          <w:rFonts w:eastAsiaTheme="minorEastAsia" w:cs="Arial"/>
          <w:lang w:eastAsia="cs-CZ"/>
        </w:rPr>
        <w:t>ne</w:t>
      </w:r>
      <w:r w:rsidR="00D66E94">
        <w:rPr>
          <w:rFonts w:eastAsiaTheme="minorEastAsia" w:cs="Arial"/>
          <w:lang w:eastAsia="cs-CZ"/>
        </w:rPr>
        <w:t xml:space="preserve"> 21. 5. 2024</w:t>
      </w:r>
      <w:r w:rsidR="00F7398F">
        <w:rPr>
          <w:rFonts w:eastAsiaTheme="minorEastAsia" w:cs="Arial"/>
          <w:lang w:eastAsia="cs-CZ"/>
        </w:rPr>
        <w:tab/>
        <w:t xml:space="preserve">            </w:t>
      </w:r>
      <w:r w:rsidR="00A364E2">
        <w:rPr>
          <w:rFonts w:eastAsiaTheme="minorEastAsia" w:cs="Arial"/>
          <w:lang w:eastAsia="cs-CZ"/>
        </w:rPr>
        <w:tab/>
      </w:r>
      <w:r w:rsidR="00A364E2">
        <w:rPr>
          <w:rFonts w:eastAsiaTheme="minorEastAsia" w:cs="Arial"/>
          <w:lang w:eastAsia="cs-CZ"/>
        </w:rPr>
        <w:tab/>
      </w:r>
      <w:r w:rsidR="00D66E94">
        <w:rPr>
          <w:rFonts w:eastAsiaTheme="minorEastAsia" w:cs="Arial"/>
          <w:lang w:eastAsia="cs-CZ"/>
        </w:rPr>
        <w:t xml:space="preserve">            </w:t>
      </w:r>
      <w:r w:rsidR="00541DFA" w:rsidRPr="006D2566">
        <w:rPr>
          <w:rFonts w:eastAsiaTheme="minorEastAsia" w:cs="Arial"/>
          <w:lang w:eastAsia="cs-CZ"/>
        </w:rPr>
        <w:t>Ve Zlíně</w:t>
      </w:r>
      <w:r w:rsidR="00190407" w:rsidRPr="006D2566">
        <w:rPr>
          <w:rFonts w:eastAsiaTheme="minorEastAsia" w:cs="Arial"/>
          <w:lang w:eastAsia="cs-CZ"/>
        </w:rPr>
        <w:t xml:space="preserve"> dne</w:t>
      </w:r>
      <w:r w:rsidR="00F7398F">
        <w:rPr>
          <w:rFonts w:eastAsiaTheme="minorEastAsia" w:cs="Arial"/>
          <w:lang w:eastAsia="cs-CZ"/>
        </w:rPr>
        <w:t xml:space="preserve"> </w:t>
      </w:r>
      <w:r w:rsidR="00D66E94">
        <w:rPr>
          <w:rFonts w:eastAsiaTheme="minorEastAsia" w:cs="Arial"/>
          <w:lang w:eastAsia="cs-CZ"/>
        </w:rPr>
        <w:t>21. 5. 2024</w:t>
      </w:r>
    </w:p>
    <w:p w14:paraId="6E24BFF3" w14:textId="77777777" w:rsidR="000F4F4B" w:rsidRPr="006D2566" w:rsidRDefault="000F4F4B" w:rsidP="000F4F4B">
      <w:pPr>
        <w:spacing w:before="200" w:line="240" w:lineRule="auto"/>
        <w:jc w:val="both"/>
        <w:rPr>
          <w:rFonts w:eastAsiaTheme="minorEastAsia" w:cs="Arial"/>
          <w:lang w:eastAsia="cs-CZ"/>
        </w:rPr>
      </w:pPr>
    </w:p>
    <w:p w14:paraId="2CE3A143" w14:textId="77777777" w:rsidR="00D66E94" w:rsidRDefault="00D66E94" w:rsidP="000F4F4B">
      <w:pPr>
        <w:spacing w:before="200" w:line="240" w:lineRule="auto"/>
        <w:jc w:val="both"/>
        <w:rPr>
          <w:rFonts w:eastAsiaTheme="minorEastAsia" w:cs="Arial"/>
          <w:lang w:eastAsia="cs-CZ"/>
        </w:rPr>
      </w:pPr>
    </w:p>
    <w:p w14:paraId="437F9722" w14:textId="77777777" w:rsidR="00D66E94" w:rsidRDefault="00D66E94" w:rsidP="000F4F4B">
      <w:pPr>
        <w:spacing w:before="200" w:line="240" w:lineRule="auto"/>
        <w:jc w:val="both"/>
        <w:rPr>
          <w:rFonts w:eastAsiaTheme="minorEastAsia" w:cs="Arial"/>
          <w:lang w:eastAsia="cs-CZ"/>
        </w:rPr>
      </w:pPr>
    </w:p>
    <w:p w14:paraId="6F1EB441" w14:textId="38019531" w:rsidR="000F4F4B" w:rsidRPr="006D2566" w:rsidRDefault="00D66E94" w:rsidP="000F4F4B">
      <w:pPr>
        <w:spacing w:before="200" w:line="240" w:lineRule="auto"/>
        <w:jc w:val="both"/>
        <w:rPr>
          <w:rFonts w:eastAsiaTheme="minorEastAsia" w:cs="Arial"/>
          <w:lang w:eastAsia="cs-CZ"/>
        </w:rPr>
      </w:pPr>
      <w:proofErr w:type="spellStart"/>
      <w:r>
        <w:rPr>
          <w:rFonts w:eastAsiaTheme="minorEastAsia" w:cs="Arial"/>
          <w:lang w:eastAsia="cs-CZ"/>
        </w:rPr>
        <w:t>xxxxxxxxxxxxxxxxxxx</w:t>
      </w:r>
      <w:proofErr w:type="spellEnd"/>
      <w:r>
        <w:rPr>
          <w:rFonts w:eastAsiaTheme="minorEastAsia" w:cs="Arial"/>
          <w:lang w:eastAsia="cs-CZ"/>
        </w:rPr>
        <w:t xml:space="preserve">                                                       </w:t>
      </w:r>
      <w:proofErr w:type="spellStart"/>
      <w:r>
        <w:rPr>
          <w:rFonts w:eastAsiaTheme="minorEastAsia" w:cs="Arial"/>
          <w:lang w:eastAsia="cs-CZ"/>
        </w:rPr>
        <w:t>xxxxxxxxxxxxxxxxxxxxx</w:t>
      </w:r>
      <w:proofErr w:type="spellEnd"/>
    </w:p>
    <w:p w14:paraId="07C14928" w14:textId="77777777" w:rsidR="000F4F4B" w:rsidRPr="006D2566" w:rsidRDefault="003D615D" w:rsidP="000F4F4B">
      <w:pPr>
        <w:spacing w:before="200" w:line="240" w:lineRule="auto"/>
        <w:jc w:val="both"/>
        <w:rPr>
          <w:rFonts w:eastAsiaTheme="minorEastAsia" w:cs="Arial"/>
          <w:lang w:eastAsia="cs-CZ"/>
        </w:rPr>
      </w:pPr>
      <w:r w:rsidRPr="006D2566">
        <w:rPr>
          <w:rFonts w:eastAsiaTheme="minorEastAsia" w:cs="Arial"/>
          <w:lang w:eastAsia="cs-CZ"/>
        </w:rPr>
        <w:t>Ing. Radim Holiš</w:t>
      </w:r>
      <w:r w:rsidRPr="006D2566">
        <w:rPr>
          <w:rFonts w:eastAsiaTheme="minorEastAsia" w:cs="Arial"/>
          <w:lang w:eastAsia="cs-CZ"/>
        </w:rPr>
        <w:tab/>
      </w:r>
      <w:r w:rsidRPr="006D2566">
        <w:rPr>
          <w:rFonts w:eastAsiaTheme="minorEastAsia" w:cs="Arial"/>
          <w:lang w:eastAsia="cs-CZ"/>
        </w:rPr>
        <w:tab/>
      </w:r>
      <w:r w:rsidRPr="006D2566">
        <w:rPr>
          <w:rFonts w:eastAsiaTheme="minorEastAsia" w:cs="Arial"/>
          <w:lang w:eastAsia="cs-CZ"/>
        </w:rPr>
        <w:tab/>
      </w:r>
      <w:r w:rsidRPr="006D2566">
        <w:rPr>
          <w:rFonts w:eastAsiaTheme="minorEastAsia" w:cs="Arial"/>
          <w:lang w:eastAsia="cs-CZ"/>
        </w:rPr>
        <w:tab/>
      </w:r>
      <w:r w:rsidRPr="006D2566">
        <w:rPr>
          <w:rFonts w:eastAsiaTheme="minorEastAsia" w:cs="Arial"/>
          <w:lang w:eastAsia="cs-CZ"/>
        </w:rPr>
        <w:tab/>
      </w:r>
      <w:r w:rsidR="00541DFA" w:rsidRPr="006D2566">
        <w:rPr>
          <w:rFonts w:cs="Arial"/>
        </w:rPr>
        <w:t xml:space="preserve">prof. Mgr. Milan Adámek, Ph.D., </w:t>
      </w:r>
    </w:p>
    <w:p w14:paraId="1D2043D2" w14:textId="77777777" w:rsidR="00190407" w:rsidRPr="006D2566" w:rsidRDefault="003D615D" w:rsidP="000F4F4B">
      <w:pPr>
        <w:spacing w:before="200" w:line="240" w:lineRule="auto"/>
        <w:jc w:val="both"/>
        <w:rPr>
          <w:rFonts w:eastAsiaTheme="minorEastAsia" w:cs="Arial"/>
          <w:lang w:eastAsia="cs-CZ"/>
        </w:rPr>
      </w:pPr>
      <w:r w:rsidRPr="006D2566">
        <w:rPr>
          <w:rFonts w:eastAsiaTheme="minorEastAsia" w:cs="Arial"/>
          <w:lang w:eastAsia="cs-CZ"/>
        </w:rPr>
        <w:t>hejtman</w:t>
      </w:r>
      <w:r w:rsidR="00190407" w:rsidRPr="006D2566">
        <w:rPr>
          <w:rFonts w:eastAsiaTheme="minorEastAsia" w:cs="Arial"/>
          <w:lang w:eastAsia="cs-CZ"/>
        </w:rPr>
        <w:tab/>
      </w:r>
      <w:r w:rsidR="00190407" w:rsidRPr="006D2566">
        <w:rPr>
          <w:rFonts w:eastAsiaTheme="minorEastAsia" w:cs="Arial"/>
          <w:lang w:eastAsia="cs-CZ"/>
        </w:rPr>
        <w:tab/>
      </w:r>
      <w:r w:rsidR="00190407" w:rsidRPr="006D2566">
        <w:rPr>
          <w:rFonts w:eastAsiaTheme="minorEastAsia" w:cs="Arial"/>
          <w:lang w:eastAsia="cs-CZ"/>
        </w:rPr>
        <w:tab/>
      </w:r>
      <w:r w:rsidR="00190407" w:rsidRPr="006D2566">
        <w:rPr>
          <w:rFonts w:eastAsiaTheme="minorEastAsia" w:cs="Arial"/>
          <w:lang w:eastAsia="cs-CZ"/>
        </w:rPr>
        <w:tab/>
      </w:r>
      <w:r w:rsidR="00190407" w:rsidRPr="006D2566">
        <w:rPr>
          <w:rFonts w:eastAsiaTheme="minorEastAsia" w:cs="Arial"/>
          <w:lang w:eastAsia="cs-CZ"/>
        </w:rPr>
        <w:tab/>
        <w:t xml:space="preserve"> </w:t>
      </w:r>
      <w:r w:rsidRPr="006D2566">
        <w:rPr>
          <w:rFonts w:eastAsiaTheme="minorEastAsia" w:cs="Arial"/>
          <w:lang w:eastAsia="cs-CZ"/>
        </w:rPr>
        <w:tab/>
      </w:r>
      <w:r w:rsidR="00541DFA" w:rsidRPr="006D2566">
        <w:rPr>
          <w:rFonts w:eastAsiaTheme="minorEastAsia" w:cs="Arial"/>
          <w:lang w:eastAsia="cs-CZ"/>
        </w:rPr>
        <w:t>rektor</w:t>
      </w:r>
    </w:p>
    <w:p w14:paraId="79D6A348" w14:textId="77777777" w:rsidR="00C430DE" w:rsidRPr="006D2566" w:rsidRDefault="00C430DE" w:rsidP="00BD25E7">
      <w:pPr>
        <w:keepNext/>
        <w:tabs>
          <w:tab w:val="left" w:pos="4962"/>
        </w:tabs>
        <w:spacing w:line="240" w:lineRule="auto"/>
        <w:rPr>
          <w:rFonts w:eastAsiaTheme="minorEastAsia" w:cs="Arial"/>
          <w:lang w:eastAsia="cs-CZ"/>
        </w:rPr>
      </w:pPr>
    </w:p>
    <w:p w14:paraId="3A42F2C0" w14:textId="77777777" w:rsidR="00C430DE" w:rsidRPr="006D2566" w:rsidRDefault="00C430DE" w:rsidP="00BD25E7">
      <w:pPr>
        <w:keepNext/>
        <w:tabs>
          <w:tab w:val="left" w:pos="4962"/>
        </w:tabs>
        <w:spacing w:line="240" w:lineRule="auto"/>
        <w:rPr>
          <w:rFonts w:eastAsiaTheme="minorEastAsia" w:cs="Arial"/>
          <w:lang w:eastAsia="cs-CZ"/>
        </w:rPr>
      </w:pPr>
    </w:p>
    <w:p w14:paraId="35677150" w14:textId="77777777" w:rsidR="00F72DD2" w:rsidRPr="006D2566" w:rsidRDefault="00F72DD2" w:rsidP="00BD25E7">
      <w:pPr>
        <w:keepNext/>
        <w:tabs>
          <w:tab w:val="left" w:pos="4962"/>
        </w:tabs>
        <w:spacing w:line="240" w:lineRule="auto"/>
        <w:rPr>
          <w:rFonts w:eastAsiaTheme="minorEastAsia" w:cs="Arial"/>
          <w:lang w:eastAsia="cs-CZ"/>
        </w:rPr>
      </w:pPr>
    </w:p>
    <w:p w14:paraId="668C36FC" w14:textId="77777777" w:rsidR="00FB54B5" w:rsidRDefault="00FB54B5">
      <w:pPr>
        <w:spacing w:after="160" w:line="259" w:lineRule="auto"/>
        <w:rPr>
          <w:rFonts w:eastAsiaTheme="minorEastAsia" w:cs="Arial"/>
          <w:lang w:eastAsia="cs-CZ"/>
        </w:rPr>
      </w:pPr>
      <w:r>
        <w:rPr>
          <w:rFonts w:eastAsiaTheme="minorEastAsia" w:cs="Arial"/>
          <w:lang w:eastAsia="cs-CZ"/>
        </w:rPr>
        <w:br w:type="page"/>
      </w:r>
    </w:p>
    <w:p w14:paraId="5C72E16D" w14:textId="2CA8E5FF" w:rsidR="007B298B" w:rsidRPr="006D2566" w:rsidRDefault="00480FF3" w:rsidP="00BD25E7">
      <w:pPr>
        <w:keepNext/>
        <w:tabs>
          <w:tab w:val="left" w:pos="4962"/>
        </w:tabs>
        <w:spacing w:line="240" w:lineRule="auto"/>
        <w:rPr>
          <w:rFonts w:eastAsiaTheme="minorEastAsia" w:cs="Arial"/>
          <w:lang w:eastAsia="cs-CZ"/>
        </w:rPr>
      </w:pPr>
      <w:r w:rsidRPr="006D2566">
        <w:rPr>
          <w:rFonts w:eastAsiaTheme="minorEastAsia" w:cs="Arial"/>
          <w:lang w:eastAsia="cs-CZ"/>
        </w:rPr>
        <w:lastRenderedPageBreak/>
        <w:t xml:space="preserve">Za věcné plnění </w:t>
      </w:r>
      <w:r w:rsidR="006938BE" w:rsidRPr="006D2566">
        <w:rPr>
          <w:rFonts w:eastAsiaTheme="minorEastAsia" w:cs="Arial"/>
          <w:lang w:eastAsia="cs-CZ"/>
        </w:rPr>
        <w:t xml:space="preserve">Prováděcí smlouvy </w:t>
      </w:r>
      <w:r w:rsidRPr="006D2566">
        <w:rPr>
          <w:rFonts w:eastAsiaTheme="minorEastAsia" w:cs="Arial"/>
          <w:lang w:eastAsia="cs-CZ"/>
        </w:rPr>
        <w:t xml:space="preserve">na </w:t>
      </w:r>
      <w:r w:rsidR="006938BE" w:rsidRPr="006D2566">
        <w:rPr>
          <w:rFonts w:eastAsiaTheme="minorEastAsia" w:cs="Arial"/>
          <w:lang w:eastAsia="cs-CZ"/>
        </w:rPr>
        <w:t>straně UTB ve Zlíně odpovídá:</w:t>
      </w:r>
    </w:p>
    <w:p w14:paraId="3E3F0ADC" w14:textId="77777777" w:rsidR="007B298B" w:rsidRPr="006D2566" w:rsidRDefault="007B298B" w:rsidP="00BD25E7">
      <w:pPr>
        <w:keepNext/>
        <w:tabs>
          <w:tab w:val="left" w:pos="4962"/>
        </w:tabs>
        <w:spacing w:line="240" w:lineRule="auto"/>
        <w:rPr>
          <w:rFonts w:eastAsiaTheme="minorEastAsia" w:cs="Arial"/>
          <w:lang w:eastAsia="cs-CZ"/>
        </w:rPr>
      </w:pPr>
    </w:p>
    <w:p w14:paraId="139061DB" w14:textId="77777777" w:rsidR="007B298B" w:rsidRPr="006D2566" w:rsidRDefault="007B298B" w:rsidP="00BD25E7">
      <w:pPr>
        <w:keepNext/>
        <w:tabs>
          <w:tab w:val="left" w:pos="4962"/>
        </w:tabs>
        <w:spacing w:line="240" w:lineRule="auto"/>
        <w:rPr>
          <w:rFonts w:eastAsiaTheme="minorEastAsia" w:cs="Arial"/>
          <w:lang w:eastAsia="cs-CZ"/>
        </w:rPr>
      </w:pPr>
    </w:p>
    <w:p w14:paraId="2506D06C" w14:textId="77777777" w:rsidR="007B298B" w:rsidRPr="006D2566" w:rsidRDefault="007B298B" w:rsidP="00BD25E7">
      <w:pPr>
        <w:keepNext/>
        <w:tabs>
          <w:tab w:val="left" w:pos="4962"/>
        </w:tabs>
        <w:spacing w:line="240" w:lineRule="auto"/>
        <w:rPr>
          <w:rFonts w:eastAsiaTheme="minorEastAsia" w:cs="Arial"/>
          <w:lang w:eastAsia="cs-CZ"/>
        </w:rPr>
      </w:pPr>
    </w:p>
    <w:p w14:paraId="0BE9F5F3" w14:textId="57E6696A" w:rsidR="007B298B" w:rsidRPr="006D2566" w:rsidRDefault="006938BE" w:rsidP="00BD25E7">
      <w:pPr>
        <w:keepNext/>
        <w:tabs>
          <w:tab w:val="left" w:pos="4962"/>
        </w:tabs>
        <w:spacing w:line="240" w:lineRule="auto"/>
        <w:rPr>
          <w:rFonts w:eastAsiaTheme="minorEastAsia" w:cs="Arial"/>
          <w:lang w:eastAsia="cs-CZ"/>
        </w:rPr>
      </w:pPr>
      <w:r w:rsidRPr="006D2566">
        <w:rPr>
          <w:rFonts w:eastAsiaTheme="minorEastAsia" w:cs="Arial"/>
          <w:lang w:eastAsia="cs-CZ"/>
        </w:rPr>
        <w:t>rektor</w:t>
      </w:r>
    </w:p>
    <w:p w14:paraId="292BDDE5" w14:textId="70A16156" w:rsidR="007B298B" w:rsidRPr="006D2566" w:rsidRDefault="007B298B" w:rsidP="00BD25E7">
      <w:pPr>
        <w:keepNext/>
        <w:tabs>
          <w:tab w:val="left" w:pos="4962"/>
        </w:tabs>
        <w:spacing w:line="240" w:lineRule="auto"/>
        <w:rPr>
          <w:rFonts w:eastAsiaTheme="minorEastAsia" w:cs="Arial"/>
          <w:lang w:eastAsia="cs-CZ"/>
        </w:rPr>
      </w:pPr>
      <w:r w:rsidRPr="006D2566">
        <w:rPr>
          <w:rFonts w:eastAsiaTheme="minorEastAsia" w:cs="Arial"/>
          <w:lang w:eastAsia="cs-CZ"/>
        </w:rPr>
        <w:t>___________________________</w:t>
      </w:r>
      <w:r w:rsidRPr="006D2566">
        <w:rPr>
          <w:rFonts w:eastAsiaTheme="minorEastAsia" w:cs="Arial"/>
          <w:lang w:eastAsia="cs-CZ"/>
        </w:rPr>
        <w:tab/>
      </w:r>
      <w:proofErr w:type="spellStart"/>
      <w:r w:rsidR="00D66E94">
        <w:rPr>
          <w:rFonts w:eastAsiaTheme="minorEastAsia" w:cs="Arial"/>
          <w:lang w:eastAsia="cs-CZ"/>
        </w:rPr>
        <w:t>xxxxxxxxxxxxxxxxxxxxx</w:t>
      </w:r>
      <w:proofErr w:type="spellEnd"/>
    </w:p>
    <w:p w14:paraId="12EC6160" w14:textId="77777777" w:rsidR="007B298B" w:rsidRPr="006D2566" w:rsidRDefault="007B298B" w:rsidP="00BD25E7">
      <w:pPr>
        <w:keepNext/>
        <w:tabs>
          <w:tab w:val="left" w:pos="4962"/>
        </w:tabs>
        <w:spacing w:line="240" w:lineRule="auto"/>
        <w:rPr>
          <w:rFonts w:eastAsiaTheme="minorEastAsia" w:cs="Arial"/>
          <w:lang w:eastAsia="cs-CZ"/>
        </w:rPr>
      </w:pPr>
    </w:p>
    <w:p w14:paraId="116068C9" w14:textId="77777777" w:rsidR="007B298B" w:rsidRPr="006D2566" w:rsidRDefault="007B298B" w:rsidP="00BD25E7">
      <w:pPr>
        <w:keepNext/>
        <w:tabs>
          <w:tab w:val="left" w:pos="4962"/>
        </w:tabs>
        <w:spacing w:line="240" w:lineRule="auto"/>
        <w:rPr>
          <w:rFonts w:eastAsiaTheme="minorEastAsia" w:cs="Arial"/>
          <w:lang w:eastAsia="cs-CZ"/>
        </w:rPr>
      </w:pPr>
    </w:p>
    <w:p w14:paraId="3AA09061" w14:textId="77777777" w:rsidR="007B298B" w:rsidRPr="006D2566" w:rsidRDefault="007B298B" w:rsidP="00BD25E7">
      <w:pPr>
        <w:keepNext/>
        <w:tabs>
          <w:tab w:val="left" w:pos="4962"/>
        </w:tabs>
        <w:spacing w:line="240" w:lineRule="auto"/>
        <w:rPr>
          <w:rFonts w:eastAsiaTheme="minorEastAsia" w:cs="Arial"/>
          <w:lang w:eastAsia="cs-CZ"/>
        </w:rPr>
      </w:pPr>
    </w:p>
    <w:p w14:paraId="089CC65A" w14:textId="77777777" w:rsidR="007B298B" w:rsidRPr="006D2566" w:rsidRDefault="007B298B" w:rsidP="00BD25E7">
      <w:pPr>
        <w:keepNext/>
        <w:tabs>
          <w:tab w:val="left" w:pos="4962"/>
        </w:tabs>
        <w:spacing w:line="240" w:lineRule="auto"/>
        <w:rPr>
          <w:rFonts w:eastAsiaTheme="minorEastAsia" w:cs="Arial"/>
          <w:lang w:eastAsia="cs-CZ"/>
        </w:rPr>
      </w:pPr>
    </w:p>
    <w:p w14:paraId="01722CB6" w14:textId="77777777" w:rsidR="007B298B" w:rsidRPr="006D2566" w:rsidRDefault="007B298B" w:rsidP="00BD25E7">
      <w:pPr>
        <w:keepNext/>
        <w:tabs>
          <w:tab w:val="left" w:pos="4962"/>
        </w:tabs>
        <w:spacing w:line="240" w:lineRule="auto"/>
        <w:rPr>
          <w:rFonts w:eastAsiaTheme="minorEastAsia" w:cs="Arial"/>
          <w:lang w:eastAsia="cs-CZ"/>
        </w:rPr>
      </w:pPr>
    </w:p>
    <w:p w14:paraId="1429F692" w14:textId="77777777" w:rsidR="007B298B" w:rsidRPr="006D2566" w:rsidRDefault="007B298B" w:rsidP="00BD25E7">
      <w:pPr>
        <w:keepNext/>
        <w:tabs>
          <w:tab w:val="left" w:pos="4962"/>
        </w:tabs>
        <w:spacing w:line="240" w:lineRule="auto"/>
        <w:rPr>
          <w:rFonts w:eastAsiaTheme="minorEastAsia" w:cs="Arial"/>
          <w:lang w:eastAsia="cs-CZ"/>
        </w:rPr>
      </w:pPr>
    </w:p>
    <w:p w14:paraId="7313054B" w14:textId="77777777" w:rsidR="002117E7" w:rsidRPr="006D2566" w:rsidRDefault="002117E7" w:rsidP="002117E7">
      <w:pPr>
        <w:keepNext/>
        <w:tabs>
          <w:tab w:val="left" w:pos="4962"/>
        </w:tabs>
        <w:spacing w:line="240" w:lineRule="auto"/>
        <w:rPr>
          <w:rFonts w:eastAsiaTheme="minorEastAsia" w:cs="Arial"/>
          <w:lang w:eastAsia="cs-CZ"/>
        </w:rPr>
      </w:pPr>
      <w:r w:rsidRPr="006D2566">
        <w:rPr>
          <w:rFonts w:eastAsiaTheme="minorEastAsia" w:cs="Arial"/>
          <w:lang w:eastAsia="cs-CZ"/>
        </w:rPr>
        <w:t>kvestor</w:t>
      </w:r>
    </w:p>
    <w:p w14:paraId="2CC965EB" w14:textId="0E0199B9" w:rsidR="007B298B" w:rsidRPr="006D2566" w:rsidRDefault="007B298B" w:rsidP="00BD25E7">
      <w:pPr>
        <w:keepNext/>
        <w:tabs>
          <w:tab w:val="left" w:pos="4962"/>
        </w:tabs>
        <w:spacing w:line="240" w:lineRule="auto"/>
        <w:rPr>
          <w:rFonts w:eastAsiaTheme="minorEastAsia" w:cs="Arial"/>
          <w:lang w:eastAsia="cs-CZ"/>
        </w:rPr>
      </w:pPr>
      <w:r w:rsidRPr="006D2566">
        <w:rPr>
          <w:rFonts w:eastAsiaTheme="minorEastAsia" w:cs="Arial"/>
          <w:lang w:eastAsia="cs-CZ"/>
        </w:rPr>
        <w:t>__________________________</w:t>
      </w:r>
      <w:r w:rsidRPr="006D2566">
        <w:rPr>
          <w:rFonts w:eastAsiaTheme="minorEastAsia" w:cs="Arial"/>
          <w:lang w:eastAsia="cs-CZ"/>
        </w:rPr>
        <w:tab/>
      </w:r>
      <w:proofErr w:type="spellStart"/>
      <w:r w:rsidR="00D66E94">
        <w:rPr>
          <w:rFonts w:eastAsiaTheme="minorEastAsia" w:cs="Arial"/>
          <w:lang w:eastAsia="cs-CZ"/>
        </w:rPr>
        <w:t>xxxxxxxxxxxxxxxxxxxxx</w:t>
      </w:r>
      <w:proofErr w:type="spellEnd"/>
    </w:p>
    <w:p w14:paraId="4557BF70" w14:textId="77777777" w:rsidR="007B298B" w:rsidRPr="006D2566" w:rsidRDefault="007B298B" w:rsidP="00BD25E7">
      <w:pPr>
        <w:keepNext/>
        <w:tabs>
          <w:tab w:val="left" w:pos="4962"/>
        </w:tabs>
        <w:spacing w:line="240" w:lineRule="auto"/>
        <w:rPr>
          <w:rFonts w:eastAsiaTheme="minorEastAsia" w:cs="Arial"/>
          <w:lang w:eastAsia="cs-CZ"/>
        </w:rPr>
      </w:pPr>
    </w:p>
    <w:p w14:paraId="52580813" w14:textId="77777777" w:rsidR="007B298B" w:rsidRPr="006D2566" w:rsidRDefault="007B298B" w:rsidP="00BD25E7">
      <w:pPr>
        <w:keepNext/>
        <w:tabs>
          <w:tab w:val="left" w:pos="4962"/>
        </w:tabs>
        <w:spacing w:line="240" w:lineRule="auto"/>
        <w:rPr>
          <w:rFonts w:eastAsiaTheme="minorEastAsia" w:cs="Arial"/>
          <w:lang w:eastAsia="cs-CZ"/>
        </w:rPr>
      </w:pPr>
    </w:p>
    <w:p w14:paraId="163A9952" w14:textId="77777777" w:rsidR="007B298B" w:rsidRPr="006D2566" w:rsidRDefault="007B298B" w:rsidP="00BD25E7">
      <w:pPr>
        <w:keepNext/>
        <w:tabs>
          <w:tab w:val="left" w:pos="4962"/>
        </w:tabs>
        <w:spacing w:line="240" w:lineRule="auto"/>
        <w:rPr>
          <w:rFonts w:eastAsiaTheme="minorEastAsia" w:cs="Arial"/>
          <w:lang w:eastAsia="cs-CZ"/>
        </w:rPr>
      </w:pPr>
    </w:p>
    <w:p w14:paraId="61189F27" w14:textId="77777777" w:rsidR="007B298B" w:rsidRPr="006D2566" w:rsidRDefault="007B298B" w:rsidP="00BD25E7">
      <w:pPr>
        <w:keepNext/>
        <w:tabs>
          <w:tab w:val="left" w:pos="4962"/>
        </w:tabs>
        <w:spacing w:line="240" w:lineRule="auto"/>
        <w:rPr>
          <w:rFonts w:eastAsiaTheme="minorEastAsia" w:cs="Arial"/>
          <w:lang w:eastAsia="cs-CZ"/>
        </w:rPr>
      </w:pPr>
    </w:p>
    <w:p w14:paraId="089E7622" w14:textId="77777777" w:rsidR="007B298B" w:rsidRPr="006D2566" w:rsidRDefault="007B298B" w:rsidP="00BD25E7">
      <w:pPr>
        <w:keepNext/>
        <w:tabs>
          <w:tab w:val="left" w:pos="4962"/>
        </w:tabs>
        <w:spacing w:line="240" w:lineRule="auto"/>
        <w:rPr>
          <w:rFonts w:eastAsiaTheme="minorEastAsia" w:cs="Arial"/>
          <w:lang w:eastAsia="cs-CZ"/>
        </w:rPr>
      </w:pPr>
    </w:p>
    <w:p w14:paraId="4226BD75" w14:textId="77777777" w:rsidR="007B298B" w:rsidRPr="006D2566" w:rsidRDefault="007B298B" w:rsidP="00BD25E7">
      <w:pPr>
        <w:keepNext/>
        <w:tabs>
          <w:tab w:val="left" w:pos="4962"/>
        </w:tabs>
        <w:spacing w:line="240" w:lineRule="auto"/>
        <w:rPr>
          <w:rFonts w:eastAsiaTheme="minorEastAsia" w:cs="Arial"/>
          <w:lang w:eastAsia="cs-CZ"/>
        </w:rPr>
      </w:pPr>
    </w:p>
    <w:p w14:paraId="633F19CD" w14:textId="77777777" w:rsidR="002117E7" w:rsidRPr="006D2566" w:rsidRDefault="002117E7" w:rsidP="002117E7">
      <w:pPr>
        <w:keepNext/>
        <w:tabs>
          <w:tab w:val="left" w:pos="4962"/>
        </w:tabs>
        <w:spacing w:line="240" w:lineRule="auto"/>
        <w:rPr>
          <w:rFonts w:eastAsiaTheme="minorEastAsia" w:cs="Arial"/>
          <w:lang w:eastAsia="cs-CZ"/>
        </w:rPr>
      </w:pPr>
      <w:r w:rsidRPr="006D2566">
        <w:rPr>
          <w:rFonts w:eastAsiaTheme="minorEastAsia" w:cs="Arial"/>
          <w:lang w:eastAsia="cs-CZ"/>
        </w:rPr>
        <w:t>děkan Fakulty technologické</w:t>
      </w:r>
    </w:p>
    <w:p w14:paraId="5A9F57C2" w14:textId="47DE18B3" w:rsidR="007B298B" w:rsidRDefault="007B298B" w:rsidP="00BD25E7">
      <w:pPr>
        <w:keepNext/>
        <w:tabs>
          <w:tab w:val="left" w:pos="4962"/>
        </w:tabs>
        <w:spacing w:line="240" w:lineRule="auto"/>
        <w:rPr>
          <w:rFonts w:eastAsiaTheme="minorEastAsia" w:cs="Arial"/>
          <w:lang w:eastAsia="cs-CZ"/>
        </w:rPr>
      </w:pPr>
      <w:r w:rsidRPr="006D2566">
        <w:rPr>
          <w:rFonts w:eastAsiaTheme="minorEastAsia" w:cs="Arial"/>
          <w:lang w:eastAsia="cs-CZ"/>
        </w:rPr>
        <w:t>_________________________</w:t>
      </w:r>
      <w:r w:rsidRPr="006D2566">
        <w:rPr>
          <w:rFonts w:eastAsiaTheme="minorEastAsia" w:cs="Arial"/>
          <w:lang w:eastAsia="cs-CZ"/>
        </w:rPr>
        <w:tab/>
      </w:r>
      <w:proofErr w:type="spellStart"/>
      <w:r w:rsidR="00D66E94">
        <w:rPr>
          <w:rFonts w:eastAsiaTheme="minorEastAsia" w:cs="Arial"/>
          <w:lang w:eastAsia="cs-CZ"/>
        </w:rPr>
        <w:t>xxxxxxxxxxxxxxxxxxxxx</w:t>
      </w:r>
      <w:proofErr w:type="spellEnd"/>
    </w:p>
    <w:p w14:paraId="2A971A8B" w14:textId="77777777" w:rsidR="00D66E94" w:rsidRDefault="00D66E94" w:rsidP="00BD25E7">
      <w:pPr>
        <w:keepNext/>
        <w:tabs>
          <w:tab w:val="left" w:pos="4962"/>
        </w:tabs>
        <w:spacing w:line="240" w:lineRule="auto"/>
        <w:rPr>
          <w:rFonts w:eastAsiaTheme="minorEastAsia" w:cs="Arial"/>
          <w:lang w:eastAsia="cs-CZ"/>
        </w:rPr>
      </w:pPr>
    </w:p>
    <w:p w14:paraId="5A52DCAC" w14:textId="77777777" w:rsidR="00D66E94" w:rsidRDefault="00D66E94" w:rsidP="00BD25E7">
      <w:pPr>
        <w:keepNext/>
        <w:tabs>
          <w:tab w:val="left" w:pos="4962"/>
        </w:tabs>
        <w:spacing w:line="240" w:lineRule="auto"/>
        <w:rPr>
          <w:rFonts w:eastAsiaTheme="minorEastAsia" w:cs="Arial"/>
          <w:lang w:eastAsia="cs-CZ"/>
        </w:rPr>
      </w:pPr>
    </w:p>
    <w:p w14:paraId="71DA581D" w14:textId="77777777" w:rsidR="00D66E94" w:rsidRPr="006D2566" w:rsidRDefault="00D66E94" w:rsidP="00BD25E7">
      <w:pPr>
        <w:keepNext/>
        <w:tabs>
          <w:tab w:val="left" w:pos="4962"/>
        </w:tabs>
        <w:spacing w:line="240" w:lineRule="auto"/>
        <w:rPr>
          <w:rFonts w:eastAsiaTheme="minorEastAsia" w:cs="Arial"/>
          <w:lang w:eastAsia="cs-CZ"/>
        </w:rPr>
      </w:pPr>
    </w:p>
    <w:p w14:paraId="2DF6866B" w14:textId="77777777" w:rsidR="007B298B" w:rsidRPr="006D2566" w:rsidRDefault="007B298B" w:rsidP="00BD25E7">
      <w:pPr>
        <w:keepNext/>
        <w:tabs>
          <w:tab w:val="left" w:pos="4962"/>
        </w:tabs>
        <w:spacing w:line="240" w:lineRule="auto"/>
        <w:rPr>
          <w:rFonts w:eastAsiaTheme="minorEastAsia" w:cs="Arial"/>
          <w:lang w:eastAsia="cs-CZ"/>
        </w:rPr>
      </w:pPr>
    </w:p>
    <w:p w14:paraId="658F81A6" w14:textId="77777777" w:rsidR="007B298B" w:rsidRPr="006D2566" w:rsidRDefault="007B298B" w:rsidP="00BD25E7">
      <w:pPr>
        <w:keepNext/>
        <w:tabs>
          <w:tab w:val="left" w:pos="4962"/>
        </w:tabs>
        <w:spacing w:line="240" w:lineRule="auto"/>
        <w:rPr>
          <w:rFonts w:eastAsiaTheme="minorEastAsia" w:cs="Arial"/>
          <w:lang w:eastAsia="cs-CZ"/>
        </w:rPr>
      </w:pPr>
    </w:p>
    <w:p w14:paraId="4D6DA1C8" w14:textId="77777777" w:rsidR="007B298B" w:rsidRPr="006D2566" w:rsidRDefault="007B298B" w:rsidP="00BD25E7">
      <w:pPr>
        <w:keepNext/>
        <w:tabs>
          <w:tab w:val="left" w:pos="4962"/>
        </w:tabs>
        <w:spacing w:line="240" w:lineRule="auto"/>
        <w:rPr>
          <w:rFonts w:eastAsiaTheme="minorEastAsia" w:cs="Arial"/>
          <w:lang w:eastAsia="cs-CZ"/>
        </w:rPr>
      </w:pPr>
    </w:p>
    <w:p w14:paraId="01E465C1" w14:textId="77777777" w:rsidR="002117E7" w:rsidRPr="006D2566" w:rsidRDefault="002117E7" w:rsidP="002117E7">
      <w:pPr>
        <w:keepNext/>
        <w:tabs>
          <w:tab w:val="left" w:pos="4962"/>
        </w:tabs>
        <w:spacing w:line="240" w:lineRule="auto"/>
        <w:rPr>
          <w:rFonts w:eastAsiaTheme="minorEastAsia" w:cs="Arial"/>
          <w:lang w:eastAsia="cs-CZ"/>
        </w:rPr>
      </w:pPr>
      <w:r w:rsidRPr="006D2566">
        <w:rPr>
          <w:rFonts w:eastAsiaTheme="minorEastAsia" w:cs="Arial"/>
          <w:lang w:eastAsia="cs-CZ"/>
        </w:rPr>
        <w:t xml:space="preserve">děkan Fakulty humanitních studií </w:t>
      </w:r>
    </w:p>
    <w:p w14:paraId="1B39941F" w14:textId="4F8FABAA" w:rsidR="007B298B" w:rsidRPr="00640856" w:rsidRDefault="00EB12ED" w:rsidP="00BD25E7">
      <w:pPr>
        <w:keepNext/>
        <w:tabs>
          <w:tab w:val="left" w:pos="4962"/>
        </w:tabs>
        <w:spacing w:line="240" w:lineRule="auto"/>
        <w:rPr>
          <w:rFonts w:eastAsiaTheme="minorEastAsia" w:cs="Arial"/>
          <w:lang w:eastAsia="cs-CZ"/>
        </w:rPr>
      </w:pPr>
      <w:r w:rsidRPr="006D2566">
        <w:rPr>
          <w:rFonts w:eastAsiaTheme="minorEastAsia" w:cs="Arial"/>
          <w:lang w:eastAsia="cs-CZ"/>
        </w:rPr>
        <w:t>_____________________________</w:t>
      </w:r>
      <w:r w:rsidR="007B298B" w:rsidRPr="006D2566">
        <w:rPr>
          <w:rFonts w:eastAsiaTheme="minorEastAsia" w:cs="Arial"/>
          <w:lang w:eastAsia="cs-CZ"/>
        </w:rPr>
        <w:tab/>
      </w:r>
      <w:proofErr w:type="spellStart"/>
      <w:r w:rsidR="00D66E94">
        <w:rPr>
          <w:rFonts w:eastAsiaTheme="minorEastAsia" w:cs="Arial"/>
          <w:lang w:eastAsia="cs-CZ"/>
        </w:rPr>
        <w:t>xxxxxxxxxxxxxxxxxxxxx</w:t>
      </w:r>
      <w:proofErr w:type="spellEnd"/>
    </w:p>
    <w:p w14:paraId="0AF4244F" w14:textId="77777777" w:rsidR="007B298B" w:rsidRPr="00640856" w:rsidRDefault="007B298B" w:rsidP="00BD25E7">
      <w:pPr>
        <w:keepNext/>
        <w:tabs>
          <w:tab w:val="left" w:pos="4962"/>
        </w:tabs>
        <w:spacing w:line="240" w:lineRule="auto"/>
        <w:rPr>
          <w:rFonts w:eastAsiaTheme="minorEastAsia" w:cs="Arial"/>
          <w:lang w:eastAsia="cs-CZ"/>
        </w:rPr>
      </w:pPr>
    </w:p>
    <w:p w14:paraId="5321A345" w14:textId="77777777" w:rsidR="007B298B" w:rsidRPr="00640856" w:rsidRDefault="007B298B" w:rsidP="00BD25E7">
      <w:pPr>
        <w:keepNext/>
        <w:tabs>
          <w:tab w:val="left" w:pos="4962"/>
        </w:tabs>
        <w:spacing w:line="240" w:lineRule="auto"/>
        <w:rPr>
          <w:rFonts w:eastAsiaTheme="minorEastAsia" w:cs="Arial"/>
          <w:lang w:eastAsia="cs-CZ"/>
        </w:rPr>
      </w:pPr>
    </w:p>
    <w:p w14:paraId="4C816D3A" w14:textId="77777777" w:rsidR="007B298B" w:rsidRPr="00640856" w:rsidRDefault="007B298B" w:rsidP="00BD25E7">
      <w:pPr>
        <w:keepNext/>
        <w:tabs>
          <w:tab w:val="left" w:pos="4962"/>
        </w:tabs>
        <w:spacing w:line="240" w:lineRule="auto"/>
        <w:rPr>
          <w:rFonts w:eastAsiaTheme="minorEastAsia" w:cs="Arial"/>
          <w:lang w:eastAsia="cs-CZ"/>
        </w:rPr>
      </w:pPr>
    </w:p>
    <w:p w14:paraId="1C4817C6" w14:textId="77777777" w:rsidR="007B298B" w:rsidRPr="00640856" w:rsidRDefault="007B298B" w:rsidP="00BD25E7">
      <w:pPr>
        <w:keepNext/>
        <w:tabs>
          <w:tab w:val="left" w:pos="4962"/>
        </w:tabs>
        <w:spacing w:line="240" w:lineRule="auto"/>
        <w:rPr>
          <w:rFonts w:eastAsiaTheme="minorEastAsia" w:cs="Arial"/>
          <w:lang w:eastAsia="cs-CZ"/>
        </w:rPr>
      </w:pPr>
    </w:p>
    <w:p w14:paraId="14C4C845" w14:textId="77777777" w:rsidR="007B298B" w:rsidRPr="00640856" w:rsidRDefault="007B298B" w:rsidP="00BD25E7">
      <w:pPr>
        <w:keepNext/>
        <w:tabs>
          <w:tab w:val="left" w:pos="4962"/>
        </w:tabs>
        <w:spacing w:line="240" w:lineRule="auto"/>
        <w:rPr>
          <w:rFonts w:eastAsiaTheme="minorEastAsia" w:cs="Arial"/>
          <w:lang w:eastAsia="cs-CZ"/>
        </w:rPr>
      </w:pPr>
    </w:p>
    <w:p w14:paraId="5C43C187" w14:textId="77777777" w:rsidR="007B298B" w:rsidRPr="00640856" w:rsidRDefault="007B298B" w:rsidP="00BD25E7">
      <w:pPr>
        <w:keepNext/>
        <w:tabs>
          <w:tab w:val="left" w:pos="4962"/>
        </w:tabs>
        <w:spacing w:line="240" w:lineRule="auto"/>
        <w:rPr>
          <w:rFonts w:eastAsiaTheme="minorEastAsia" w:cs="Arial"/>
          <w:lang w:eastAsia="cs-CZ"/>
        </w:rPr>
      </w:pPr>
    </w:p>
    <w:p w14:paraId="2E64364E" w14:textId="77777777" w:rsidR="007B298B" w:rsidRPr="00640856" w:rsidRDefault="007B298B" w:rsidP="00BD25E7">
      <w:pPr>
        <w:keepNext/>
        <w:tabs>
          <w:tab w:val="left" w:pos="4962"/>
        </w:tabs>
        <w:spacing w:line="240" w:lineRule="auto"/>
        <w:rPr>
          <w:rFonts w:eastAsiaTheme="minorEastAsia" w:cs="Arial"/>
          <w:lang w:eastAsia="cs-CZ"/>
        </w:rPr>
      </w:pPr>
    </w:p>
    <w:p w14:paraId="55841524" w14:textId="328BEAAB" w:rsidR="00585CE9" w:rsidRDefault="00190407" w:rsidP="00BD25E7">
      <w:pPr>
        <w:keepNext/>
        <w:tabs>
          <w:tab w:val="left" w:pos="4962"/>
        </w:tabs>
        <w:spacing w:line="240" w:lineRule="auto"/>
        <w:rPr>
          <w:rFonts w:eastAsiaTheme="minorEastAsia" w:cs="Arial"/>
          <w:lang w:eastAsia="cs-CZ"/>
        </w:rPr>
      </w:pPr>
      <w:r>
        <w:rPr>
          <w:rFonts w:eastAsiaTheme="minorEastAsia" w:cs="Arial"/>
          <w:lang w:eastAsia="cs-CZ"/>
        </w:rPr>
        <w:tab/>
      </w:r>
    </w:p>
    <w:p w14:paraId="472BF8DE" w14:textId="77777777" w:rsidR="00585CE9" w:rsidRPr="00BD25E7" w:rsidRDefault="00585CE9" w:rsidP="00830824">
      <w:pPr>
        <w:spacing w:after="160" w:line="259" w:lineRule="auto"/>
        <w:rPr>
          <w:rFonts w:eastAsiaTheme="minorEastAsia" w:cs="Arial"/>
          <w:lang w:eastAsia="cs-CZ"/>
        </w:rPr>
      </w:pPr>
    </w:p>
    <w:sectPr w:rsidR="00585CE9" w:rsidRPr="00BD25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BC88" w14:textId="77777777" w:rsidR="004A7B4D" w:rsidRDefault="004A7B4D" w:rsidP="007E6AAC">
      <w:pPr>
        <w:spacing w:line="240" w:lineRule="auto"/>
      </w:pPr>
      <w:r>
        <w:separator/>
      </w:r>
    </w:p>
  </w:endnote>
  <w:endnote w:type="continuationSeparator" w:id="0">
    <w:p w14:paraId="2C36AEFC" w14:textId="77777777" w:rsidR="004A7B4D" w:rsidRDefault="004A7B4D" w:rsidP="007E6AAC">
      <w:pPr>
        <w:spacing w:line="240" w:lineRule="auto"/>
      </w:pPr>
      <w:r>
        <w:continuationSeparator/>
      </w:r>
    </w:p>
  </w:endnote>
  <w:endnote w:type="continuationNotice" w:id="1">
    <w:p w14:paraId="626E8578" w14:textId="77777777" w:rsidR="004A7B4D" w:rsidRDefault="004A7B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2614"/>
      <w:docPartObj>
        <w:docPartGallery w:val="Page Numbers (Bottom of Page)"/>
        <w:docPartUnique/>
      </w:docPartObj>
    </w:sdtPr>
    <w:sdtEndPr/>
    <w:sdtContent>
      <w:p w14:paraId="2A7662E9" w14:textId="77777777" w:rsidR="007E6AAC" w:rsidRDefault="007E6AAC">
        <w:pPr>
          <w:pStyle w:val="Zpat"/>
          <w:jc w:val="center"/>
        </w:pPr>
        <w:r>
          <w:fldChar w:fldCharType="begin"/>
        </w:r>
        <w:r>
          <w:instrText>PAGE   \* MERGEFORMAT</w:instrText>
        </w:r>
        <w:r>
          <w:fldChar w:fldCharType="separate"/>
        </w:r>
        <w:r w:rsidR="00CB4DE2">
          <w:rPr>
            <w:noProof/>
          </w:rPr>
          <w:t>1</w:t>
        </w:r>
        <w:r>
          <w:fldChar w:fldCharType="end"/>
        </w:r>
      </w:p>
    </w:sdtContent>
  </w:sdt>
  <w:p w14:paraId="1ABD5E30" w14:textId="77777777" w:rsidR="007E6AAC" w:rsidRDefault="007E6A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699E" w14:textId="77777777" w:rsidR="004A7B4D" w:rsidRDefault="004A7B4D" w:rsidP="007E6AAC">
      <w:pPr>
        <w:spacing w:line="240" w:lineRule="auto"/>
      </w:pPr>
      <w:r>
        <w:separator/>
      </w:r>
    </w:p>
  </w:footnote>
  <w:footnote w:type="continuationSeparator" w:id="0">
    <w:p w14:paraId="08966A7B" w14:textId="77777777" w:rsidR="004A7B4D" w:rsidRDefault="004A7B4D" w:rsidP="007E6AAC">
      <w:pPr>
        <w:spacing w:line="240" w:lineRule="auto"/>
      </w:pPr>
      <w:r>
        <w:continuationSeparator/>
      </w:r>
    </w:p>
  </w:footnote>
  <w:footnote w:type="continuationNotice" w:id="1">
    <w:p w14:paraId="750307FA" w14:textId="77777777" w:rsidR="004A7B4D" w:rsidRDefault="004A7B4D">
      <w:pPr>
        <w:spacing w:line="240" w:lineRule="auto"/>
      </w:pPr>
    </w:p>
  </w:footnote>
  <w:footnote w:id="2">
    <w:p w14:paraId="70B3B349" w14:textId="77777777" w:rsidR="00CE1C63" w:rsidRDefault="00CE1C63">
      <w:pPr>
        <w:pStyle w:val="Textpoznpodarou"/>
      </w:pPr>
      <w:r w:rsidRPr="007646A7">
        <w:rPr>
          <w:rStyle w:val="Znakapoznpodarou"/>
        </w:rPr>
        <w:footnoteRef/>
      </w:r>
      <w:r w:rsidRPr="007646A7">
        <w:t xml:space="preserve"> </w:t>
      </w:r>
      <w:r w:rsidRPr="005B544A">
        <w:t xml:space="preserve">Počet </w:t>
      </w:r>
      <w:r w:rsidR="00DF6836" w:rsidRPr="005B544A">
        <w:t>3</w:t>
      </w:r>
      <w:r w:rsidR="004D4AB4" w:rsidRPr="005B544A">
        <w:t>2</w:t>
      </w:r>
      <w:r w:rsidR="00097E4D" w:rsidRPr="005B544A">
        <w:t>0</w:t>
      </w:r>
      <w:r w:rsidRPr="005B544A">
        <w:t xml:space="preserve"> studentů</w:t>
      </w:r>
      <w:r w:rsidRPr="00565D4F">
        <w:t xml:space="preserve"> představuje </w:t>
      </w:r>
      <w:r w:rsidR="007646A7" w:rsidRPr="00565D4F">
        <w:t>8</w:t>
      </w:r>
      <w:r w:rsidR="0022160D" w:rsidRPr="00565D4F">
        <w:t>0</w:t>
      </w:r>
      <w:r w:rsidRPr="00565D4F">
        <w:t xml:space="preserve"> </w:t>
      </w:r>
      <w:r w:rsidR="003E0786" w:rsidRPr="00565D4F">
        <w:t>% nabízené</w:t>
      </w:r>
      <w:r w:rsidRPr="00565D4F">
        <w:t xml:space="preserve"> studijní kapacity.</w:t>
      </w:r>
    </w:p>
  </w:footnote>
  <w:footnote w:id="3">
    <w:p w14:paraId="38F1D854" w14:textId="355E4D6E" w:rsidR="009F22F0" w:rsidRDefault="009F22F0">
      <w:pPr>
        <w:pStyle w:val="Textpoznpodarou"/>
      </w:pPr>
      <w:r>
        <w:rPr>
          <w:rStyle w:val="Znakapoznpodarou"/>
        </w:rPr>
        <w:footnoteRef/>
      </w:r>
      <w:r>
        <w:t xml:space="preserve"> </w:t>
      </w:r>
      <w:r w:rsidR="00606363">
        <w:t xml:space="preserve">Binárním indikátorem </w:t>
      </w:r>
      <w:r w:rsidR="00F0748B">
        <w:t xml:space="preserve">pro účely této smlouvy </w:t>
      </w:r>
      <w:r w:rsidR="00606363">
        <w:t>se rozumí výstup, který nelze naplnit částečně. Hodnocení indikátoru je pouze v rovině ANO – NE.</w:t>
      </w:r>
      <w:r w:rsidR="00F0748B">
        <w:t xml:space="preserve"> V případě splnění veškerých požadavků výstupu je hodnoceno ANO, v případě nenaplnění </w:t>
      </w:r>
      <w:r w:rsidR="00817060">
        <w:t>kterékoliv</w:t>
      </w:r>
      <w:r w:rsidR="00F0748B">
        <w:t xml:space="preserve"> části (termín zahájení, počet studijních míst..</w:t>
      </w:r>
      <w:r w:rsidR="00817060">
        <w:t>) je hodnocení 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EB0C" w14:textId="6FC26775" w:rsidR="001511F4" w:rsidRPr="001511F4" w:rsidRDefault="001511F4" w:rsidP="001511F4">
    <w:pPr>
      <w:pStyle w:val="Zhlav"/>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985"/>
    <w:multiLevelType w:val="hybridMultilevel"/>
    <w:tmpl w:val="A2E81CFE"/>
    <w:lvl w:ilvl="0" w:tplc="18F828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36079B"/>
    <w:multiLevelType w:val="hybridMultilevel"/>
    <w:tmpl w:val="74C6708C"/>
    <w:lvl w:ilvl="0" w:tplc="18F828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C65E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9F32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F76E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801D0C"/>
    <w:multiLevelType w:val="multilevel"/>
    <w:tmpl w:val="D0CEF22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0E14FB"/>
    <w:multiLevelType w:val="hybridMultilevel"/>
    <w:tmpl w:val="18AA956E"/>
    <w:lvl w:ilvl="0" w:tplc="D4684344">
      <w:start w:val="1"/>
      <w:numFmt w:val="decimal"/>
      <w:pStyle w:val="Nadpis2"/>
      <w:lvlText w:val=".%1."/>
      <w:lvlJc w:val="left"/>
      <w:pPr>
        <w:ind w:left="720" w:hanging="360"/>
      </w:pPr>
      <w:rPr>
        <w:b w:val="0"/>
        <w:spacing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355506B"/>
    <w:multiLevelType w:val="hybridMultilevel"/>
    <w:tmpl w:val="C666C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F3F3C"/>
    <w:multiLevelType w:val="hybridMultilevel"/>
    <w:tmpl w:val="6854B72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15:restartNumberingAfterBreak="0">
    <w:nsid w:val="49255043"/>
    <w:multiLevelType w:val="hybridMultilevel"/>
    <w:tmpl w:val="CCC406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7B409F"/>
    <w:multiLevelType w:val="hybridMultilevel"/>
    <w:tmpl w:val="CEF8AC64"/>
    <w:lvl w:ilvl="0" w:tplc="F032519A">
      <w:start w:val="1"/>
      <w:numFmt w:val="upperRoman"/>
      <w:pStyle w:val="Nadpis1"/>
      <w:lvlText w:val="%1."/>
      <w:lvlJc w:val="right"/>
      <w:pPr>
        <w:ind w:left="720" w:hanging="360"/>
      </w:pPr>
      <w:rPr>
        <w:rFonts w:ascii="Arial" w:hAnsi="Arial" w:cs="Arial" w:hint="default"/>
        <w:b/>
        <w:bCs/>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9F040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07023C"/>
    <w:multiLevelType w:val="hybridMultilevel"/>
    <w:tmpl w:val="DF94D71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7E320F56"/>
    <w:multiLevelType w:val="hybridMultilevel"/>
    <w:tmpl w:val="5C20CC9E"/>
    <w:lvl w:ilvl="0" w:tplc="04050017">
      <w:start w:val="1"/>
      <w:numFmt w:val="lowerLetter"/>
      <w:lvlText w:val="%1)"/>
      <w:lvlJc w:val="left"/>
      <w:pPr>
        <w:ind w:left="720" w:hanging="360"/>
      </w:pPr>
      <w:rPr>
        <w:rFonts w:hint="default"/>
        <w:b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4313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420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302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8688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702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443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499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1674390">
    <w:abstractNumId w:val="13"/>
  </w:num>
  <w:num w:numId="9" w16cid:durableId="762528946">
    <w:abstractNumId w:val="9"/>
  </w:num>
  <w:num w:numId="10" w16cid:durableId="85926398">
    <w:abstractNumId w:val="7"/>
  </w:num>
  <w:num w:numId="11" w16cid:durableId="1056321133">
    <w:abstractNumId w:val="6"/>
  </w:num>
  <w:num w:numId="12" w16cid:durableId="547038339">
    <w:abstractNumId w:val="8"/>
  </w:num>
  <w:num w:numId="13" w16cid:durableId="1982467122">
    <w:abstractNumId w:val="12"/>
  </w:num>
  <w:num w:numId="14" w16cid:durableId="1960141895">
    <w:abstractNumId w:val="1"/>
  </w:num>
  <w:num w:numId="15" w16cid:durableId="672075793">
    <w:abstractNumId w:val="0"/>
  </w:num>
  <w:num w:numId="16" w16cid:durableId="204612935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07"/>
    <w:rsid w:val="000013CA"/>
    <w:rsid w:val="000018F8"/>
    <w:rsid w:val="00002942"/>
    <w:rsid w:val="00004BC4"/>
    <w:rsid w:val="0000510D"/>
    <w:rsid w:val="00006680"/>
    <w:rsid w:val="000078E2"/>
    <w:rsid w:val="0001251E"/>
    <w:rsid w:val="00012A19"/>
    <w:rsid w:val="00014321"/>
    <w:rsid w:val="00015AFF"/>
    <w:rsid w:val="00017028"/>
    <w:rsid w:val="00017A9B"/>
    <w:rsid w:val="00017CBA"/>
    <w:rsid w:val="00021A14"/>
    <w:rsid w:val="00022AB1"/>
    <w:rsid w:val="00022E5D"/>
    <w:rsid w:val="00023C64"/>
    <w:rsid w:val="00024827"/>
    <w:rsid w:val="00024839"/>
    <w:rsid w:val="00025208"/>
    <w:rsid w:val="000266C9"/>
    <w:rsid w:val="00026B8D"/>
    <w:rsid w:val="0002757C"/>
    <w:rsid w:val="00030517"/>
    <w:rsid w:val="00030E42"/>
    <w:rsid w:val="00031169"/>
    <w:rsid w:val="00032818"/>
    <w:rsid w:val="00032F8D"/>
    <w:rsid w:val="00034CB2"/>
    <w:rsid w:val="00034D04"/>
    <w:rsid w:val="0003546D"/>
    <w:rsid w:val="0003587C"/>
    <w:rsid w:val="00035E09"/>
    <w:rsid w:val="00036CF0"/>
    <w:rsid w:val="000401AF"/>
    <w:rsid w:val="000403C7"/>
    <w:rsid w:val="00041BE3"/>
    <w:rsid w:val="00043864"/>
    <w:rsid w:val="00044BA5"/>
    <w:rsid w:val="00045094"/>
    <w:rsid w:val="00045A51"/>
    <w:rsid w:val="00046AB5"/>
    <w:rsid w:val="00047639"/>
    <w:rsid w:val="00047AAB"/>
    <w:rsid w:val="00050471"/>
    <w:rsid w:val="00051B42"/>
    <w:rsid w:val="00051CEB"/>
    <w:rsid w:val="0005406D"/>
    <w:rsid w:val="000548BB"/>
    <w:rsid w:val="00054AB3"/>
    <w:rsid w:val="000553A9"/>
    <w:rsid w:val="00055EEB"/>
    <w:rsid w:val="000569E2"/>
    <w:rsid w:val="000578D9"/>
    <w:rsid w:val="00057B57"/>
    <w:rsid w:val="00060591"/>
    <w:rsid w:val="00060B11"/>
    <w:rsid w:val="00060E67"/>
    <w:rsid w:val="00064DC8"/>
    <w:rsid w:val="000653C8"/>
    <w:rsid w:val="000654F6"/>
    <w:rsid w:val="000658D1"/>
    <w:rsid w:val="00065BE3"/>
    <w:rsid w:val="00065D8D"/>
    <w:rsid w:val="00066CB0"/>
    <w:rsid w:val="00066F4C"/>
    <w:rsid w:val="00067F07"/>
    <w:rsid w:val="0007049A"/>
    <w:rsid w:val="00071B25"/>
    <w:rsid w:val="0007271F"/>
    <w:rsid w:val="00072B65"/>
    <w:rsid w:val="00072C51"/>
    <w:rsid w:val="0007390B"/>
    <w:rsid w:val="00074820"/>
    <w:rsid w:val="00075616"/>
    <w:rsid w:val="00076C2B"/>
    <w:rsid w:val="00076EDB"/>
    <w:rsid w:val="00077B4D"/>
    <w:rsid w:val="00077F2E"/>
    <w:rsid w:val="00080915"/>
    <w:rsid w:val="00080A63"/>
    <w:rsid w:val="0008249E"/>
    <w:rsid w:val="00082AAA"/>
    <w:rsid w:val="00084A5A"/>
    <w:rsid w:val="00084B28"/>
    <w:rsid w:val="000854A6"/>
    <w:rsid w:val="000858B9"/>
    <w:rsid w:val="00085975"/>
    <w:rsid w:val="00086885"/>
    <w:rsid w:val="00086D33"/>
    <w:rsid w:val="0009095E"/>
    <w:rsid w:val="000911F0"/>
    <w:rsid w:val="000923DE"/>
    <w:rsid w:val="0009255E"/>
    <w:rsid w:val="000932B8"/>
    <w:rsid w:val="00094E8C"/>
    <w:rsid w:val="00095B5A"/>
    <w:rsid w:val="0009772D"/>
    <w:rsid w:val="00097A40"/>
    <w:rsid w:val="00097E4D"/>
    <w:rsid w:val="00097EB0"/>
    <w:rsid w:val="000A020A"/>
    <w:rsid w:val="000A19F1"/>
    <w:rsid w:val="000A2A0D"/>
    <w:rsid w:val="000A3C80"/>
    <w:rsid w:val="000A447F"/>
    <w:rsid w:val="000A4D40"/>
    <w:rsid w:val="000A506A"/>
    <w:rsid w:val="000A55C3"/>
    <w:rsid w:val="000A57A3"/>
    <w:rsid w:val="000A693C"/>
    <w:rsid w:val="000A7642"/>
    <w:rsid w:val="000A7E8E"/>
    <w:rsid w:val="000B08C7"/>
    <w:rsid w:val="000B124F"/>
    <w:rsid w:val="000B17E1"/>
    <w:rsid w:val="000B198A"/>
    <w:rsid w:val="000B22A4"/>
    <w:rsid w:val="000B2327"/>
    <w:rsid w:val="000B3689"/>
    <w:rsid w:val="000B3AF5"/>
    <w:rsid w:val="000B4C4A"/>
    <w:rsid w:val="000B5135"/>
    <w:rsid w:val="000B562B"/>
    <w:rsid w:val="000B6170"/>
    <w:rsid w:val="000B642D"/>
    <w:rsid w:val="000B6725"/>
    <w:rsid w:val="000C0C47"/>
    <w:rsid w:val="000C1623"/>
    <w:rsid w:val="000C279D"/>
    <w:rsid w:val="000C50B5"/>
    <w:rsid w:val="000D0178"/>
    <w:rsid w:val="000D0544"/>
    <w:rsid w:val="000D06F7"/>
    <w:rsid w:val="000D0CCB"/>
    <w:rsid w:val="000D1474"/>
    <w:rsid w:val="000D1870"/>
    <w:rsid w:val="000D1927"/>
    <w:rsid w:val="000D3A80"/>
    <w:rsid w:val="000D42D8"/>
    <w:rsid w:val="000D541B"/>
    <w:rsid w:val="000D590F"/>
    <w:rsid w:val="000D6ACC"/>
    <w:rsid w:val="000D6BA5"/>
    <w:rsid w:val="000D7076"/>
    <w:rsid w:val="000E0ABB"/>
    <w:rsid w:val="000E14F1"/>
    <w:rsid w:val="000E1673"/>
    <w:rsid w:val="000E1C7C"/>
    <w:rsid w:val="000E2352"/>
    <w:rsid w:val="000E3CEE"/>
    <w:rsid w:val="000E44E3"/>
    <w:rsid w:val="000E5400"/>
    <w:rsid w:val="000E5F61"/>
    <w:rsid w:val="000E615A"/>
    <w:rsid w:val="000E6A55"/>
    <w:rsid w:val="000F08E1"/>
    <w:rsid w:val="000F42D2"/>
    <w:rsid w:val="000F43E9"/>
    <w:rsid w:val="000F4A8C"/>
    <w:rsid w:val="000F4ECD"/>
    <w:rsid w:val="000F4F4B"/>
    <w:rsid w:val="000F5ABB"/>
    <w:rsid w:val="000F6887"/>
    <w:rsid w:val="000F69CE"/>
    <w:rsid w:val="000F7257"/>
    <w:rsid w:val="00101803"/>
    <w:rsid w:val="00102279"/>
    <w:rsid w:val="00102660"/>
    <w:rsid w:val="001031D3"/>
    <w:rsid w:val="00103DA9"/>
    <w:rsid w:val="001055EB"/>
    <w:rsid w:val="0010573B"/>
    <w:rsid w:val="00106ADA"/>
    <w:rsid w:val="001079FF"/>
    <w:rsid w:val="00107B35"/>
    <w:rsid w:val="001121E9"/>
    <w:rsid w:val="00114091"/>
    <w:rsid w:val="001150F5"/>
    <w:rsid w:val="00115DAA"/>
    <w:rsid w:val="001169CE"/>
    <w:rsid w:val="00116AE6"/>
    <w:rsid w:val="001207B4"/>
    <w:rsid w:val="001210A3"/>
    <w:rsid w:val="0012165C"/>
    <w:rsid w:val="001217E2"/>
    <w:rsid w:val="00123F27"/>
    <w:rsid w:val="0012496D"/>
    <w:rsid w:val="001259EB"/>
    <w:rsid w:val="0012717F"/>
    <w:rsid w:val="00127618"/>
    <w:rsid w:val="00127D4A"/>
    <w:rsid w:val="00127FA2"/>
    <w:rsid w:val="00130D4A"/>
    <w:rsid w:val="00131EF5"/>
    <w:rsid w:val="0013330F"/>
    <w:rsid w:val="001376D5"/>
    <w:rsid w:val="001400C8"/>
    <w:rsid w:val="00140CDF"/>
    <w:rsid w:val="00140F94"/>
    <w:rsid w:val="001417AB"/>
    <w:rsid w:val="00141B5E"/>
    <w:rsid w:val="00143225"/>
    <w:rsid w:val="00143BF9"/>
    <w:rsid w:val="00143E36"/>
    <w:rsid w:val="00144A89"/>
    <w:rsid w:val="00144ABD"/>
    <w:rsid w:val="00144F1C"/>
    <w:rsid w:val="00145857"/>
    <w:rsid w:val="00146BFE"/>
    <w:rsid w:val="00147A9E"/>
    <w:rsid w:val="00150D62"/>
    <w:rsid w:val="00150D93"/>
    <w:rsid w:val="001511F4"/>
    <w:rsid w:val="00152A40"/>
    <w:rsid w:val="00153E1C"/>
    <w:rsid w:val="0015679D"/>
    <w:rsid w:val="00157317"/>
    <w:rsid w:val="00157438"/>
    <w:rsid w:val="00157509"/>
    <w:rsid w:val="00157D13"/>
    <w:rsid w:val="00157EC4"/>
    <w:rsid w:val="0016037C"/>
    <w:rsid w:val="00160AD9"/>
    <w:rsid w:val="001622FC"/>
    <w:rsid w:val="00163C28"/>
    <w:rsid w:val="00163D5B"/>
    <w:rsid w:val="00164106"/>
    <w:rsid w:val="001658E6"/>
    <w:rsid w:val="00167947"/>
    <w:rsid w:val="00170AAD"/>
    <w:rsid w:val="00171176"/>
    <w:rsid w:val="001719EA"/>
    <w:rsid w:val="00172836"/>
    <w:rsid w:val="00172F65"/>
    <w:rsid w:val="00173070"/>
    <w:rsid w:val="00173C88"/>
    <w:rsid w:val="00174246"/>
    <w:rsid w:val="00175D1E"/>
    <w:rsid w:val="00176552"/>
    <w:rsid w:val="001766E6"/>
    <w:rsid w:val="00176AD9"/>
    <w:rsid w:val="001771ED"/>
    <w:rsid w:val="00177246"/>
    <w:rsid w:val="001774FC"/>
    <w:rsid w:val="001779B8"/>
    <w:rsid w:val="0018212C"/>
    <w:rsid w:val="00182683"/>
    <w:rsid w:val="00182CB0"/>
    <w:rsid w:val="0018352D"/>
    <w:rsid w:val="00183975"/>
    <w:rsid w:val="00184BFA"/>
    <w:rsid w:val="001868D7"/>
    <w:rsid w:val="00190407"/>
    <w:rsid w:val="0019052D"/>
    <w:rsid w:val="00190D84"/>
    <w:rsid w:val="001918E6"/>
    <w:rsid w:val="00191A06"/>
    <w:rsid w:val="00193521"/>
    <w:rsid w:val="00196B71"/>
    <w:rsid w:val="0019736D"/>
    <w:rsid w:val="001973BB"/>
    <w:rsid w:val="001976FE"/>
    <w:rsid w:val="001A121A"/>
    <w:rsid w:val="001A1475"/>
    <w:rsid w:val="001A1FC1"/>
    <w:rsid w:val="001A2017"/>
    <w:rsid w:val="001A21F1"/>
    <w:rsid w:val="001A25A6"/>
    <w:rsid w:val="001A3573"/>
    <w:rsid w:val="001A72A6"/>
    <w:rsid w:val="001A7DBD"/>
    <w:rsid w:val="001B07D4"/>
    <w:rsid w:val="001B1A47"/>
    <w:rsid w:val="001B1BC9"/>
    <w:rsid w:val="001B25B5"/>
    <w:rsid w:val="001B2A40"/>
    <w:rsid w:val="001B2FF6"/>
    <w:rsid w:val="001B3098"/>
    <w:rsid w:val="001B4707"/>
    <w:rsid w:val="001B4766"/>
    <w:rsid w:val="001B5181"/>
    <w:rsid w:val="001B614D"/>
    <w:rsid w:val="001B70EA"/>
    <w:rsid w:val="001B71E8"/>
    <w:rsid w:val="001B75E5"/>
    <w:rsid w:val="001B7898"/>
    <w:rsid w:val="001C0C00"/>
    <w:rsid w:val="001C0F7B"/>
    <w:rsid w:val="001C13CD"/>
    <w:rsid w:val="001C1506"/>
    <w:rsid w:val="001C200D"/>
    <w:rsid w:val="001C2C7D"/>
    <w:rsid w:val="001C2C8E"/>
    <w:rsid w:val="001C3F81"/>
    <w:rsid w:val="001C46F5"/>
    <w:rsid w:val="001C4760"/>
    <w:rsid w:val="001D0C70"/>
    <w:rsid w:val="001D178E"/>
    <w:rsid w:val="001D1CD3"/>
    <w:rsid w:val="001D21F2"/>
    <w:rsid w:val="001D2ED1"/>
    <w:rsid w:val="001D3099"/>
    <w:rsid w:val="001D40CE"/>
    <w:rsid w:val="001D438C"/>
    <w:rsid w:val="001D47E4"/>
    <w:rsid w:val="001D52CD"/>
    <w:rsid w:val="001D6438"/>
    <w:rsid w:val="001D6AC5"/>
    <w:rsid w:val="001D7C81"/>
    <w:rsid w:val="001E076E"/>
    <w:rsid w:val="001E10FE"/>
    <w:rsid w:val="001E15A2"/>
    <w:rsid w:val="001E2D75"/>
    <w:rsid w:val="001E4252"/>
    <w:rsid w:val="001E5534"/>
    <w:rsid w:val="001E5A08"/>
    <w:rsid w:val="001E5B69"/>
    <w:rsid w:val="001E5C3F"/>
    <w:rsid w:val="001E677B"/>
    <w:rsid w:val="001E6B96"/>
    <w:rsid w:val="001F0670"/>
    <w:rsid w:val="001F12AA"/>
    <w:rsid w:val="001F24A0"/>
    <w:rsid w:val="001F26EA"/>
    <w:rsid w:val="001F2D81"/>
    <w:rsid w:val="001F3AB0"/>
    <w:rsid w:val="001F55A7"/>
    <w:rsid w:val="001F5C14"/>
    <w:rsid w:val="001F6298"/>
    <w:rsid w:val="0020005D"/>
    <w:rsid w:val="00200B24"/>
    <w:rsid w:val="00200EA2"/>
    <w:rsid w:val="0020118F"/>
    <w:rsid w:val="00201928"/>
    <w:rsid w:val="00204F6E"/>
    <w:rsid w:val="00205048"/>
    <w:rsid w:val="00205886"/>
    <w:rsid w:val="002063BD"/>
    <w:rsid w:val="00206DC5"/>
    <w:rsid w:val="002076A6"/>
    <w:rsid w:val="00210294"/>
    <w:rsid w:val="002115ED"/>
    <w:rsid w:val="002117E7"/>
    <w:rsid w:val="00211DCC"/>
    <w:rsid w:val="002146D0"/>
    <w:rsid w:val="00215569"/>
    <w:rsid w:val="00216315"/>
    <w:rsid w:val="00217AD4"/>
    <w:rsid w:val="00220234"/>
    <w:rsid w:val="00220EAA"/>
    <w:rsid w:val="002210CA"/>
    <w:rsid w:val="0022160D"/>
    <w:rsid w:val="00222E83"/>
    <w:rsid w:val="00223FA0"/>
    <w:rsid w:val="002308C2"/>
    <w:rsid w:val="00230A63"/>
    <w:rsid w:val="0023331C"/>
    <w:rsid w:val="00234339"/>
    <w:rsid w:val="0023450E"/>
    <w:rsid w:val="00235097"/>
    <w:rsid w:val="002366C6"/>
    <w:rsid w:val="00237A44"/>
    <w:rsid w:val="002407C4"/>
    <w:rsid w:val="00241845"/>
    <w:rsid w:val="0024203B"/>
    <w:rsid w:val="002427F4"/>
    <w:rsid w:val="00242B8B"/>
    <w:rsid w:val="00242F79"/>
    <w:rsid w:val="00243A6E"/>
    <w:rsid w:val="00245385"/>
    <w:rsid w:val="002476E5"/>
    <w:rsid w:val="0025237B"/>
    <w:rsid w:val="002524B4"/>
    <w:rsid w:val="00253421"/>
    <w:rsid w:val="00253551"/>
    <w:rsid w:val="00254C66"/>
    <w:rsid w:val="00254DD1"/>
    <w:rsid w:val="0025625D"/>
    <w:rsid w:val="00256D38"/>
    <w:rsid w:val="00256E95"/>
    <w:rsid w:val="0026048B"/>
    <w:rsid w:val="0026155E"/>
    <w:rsid w:val="0026192A"/>
    <w:rsid w:val="00262838"/>
    <w:rsid w:val="00264000"/>
    <w:rsid w:val="002649C5"/>
    <w:rsid w:val="00264B95"/>
    <w:rsid w:val="00265C64"/>
    <w:rsid w:val="00265EC4"/>
    <w:rsid w:val="002666AD"/>
    <w:rsid w:val="00266B02"/>
    <w:rsid w:val="00266B36"/>
    <w:rsid w:val="00267425"/>
    <w:rsid w:val="00272724"/>
    <w:rsid w:val="002727F0"/>
    <w:rsid w:val="00273C65"/>
    <w:rsid w:val="00273CB4"/>
    <w:rsid w:val="002762F9"/>
    <w:rsid w:val="00280436"/>
    <w:rsid w:val="00281138"/>
    <w:rsid w:val="0028190C"/>
    <w:rsid w:val="00281B0E"/>
    <w:rsid w:val="0028269A"/>
    <w:rsid w:val="0029089A"/>
    <w:rsid w:val="0029172A"/>
    <w:rsid w:val="0029206E"/>
    <w:rsid w:val="00294CE6"/>
    <w:rsid w:val="002953A1"/>
    <w:rsid w:val="00296D9A"/>
    <w:rsid w:val="00297C22"/>
    <w:rsid w:val="002A00C1"/>
    <w:rsid w:val="002A029A"/>
    <w:rsid w:val="002A298E"/>
    <w:rsid w:val="002A3074"/>
    <w:rsid w:val="002A31F5"/>
    <w:rsid w:val="002A5712"/>
    <w:rsid w:val="002A7C13"/>
    <w:rsid w:val="002B027F"/>
    <w:rsid w:val="002B1A2F"/>
    <w:rsid w:val="002B2151"/>
    <w:rsid w:val="002B32E0"/>
    <w:rsid w:val="002B4BC5"/>
    <w:rsid w:val="002B4CE2"/>
    <w:rsid w:val="002B623D"/>
    <w:rsid w:val="002C1106"/>
    <w:rsid w:val="002C2129"/>
    <w:rsid w:val="002C25FF"/>
    <w:rsid w:val="002C3F08"/>
    <w:rsid w:val="002C50E5"/>
    <w:rsid w:val="002C66B0"/>
    <w:rsid w:val="002C686E"/>
    <w:rsid w:val="002C70A5"/>
    <w:rsid w:val="002C7686"/>
    <w:rsid w:val="002D027D"/>
    <w:rsid w:val="002D0D6C"/>
    <w:rsid w:val="002D2602"/>
    <w:rsid w:val="002D297C"/>
    <w:rsid w:val="002D3294"/>
    <w:rsid w:val="002D3DD8"/>
    <w:rsid w:val="002D48B9"/>
    <w:rsid w:val="002D4F74"/>
    <w:rsid w:val="002D52CD"/>
    <w:rsid w:val="002D63D1"/>
    <w:rsid w:val="002D7046"/>
    <w:rsid w:val="002D70C4"/>
    <w:rsid w:val="002E1C63"/>
    <w:rsid w:val="002E20FD"/>
    <w:rsid w:val="002E3915"/>
    <w:rsid w:val="002E52EA"/>
    <w:rsid w:val="002E53F1"/>
    <w:rsid w:val="002E55CE"/>
    <w:rsid w:val="002E6702"/>
    <w:rsid w:val="002E777D"/>
    <w:rsid w:val="002F00C7"/>
    <w:rsid w:val="002F00E4"/>
    <w:rsid w:val="002F07A2"/>
    <w:rsid w:val="002F1F88"/>
    <w:rsid w:val="002F2717"/>
    <w:rsid w:val="002F33FB"/>
    <w:rsid w:val="002F4C4C"/>
    <w:rsid w:val="002F5404"/>
    <w:rsid w:val="002F60DA"/>
    <w:rsid w:val="00301D99"/>
    <w:rsid w:val="00301E2E"/>
    <w:rsid w:val="00302211"/>
    <w:rsid w:val="00304638"/>
    <w:rsid w:val="00305E7D"/>
    <w:rsid w:val="00306EB4"/>
    <w:rsid w:val="0030713F"/>
    <w:rsid w:val="00307537"/>
    <w:rsid w:val="0031010B"/>
    <w:rsid w:val="003104F4"/>
    <w:rsid w:val="00310901"/>
    <w:rsid w:val="00312997"/>
    <w:rsid w:val="0031352B"/>
    <w:rsid w:val="00313A18"/>
    <w:rsid w:val="00313CD2"/>
    <w:rsid w:val="00313EC4"/>
    <w:rsid w:val="00314BA7"/>
    <w:rsid w:val="00316384"/>
    <w:rsid w:val="00316748"/>
    <w:rsid w:val="003170FF"/>
    <w:rsid w:val="0031725A"/>
    <w:rsid w:val="00317974"/>
    <w:rsid w:val="00317B1D"/>
    <w:rsid w:val="003200D3"/>
    <w:rsid w:val="00323731"/>
    <w:rsid w:val="00323782"/>
    <w:rsid w:val="00323B43"/>
    <w:rsid w:val="00324006"/>
    <w:rsid w:val="003266E0"/>
    <w:rsid w:val="00326D26"/>
    <w:rsid w:val="00327B70"/>
    <w:rsid w:val="00332A5A"/>
    <w:rsid w:val="003339DB"/>
    <w:rsid w:val="00334715"/>
    <w:rsid w:val="00334ED2"/>
    <w:rsid w:val="00335298"/>
    <w:rsid w:val="003352F1"/>
    <w:rsid w:val="003353BF"/>
    <w:rsid w:val="0034010C"/>
    <w:rsid w:val="00342210"/>
    <w:rsid w:val="0034253A"/>
    <w:rsid w:val="00342913"/>
    <w:rsid w:val="00342D37"/>
    <w:rsid w:val="00343E4A"/>
    <w:rsid w:val="00344C5F"/>
    <w:rsid w:val="00344D06"/>
    <w:rsid w:val="00345BCF"/>
    <w:rsid w:val="00346FA8"/>
    <w:rsid w:val="00352FFA"/>
    <w:rsid w:val="0035343E"/>
    <w:rsid w:val="00354F64"/>
    <w:rsid w:val="003554C6"/>
    <w:rsid w:val="0035781F"/>
    <w:rsid w:val="00360B38"/>
    <w:rsid w:val="003619FE"/>
    <w:rsid w:val="00362B16"/>
    <w:rsid w:val="00362B36"/>
    <w:rsid w:val="003645A6"/>
    <w:rsid w:val="0036477B"/>
    <w:rsid w:val="00364D9C"/>
    <w:rsid w:val="003654CB"/>
    <w:rsid w:val="0036558E"/>
    <w:rsid w:val="003664E3"/>
    <w:rsid w:val="00366C61"/>
    <w:rsid w:val="00370692"/>
    <w:rsid w:val="003706EC"/>
    <w:rsid w:val="00371A37"/>
    <w:rsid w:val="00372E4B"/>
    <w:rsid w:val="00373721"/>
    <w:rsid w:val="00373EB5"/>
    <w:rsid w:val="00374055"/>
    <w:rsid w:val="003743F3"/>
    <w:rsid w:val="00377CE3"/>
    <w:rsid w:val="003813C7"/>
    <w:rsid w:val="003826AF"/>
    <w:rsid w:val="00382CDB"/>
    <w:rsid w:val="0038380B"/>
    <w:rsid w:val="00383905"/>
    <w:rsid w:val="003841AA"/>
    <w:rsid w:val="0038445B"/>
    <w:rsid w:val="0038630A"/>
    <w:rsid w:val="003867B3"/>
    <w:rsid w:val="00391417"/>
    <w:rsid w:val="00392AA8"/>
    <w:rsid w:val="00393EFE"/>
    <w:rsid w:val="00394086"/>
    <w:rsid w:val="00397226"/>
    <w:rsid w:val="003A0B12"/>
    <w:rsid w:val="003A1831"/>
    <w:rsid w:val="003A2F4C"/>
    <w:rsid w:val="003A55D5"/>
    <w:rsid w:val="003A5839"/>
    <w:rsid w:val="003A589A"/>
    <w:rsid w:val="003A5928"/>
    <w:rsid w:val="003A5D87"/>
    <w:rsid w:val="003A62BE"/>
    <w:rsid w:val="003A6856"/>
    <w:rsid w:val="003A6A88"/>
    <w:rsid w:val="003B07BC"/>
    <w:rsid w:val="003B0F45"/>
    <w:rsid w:val="003B184A"/>
    <w:rsid w:val="003B1BED"/>
    <w:rsid w:val="003B2301"/>
    <w:rsid w:val="003B2F06"/>
    <w:rsid w:val="003B3C6B"/>
    <w:rsid w:val="003B3C8D"/>
    <w:rsid w:val="003B3FEB"/>
    <w:rsid w:val="003B4703"/>
    <w:rsid w:val="003B4BF9"/>
    <w:rsid w:val="003B5065"/>
    <w:rsid w:val="003B688F"/>
    <w:rsid w:val="003B7399"/>
    <w:rsid w:val="003B7DFA"/>
    <w:rsid w:val="003B7E03"/>
    <w:rsid w:val="003C1850"/>
    <w:rsid w:val="003C36E1"/>
    <w:rsid w:val="003C3901"/>
    <w:rsid w:val="003C3D5F"/>
    <w:rsid w:val="003C7932"/>
    <w:rsid w:val="003D0E87"/>
    <w:rsid w:val="003D0EA0"/>
    <w:rsid w:val="003D1A2D"/>
    <w:rsid w:val="003D200C"/>
    <w:rsid w:val="003D3433"/>
    <w:rsid w:val="003D36FA"/>
    <w:rsid w:val="003D615D"/>
    <w:rsid w:val="003D6553"/>
    <w:rsid w:val="003D6C7F"/>
    <w:rsid w:val="003D7A45"/>
    <w:rsid w:val="003E0786"/>
    <w:rsid w:val="003E10E4"/>
    <w:rsid w:val="003E1B9C"/>
    <w:rsid w:val="003E293D"/>
    <w:rsid w:val="003E5686"/>
    <w:rsid w:val="003E570F"/>
    <w:rsid w:val="003E67E4"/>
    <w:rsid w:val="003E6C20"/>
    <w:rsid w:val="003E6E3E"/>
    <w:rsid w:val="003E752A"/>
    <w:rsid w:val="003F2279"/>
    <w:rsid w:val="003F3E0F"/>
    <w:rsid w:val="003F4349"/>
    <w:rsid w:val="003F5E8A"/>
    <w:rsid w:val="003F657D"/>
    <w:rsid w:val="003F6C0D"/>
    <w:rsid w:val="00403303"/>
    <w:rsid w:val="00403AE9"/>
    <w:rsid w:val="004046E6"/>
    <w:rsid w:val="00404772"/>
    <w:rsid w:val="00405650"/>
    <w:rsid w:val="0040702C"/>
    <w:rsid w:val="00407588"/>
    <w:rsid w:val="004077B4"/>
    <w:rsid w:val="00407FDE"/>
    <w:rsid w:val="0041012A"/>
    <w:rsid w:val="00410B96"/>
    <w:rsid w:val="0041197B"/>
    <w:rsid w:val="00411FFB"/>
    <w:rsid w:val="0041362D"/>
    <w:rsid w:val="00413DC4"/>
    <w:rsid w:val="0041521A"/>
    <w:rsid w:val="00415765"/>
    <w:rsid w:val="004157F2"/>
    <w:rsid w:val="00416C33"/>
    <w:rsid w:val="00417119"/>
    <w:rsid w:val="00420DB4"/>
    <w:rsid w:val="004222DC"/>
    <w:rsid w:val="00422FA1"/>
    <w:rsid w:val="0042344B"/>
    <w:rsid w:val="004235EA"/>
    <w:rsid w:val="00426D28"/>
    <w:rsid w:val="004270C3"/>
    <w:rsid w:val="00427348"/>
    <w:rsid w:val="00427505"/>
    <w:rsid w:val="0043083C"/>
    <w:rsid w:val="00432F86"/>
    <w:rsid w:val="004353BB"/>
    <w:rsid w:val="0043552B"/>
    <w:rsid w:val="00435635"/>
    <w:rsid w:val="00437991"/>
    <w:rsid w:val="00441660"/>
    <w:rsid w:val="004424BB"/>
    <w:rsid w:val="00443422"/>
    <w:rsid w:val="00443C0A"/>
    <w:rsid w:val="004446BE"/>
    <w:rsid w:val="004467F5"/>
    <w:rsid w:val="0044721B"/>
    <w:rsid w:val="00450515"/>
    <w:rsid w:val="004516AB"/>
    <w:rsid w:val="004535D1"/>
    <w:rsid w:val="00454E44"/>
    <w:rsid w:val="004567E9"/>
    <w:rsid w:val="00457A65"/>
    <w:rsid w:val="00462517"/>
    <w:rsid w:val="004627C3"/>
    <w:rsid w:val="0046334C"/>
    <w:rsid w:val="0046455B"/>
    <w:rsid w:val="00464BFA"/>
    <w:rsid w:val="004664FF"/>
    <w:rsid w:val="004665D9"/>
    <w:rsid w:val="004709CF"/>
    <w:rsid w:val="00471D65"/>
    <w:rsid w:val="00472434"/>
    <w:rsid w:val="00472465"/>
    <w:rsid w:val="004727DE"/>
    <w:rsid w:val="00472EE0"/>
    <w:rsid w:val="00474FAB"/>
    <w:rsid w:val="00475EA1"/>
    <w:rsid w:val="00475F47"/>
    <w:rsid w:val="00476F0A"/>
    <w:rsid w:val="00477C6F"/>
    <w:rsid w:val="00480844"/>
    <w:rsid w:val="00480FF3"/>
    <w:rsid w:val="004811C8"/>
    <w:rsid w:val="00481A26"/>
    <w:rsid w:val="00482F44"/>
    <w:rsid w:val="00482FAD"/>
    <w:rsid w:val="00483AE1"/>
    <w:rsid w:val="004843F7"/>
    <w:rsid w:val="004844B1"/>
    <w:rsid w:val="004846CE"/>
    <w:rsid w:val="004851C6"/>
    <w:rsid w:val="00486532"/>
    <w:rsid w:val="00487E03"/>
    <w:rsid w:val="004905A8"/>
    <w:rsid w:val="0049066C"/>
    <w:rsid w:val="00490D49"/>
    <w:rsid w:val="004911C8"/>
    <w:rsid w:val="0049133A"/>
    <w:rsid w:val="0049234C"/>
    <w:rsid w:val="00494746"/>
    <w:rsid w:val="00496AAB"/>
    <w:rsid w:val="00496DAB"/>
    <w:rsid w:val="00497CC9"/>
    <w:rsid w:val="004A31EF"/>
    <w:rsid w:val="004A3525"/>
    <w:rsid w:val="004A4B51"/>
    <w:rsid w:val="004A679C"/>
    <w:rsid w:val="004A7345"/>
    <w:rsid w:val="004A74E6"/>
    <w:rsid w:val="004A7B4D"/>
    <w:rsid w:val="004B138D"/>
    <w:rsid w:val="004B1606"/>
    <w:rsid w:val="004B1B9A"/>
    <w:rsid w:val="004B1E25"/>
    <w:rsid w:val="004B261F"/>
    <w:rsid w:val="004B2C11"/>
    <w:rsid w:val="004B4105"/>
    <w:rsid w:val="004B6239"/>
    <w:rsid w:val="004C092E"/>
    <w:rsid w:val="004C14CD"/>
    <w:rsid w:val="004C3B38"/>
    <w:rsid w:val="004C3FBC"/>
    <w:rsid w:val="004C4887"/>
    <w:rsid w:val="004D07DF"/>
    <w:rsid w:val="004D13C2"/>
    <w:rsid w:val="004D4AB4"/>
    <w:rsid w:val="004D6EDB"/>
    <w:rsid w:val="004D7128"/>
    <w:rsid w:val="004D7229"/>
    <w:rsid w:val="004E0B03"/>
    <w:rsid w:val="004E1273"/>
    <w:rsid w:val="004E1D22"/>
    <w:rsid w:val="004E203C"/>
    <w:rsid w:val="004E2059"/>
    <w:rsid w:val="004E21A5"/>
    <w:rsid w:val="004E38BC"/>
    <w:rsid w:val="004E529D"/>
    <w:rsid w:val="004E5E78"/>
    <w:rsid w:val="004E5EA7"/>
    <w:rsid w:val="004E625F"/>
    <w:rsid w:val="004F0E59"/>
    <w:rsid w:val="004F10BB"/>
    <w:rsid w:val="004F1D86"/>
    <w:rsid w:val="004F20A7"/>
    <w:rsid w:val="004F2240"/>
    <w:rsid w:val="004F2784"/>
    <w:rsid w:val="004F484D"/>
    <w:rsid w:val="004F5EF6"/>
    <w:rsid w:val="004F6125"/>
    <w:rsid w:val="004F6FC9"/>
    <w:rsid w:val="004F7663"/>
    <w:rsid w:val="004F776C"/>
    <w:rsid w:val="004F7824"/>
    <w:rsid w:val="005002C6"/>
    <w:rsid w:val="00500318"/>
    <w:rsid w:val="0050050B"/>
    <w:rsid w:val="00500EC5"/>
    <w:rsid w:val="00501AE3"/>
    <w:rsid w:val="005023C6"/>
    <w:rsid w:val="0050260B"/>
    <w:rsid w:val="005037CA"/>
    <w:rsid w:val="0050406C"/>
    <w:rsid w:val="00504E53"/>
    <w:rsid w:val="00505D7D"/>
    <w:rsid w:val="0050738A"/>
    <w:rsid w:val="00507432"/>
    <w:rsid w:val="00507523"/>
    <w:rsid w:val="005113EC"/>
    <w:rsid w:val="005118C2"/>
    <w:rsid w:val="00511902"/>
    <w:rsid w:val="0051407C"/>
    <w:rsid w:val="00514C2A"/>
    <w:rsid w:val="005171EF"/>
    <w:rsid w:val="005208A1"/>
    <w:rsid w:val="00520DA3"/>
    <w:rsid w:val="00521062"/>
    <w:rsid w:val="00521725"/>
    <w:rsid w:val="00521DCF"/>
    <w:rsid w:val="00522026"/>
    <w:rsid w:val="005250DB"/>
    <w:rsid w:val="0052571B"/>
    <w:rsid w:val="00525DD8"/>
    <w:rsid w:val="005267A7"/>
    <w:rsid w:val="005274D0"/>
    <w:rsid w:val="00531628"/>
    <w:rsid w:val="005323CA"/>
    <w:rsid w:val="005350E4"/>
    <w:rsid w:val="00535D04"/>
    <w:rsid w:val="00536452"/>
    <w:rsid w:val="005372F3"/>
    <w:rsid w:val="00537A9A"/>
    <w:rsid w:val="00540DC1"/>
    <w:rsid w:val="005412EA"/>
    <w:rsid w:val="00541DB6"/>
    <w:rsid w:val="00541DFA"/>
    <w:rsid w:val="00543427"/>
    <w:rsid w:val="00543551"/>
    <w:rsid w:val="00543F6A"/>
    <w:rsid w:val="005447CA"/>
    <w:rsid w:val="00545009"/>
    <w:rsid w:val="0054650C"/>
    <w:rsid w:val="0054778C"/>
    <w:rsid w:val="00547BA0"/>
    <w:rsid w:val="00550296"/>
    <w:rsid w:val="005507B1"/>
    <w:rsid w:val="005519A6"/>
    <w:rsid w:val="00551C59"/>
    <w:rsid w:val="005527BD"/>
    <w:rsid w:val="00553E55"/>
    <w:rsid w:val="00553FE7"/>
    <w:rsid w:val="005541E9"/>
    <w:rsid w:val="00554311"/>
    <w:rsid w:val="00554B30"/>
    <w:rsid w:val="0055632D"/>
    <w:rsid w:val="00560467"/>
    <w:rsid w:val="005605AE"/>
    <w:rsid w:val="00561DF7"/>
    <w:rsid w:val="0056363B"/>
    <w:rsid w:val="00564E09"/>
    <w:rsid w:val="00564EE2"/>
    <w:rsid w:val="00565D4F"/>
    <w:rsid w:val="00571FFF"/>
    <w:rsid w:val="005724C8"/>
    <w:rsid w:val="005727B4"/>
    <w:rsid w:val="005739E2"/>
    <w:rsid w:val="005747D0"/>
    <w:rsid w:val="00574B1B"/>
    <w:rsid w:val="00576396"/>
    <w:rsid w:val="005775AB"/>
    <w:rsid w:val="00577D10"/>
    <w:rsid w:val="005805C3"/>
    <w:rsid w:val="00580D59"/>
    <w:rsid w:val="00581CF6"/>
    <w:rsid w:val="00582C53"/>
    <w:rsid w:val="00582DCC"/>
    <w:rsid w:val="00582E50"/>
    <w:rsid w:val="00583420"/>
    <w:rsid w:val="00583ED5"/>
    <w:rsid w:val="005842D4"/>
    <w:rsid w:val="00585057"/>
    <w:rsid w:val="005856D5"/>
    <w:rsid w:val="00585BA4"/>
    <w:rsid w:val="00585CE9"/>
    <w:rsid w:val="005861B3"/>
    <w:rsid w:val="00587B1B"/>
    <w:rsid w:val="00590C52"/>
    <w:rsid w:val="005920F6"/>
    <w:rsid w:val="005927EC"/>
    <w:rsid w:val="005931CD"/>
    <w:rsid w:val="00593FF1"/>
    <w:rsid w:val="005945B2"/>
    <w:rsid w:val="005946F2"/>
    <w:rsid w:val="00594BB4"/>
    <w:rsid w:val="0059701F"/>
    <w:rsid w:val="00597036"/>
    <w:rsid w:val="005970CA"/>
    <w:rsid w:val="005974EC"/>
    <w:rsid w:val="005A060C"/>
    <w:rsid w:val="005A157E"/>
    <w:rsid w:val="005A26CB"/>
    <w:rsid w:val="005A3016"/>
    <w:rsid w:val="005A385D"/>
    <w:rsid w:val="005A3DA2"/>
    <w:rsid w:val="005A3F60"/>
    <w:rsid w:val="005A4597"/>
    <w:rsid w:val="005A4743"/>
    <w:rsid w:val="005A5897"/>
    <w:rsid w:val="005A5965"/>
    <w:rsid w:val="005A63B2"/>
    <w:rsid w:val="005A6FDC"/>
    <w:rsid w:val="005A7A46"/>
    <w:rsid w:val="005B00AD"/>
    <w:rsid w:val="005B1473"/>
    <w:rsid w:val="005B32E2"/>
    <w:rsid w:val="005B544A"/>
    <w:rsid w:val="005B78D3"/>
    <w:rsid w:val="005C177D"/>
    <w:rsid w:val="005C2F28"/>
    <w:rsid w:val="005C3AC6"/>
    <w:rsid w:val="005C3DEE"/>
    <w:rsid w:val="005C3E0E"/>
    <w:rsid w:val="005C3E7E"/>
    <w:rsid w:val="005C4FD5"/>
    <w:rsid w:val="005C519A"/>
    <w:rsid w:val="005C5D49"/>
    <w:rsid w:val="005C7517"/>
    <w:rsid w:val="005D0416"/>
    <w:rsid w:val="005D0B34"/>
    <w:rsid w:val="005D2D08"/>
    <w:rsid w:val="005D5C53"/>
    <w:rsid w:val="005D6C42"/>
    <w:rsid w:val="005E03C5"/>
    <w:rsid w:val="005E092A"/>
    <w:rsid w:val="005E21E1"/>
    <w:rsid w:val="005E283F"/>
    <w:rsid w:val="005E6483"/>
    <w:rsid w:val="005E6B75"/>
    <w:rsid w:val="005E6EA1"/>
    <w:rsid w:val="005E6F25"/>
    <w:rsid w:val="005F1840"/>
    <w:rsid w:val="005F1C94"/>
    <w:rsid w:val="005F1FEA"/>
    <w:rsid w:val="005F22E3"/>
    <w:rsid w:val="005F251C"/>
    <w:rsid w:val="005F3718"/>
    <w:rsid w:val="005F44DF"/>
    <w:rsid w:val="005F4623"/>
    <w:rsid w:val="005F4992"/>
    <w:rsid w:val="005F504D"/>
    <w:rsid w:val="005F5548"/>
    <w:rsid w:val="005F59C1"/>
    <w:rsid w:val="005F5EBD"/>
    <w:rsid w:val="005F6179"/>
    <w:rsid w:val="005F7476"/>
    <w:rsid w:val="006007CD"/>
    <w:rsid w:val="00601D57"/>
    <w:rsid w:val="006020D2"/>
    <w:rsid w:val="006025F4"/>
    <w:rsid w:val="00603AB8"/>
    <w:rsid w:val="00603DDB"/>
    <w:rsid w:val="00604828"/>
    <w:rsid w:val="00604BB6"/>
    <w:rsid w:val="006053F7"/>
    <w:rsid w:val="00605783"/>
    <w:rsid w:val="00606363"/>
    <w:rsid w:val="00606E61"/>
    <w:rsid w:val="0060753C"/>
    <w:rsid w:val="006100AA"/>
    <w:rsid w:val="006100FB"/>
    <w:rsid w:val="0061048F"/>
    <w:rsid w:val="00610D04"/>
    <w:rsid w:val="006113AB"/>
    <w:rsid w:val="00611A65"/>
    <w:rsid w:val="0061270D"/>
    <w:rsid w:val="00614262"/>
    <w:rsid w:val="006153E3"/>
    <w:rsid w:val="00617D0E"/>
    <w:rsid w:val="006217A8"/>
    <w:rsid w:val="00621C21"/>
    <w:rsid w:val="00622461"/>
    <w:rsid w:val="00622608"/>
    <w:rsid w:val="00624D3B"/>
    <w:rsid w:val="00626B6E"/>
    <w:rsid w:val="006270EA"/>
    <w:rsid w:val="00627DA7"/>
    <w:rsid w:val="00630135"/>
    <w:rsid w:val="00630848"/>
    <w:rsid w:val="00634935"/>
    <w:rsid w:val="00635515"/>
    <w:rsid w:val="00636446"/>
    <w:rsid w:val="00636864"/>
    <w:rsid w:val="00640856"/>
    <w:rsid w:val="00641FEA"/>
    <w:rsid w:val="00642334"/>
    <w:rsid w:val="00642A51"/>
    <w:rsid w:val="006430E8"/>
    <w:rsid w:val="00643AEC"/>
    <w:rsid w:val="00644660"/>
    <w:rsid w:val="00644887"/>
    <w:rsid w:val="00644DBC"/>
    <w:rsid w:val="006451C6"/>
    <w:rsid w:val="00645E15"/>
    <w:rsid w:val="00646C94"/>
    <w:rsid w:val="0064731C"/>
    <w:rsid w:val="00647816"/>
    <w:rsid w:val="006510E9"/>
    <w:rsid w:val="00653EB3"/>
    <w:rsid w:val="00655B62"/>
    <w:rsid w:val="0065644E"/>
    <w:rsid w:val="006606FC"/>
    <w:rsid w:val="00660C35"/>
    <w:rsid w:val="00661003"/>
    <w:rsid w:val="006619F9"/>
    <w:rsid w:val="00661E2A"/>
    <w:rsid w:val="0066220E"/>
    <w:rsid w:val="00664294"/>
    <w:rsid w:val="0066494F"/>
    <w:rsid w:val="00664973"/>
    <w:rsid w:val="006651B2"/>
    <w:rsid w:val="006716B4"/>
    <w:rsid w:val="006718D7"/>
    <w:rsid w:val="006726D3"/>
    <w:rsid w:val="00673BEB"/>
    <w:rsid w:val="00673DAF"/>
    <w:rsid w:val="00675A2A"/>
    <w:rsid w:val="00675F8A"/>
    <w:rsid w:val="00677498"/>
    <w:rsid w:val="00677979"/>
    <w:rsid w:val="006779AD"/>
    <w:rsid w:val="0068037D"/>
    <w:rsid w:val="00681867"/>
    <w:rsid w:val="00682985"/>
    <w:rsid w:val="00683485"/>
    <w:rsid w:val="006835E4"/>
    <w:rsid w:val="00683909"/>
    <w:rsid w:val="00683D4B"/>
    <w:rsid w:val="00684C43"/>
    <w:rsid w:val="00685860"/>
    <w:rsid w:val="00685D20"/>
    <w:rsid w:val="0068693A"/>
    <w:rsid w:val="00686C8B"/>
    <w:rsid w:val="00687F42"/>
    <w:rsid w:val="00687F9F"/>
    <w:rsid w:val="00690042"/>
    <w:rsid w:val="006914C1"/>
    <w:rsid w:val="006917F3"/>
    <w:rsid w:val="0069221C"/>
    <w:rsid w:val="006938BE"/>
    <w:rsid w:val="006941BA"/>
    <w:rsid w:val="00694336"/>
    <w:rsid w:val="00695F97"/>
    <w:rsid w:val="0069620D"/>
    <w:rsid w:val="00696680"/>
    <w:rsid w:val="006A1A01"/>
    <w:rsid w:val="006A1F26"/>
    <w:rsid w:val="006A31FB"/>
    <w:rsid w:val="006A326B"/>
    <w:rsid w:val="006A46C3"/>
    <w:rsid w:val="006A4BBF"/>
    <w:rsid w:val="006A4EA4"/>
    <w:rsid w:val="006A516E"/>
    <w:rsid w:val="006A5C9D"/>
    <w:rsid w:val="006A69C6"/>
    <w:rsid w:val="006A75D6"/>
    <w:rsid w:val="006A7844"/>
    <w:rsid w:val="006A7940"/>
    <w:rsid w:val="006B09C9"/>
    <w:rsid w:val="006B274C"/>
    <w:rsid w:val="006B3B18"/>
    <w:rsid w:val="006B4552"/>
    <w:rsid w:val="006B455B"/>
    <w:rsid w:val="006B4892"/>
    <w:rsid w:val="006B54BD"/>
    <w:rsid w:val="006B54E4"/>
    <w:rsid w:val="006B5E55"/>
    <w:rsid w:val="006B6355"/>
    <w:rsid w:val="006B6D99"/>
    <w:rsid w:val="006B7BF5"/>
    <w:rsid w:val="006C006C"/>
    <w:rsid w:val="006C0574"/>
    <w:rsid w:val="006C2B56"/>
    <w:rsid w:val="006C2BFB"/>
    <w:rsid w:val="006C30D0"/>
    <w:rsid w:val="006C32CB"/>
    <w:rsid w:val="006C3A02"/>
    <w:rsid w:val="006C47A7"/>
    <w:rsid w:val="006C5A8D"/>
    <w:rsid w:val="006C5B11"/>
    <w:rsid w:val="006C6489"/>
    <w:rsid w:val="006D2385"/>
    <w:rsid w:val="006D2566"/>
    <w:rsid w:val="006D39A9"/>
    <w:rsid w:val="006D3B0B"/>
    <w:rsid w:val="006D6E55"/>
    <w:rsid w:val="006D7139"/>
    <w:rsid w:val="006D72DB"/>
    <w:rsid w:val="006D754F"/>
    <w:rsid w:val="006E03A7"/>
    <w:rsid w:val="006E0923"/>
    <w:rsid w:val="006E0FE6"/>
    <w:rsid w:val="006E17E9"/>
    <w:rsid w:val="006E32EC"/>
    <w:rsid w:val="006E3476"/>
    <w:rsid w:val="006E3712"/>
    <w:rsid w:val="006E4666"/>
    <w:rsid w:val="006E5174"/>
    <w:rsid w:val="006E5CCC"/>
    <w:rsid w:val="006E5D3A"/>
    <w:rsid w:val="006E6DCA"/>
    <w:rsid w:val="006E6E18"/>
    <w:rsid w:val="006E6FBB"/>
    <w:rsid w:val="006F3124"/>
    <w:rsid w:val="006F3DC3"/>
    <w:rsid w:val="006F4C9D"/>
    <w:rsid w:val="006F57E7"/>
    <w:rsid w:val="006F6185"/>
    <w:rsid w:val="006F66FD"/>
    <w:rsid w:val="006F7DE2"/>
    <w:rsid w:val="00700B53"/>
    <w:rsid w:val="00701D08"/>
    <w:rsid w:val="007021F7"/>
    <w:rsid w:val="00703408"/>
    <w:rsid w:val="007039D5"/>
    <w:rsid w:val="007044F0"/>
    <w:rsid w:val="0070476B"/>
    <w:rsid w:val="00706ABC"/>
    <w:rsid w:val="0070761A"/>
    <w:rsid w:val="00707BCC"/>
    <w:rsid w:val="00707C3A"/>
    <w:rsid w:val="00707E57"/>
    <w:rsid w:val="00711939"/>
    <w:rsid w:val="0071255F"/>
    <w:rsid w:val="00712B59"/>
    <w:rsid w:val="007134AC"/>
    <w:rsid w:val="007143E3"/>
    <w:rsid w:val="0071480D"/>
    <w:rsid w:val="00714B37"/>
    <w:rsid w:val="00715B39"/>
    <w:rsid w:val="007166A3"/>
    <w:rsid w:val="00716A2E"/>
    <w:rsid w:val="00716B0D"/>
    <w:rsid w:val="00716F27"/>
    <w:rsid w:val="00717393"/>
    <w:rsid w:val="00717EB5"/>
    <w:rsid w:val="00720651"/>
    <w:rsid w:val="00721E7B"/>
    <w:rsid w:val="00722036"/>
    <w:rsid w:val="007231CA"/>
    <w:rsid w:val="0072396C"/>
    <w:rsid w:val="00725100"/>
    <w:rsid w:val="007253B3"/>
    <w:rsid w:val="00725FE5"/>
    <w:rsid w:val="007266BB"/>
    <w:rsid w:val="00726C70"/>
    <w:rsid w:val="00726DC3"/>
    <w:rsid w:val="007301A2"/>
    <w:rsid w:val="00732F7C"/>
    <w:rsid w:val="007339F6"/>
    <w:rsid w:val="00733BF0"/>
    <w:rsid w:val="007342EB"/>
    <w:rsid w:val="007359CB"/>
    <w:rsid w:val="00736101"/>
    <w:rsid w:val="0073672A"/>
    <w:rsid w:val="00737D84"/>
    <w:rsid w:val="00740031"/>
    <w:rsid w:val="00741C1D"/>
    <w:rsid w:val="00741DA8"/>
    <w:rsid w:val="00742508"/>
    <w:rsid w:val="0074388D"/>
    <w:rsid w:val="00743A3B"/>
    <w:rsid w:val="00744AC0"/>
    <w:rsid w:val="00745644"/>
    <w:rsid w:val="00745842"/>
    <w:rsid w:val="00745A6F"/>
    <w:rsid w:val="00747752"/>
    <w:rsid w:val="00750B81"/>
    <w:rsid w:val="00750DD2"/>
    <w:rsid w:val="00751C42"/>
    <w:rsid w:val="007521E6"/>
    <w:rsid w:val="007521ED"/>
    <w:rsid w:val="0075298D"/>
    <w:rsid w:val="0075404F"/>
    <w:rsid w:val="00754948"/>
    <w:rsid w:val="0075561D"/>
    <w:rsid w:val="00755859"/>
    <w:rsid w:val="0075618E"/>
    <w:rsid w:val="0075651F"/>
    <w:rsid w:val="007577E0"/>
    <w:rsid w:val="00760041"/>
    <w:rsid w:val="00760059"/>
    <w:rsid w:val="00760155"/>
    <w:rsid w:val="00760667"/>
    <w:rsid w:val="00760BC8"/>
    <w:rsid w:val="00761E3D"/>
    <w:rsid w:val="007623C7"/>
    <w:rsid w:val="00762938"/>
    <w:rsid w:val="007639AD"/>
    <w:rsid w:val="007646A7"/>
    <w:rsid w:val="00764789"/>
    <w:rsid w:val="00766686"/>
    <w:rsid w:val="00766834"/>
    <w:rsid w:val="00767E6B"/>
    <w:rsid w:val="00770A77"/>
    <w:rsid w:val="00770B55"/>
    <w:rsid w:val="00770E8E"/>
    <w:rsid w:val="00771161"/>
    <w:rsid w:val="007718F7"/>
    <w:rsid w:val="00771B08"/>
    <w:rsid w:val="00772188"/>
    <w:rsid w:val="00772A7C"/>
    <w:rsid w:val="007736D3"/>
    <w:rsid w:val="00774052"/>
    <w:rsid w:val="00775C5B"/>
    <w:rsid w:val="00782312"/>
    <w:rsid w:val="007830E8"/>
    <w:rsid w:val="007842FD"/>
    <w:rsid w:val="007860C7"/>
    <w:rsid w:val="00786F60"/>
    <w:rsid w:val="00791578"/>
    <w:rsid w:val="007922D4"/>
    <w:rsid w:val="007922E8"/>
    <w:rsid w:val="00792A2D"/>
    <w:rsid w:val="007933AB"/>
    <w:rsid w:val="00794534"/>
    <w:rsid w:val="00795650"/>
    <w:rsid w:val="00796CA8"/>
    <w:rsid w:val="00796CF9"/>
    <w:rsid w:val="0079761A"/>
    <w:rsid w:val="00797D0B"/>
    <w:rsid w:val="007A0271"/>
    <w:rsid w:val="007A02E7"/>
    <w:rsid w:val="007A1DD8"/>
    <w:rsid w:val="007A27F4"/>
    <w:rsid w:val="007A43C2"/>
    <w:rsid w:val="007A4437"/>
    <w:rsid w:val="007A57CA"/>
    <w:rsid w:val="007A5E15"/>
    <w:rsid w:val="007B1AE0"/>
    <w:rsid w:val="007B298B"/>
    <w:rsid w:val="007B2B32"/>
    <w:rsid w:val="007B2FF1"/>
    <w:rsid w:val="007B4571"/>
    <w:rsid w:val="007B45B4"/>
    <w:rsid w:val="007B4FFB"/>
    <w:rsid w:val="007B6CFE"/>
    <w:rsid w:val="007C06FF"/>
    <w:rsid w:val="007C1A48"/>
    <w:rsid w:val="007C2299"/>
    <w:rsid w:val="007C319A"/>
    <w:rsid w:val="007C588F"/>
    <w:rsid w:val="007C65EC"/>
    <w:rsid w:val="007C6647"/>
    <w:rsid w:val="007C6B3A"/>
    <w:rsid w:val="007C71EB"/>
    <w:rsid w:val="007D0AB6"/>
    <w:rsid w:val="007D1BBE"/>
    <w:rsid w:val="007D1D66"/>
    <w:rsid w:val="007D2F7E"/>
    <w:rsid w:val="007D4145"/>
    <w:rsid w:val="007D4367"/>
    <w:rsid w:val="007D5EC0"/>
    <w:rsid w:val="007D5FAC"/>
    <w:rsid w:val="007D625B"/>
    <w:rsid w:val="007D793B"/>
    <w:rsid w:val="007E255B"/>
    <w:rsid w:val="007E350D"/>
    <w:rsid w:val="007E4173"/>
    <w:rsid w:val="007E5099"/>
    <w:rsid w:val="007E5B8F"/>
    <w:rsid w:val="007E5BC3"/>
    <w:rsid w:val="007E5D1E"/>
    <w:rsid w:val="007E5DF4"/>
    <w:rsid w:val="007E63E6"/>
    <w:rsid w:val="007E655C"/>
    <w:rsid w:val="007E6649"/>
    <w:rsid w:val="007E6AAC"/>
    <w:rsid w:val="007E790C"/>
    <w:rsid w:val="007F0175"/>
    <w:rsid w:val="007F0404"/>
    <w:rsid w:val="007F04A0"/>
    <w:rsid w:val="007F0916"/>
    <w:rsid w:val="007F10D1"/>
    <w:rsid w:val="007F13AA"/>
    <w:rsid w:val="007F17FF"/>
    <w:rsid w:val="007F1CDB"/>
    <w:rsid w:val="007F1DD0"/>
    <w:rsid w:val="007F1DF7"/>
    <w:rsid w:val="007F1FE1"/>
    <w:rsid w:val="007F2674"/>
    <w:rsid w:val="007F3016"/>
    <w:rsid w:val="007F3624"/>
    <w:rsid w:val="007F3EFA"/>
    <w:rsid w:val="007F4A18"/>
    <w:rsid w:val="007F550D"/>
    <w:rsid w:val="007F5E16"/>
    <w:rsid w:val="007F78F3"/>
    <w:rsid w:val="00800005"/>
    <w:rsid w:val="008028E1"/>
    <w:rsid w:val="0080317C"/>
    <w:rsid w:val="00803793"/>
    <w:rsid w:val="008058CE"/>
    <w:rsid w:val="00806ED8"/>
    <w:rsid w:val="008076B2"/>
    <w:rsid w:val="00811129"/>
    <w:rsid w:val="00812300"/>
    <w:rsid w:val="00812CEC"/>
    <w:rsid w:val="008148C9"/>
    <w:rsid w:val="00814D33"/>
    <w:rsid w:val="00815A44"/>
    <w:rsid w:val="0081636E"/>
    <w:rsid w:val="008163B1"/>
    <w:rsid w:val="008168CD"/>
    <w:rsid w:val="00816A2A"/>
    <w:rsid w:val="00817060"/>
    <w:rsid w:val="008172B0"/>
    <w:rsid w:val="0081742E"/>
    <w:rsid w:val="00817591"/>
    <w:rsid w:val="008215A4"/>
    <w:rsid w:val="0082215A"/>
    <w:rsid w:val="00822C77"/>
    <w:rsid w:val="0082436E"/>
    <w:rsid w:val="00824E80"/>
    <w:rsid w:val="00830824"/>
    <w:rsid w:val="00830E78"/>
    <w:rsid w:val="0083172B"/>
    <w:rsid w:val="00831D92"/>
    <w:rsid w:val="00832BE6"/>
    <w:rsid w:val="00834294"/>
    <w:rsid w:val="008357AD"/>
    <w:rsid w:val="00835E25"/>
    <w:rsid w:val="008408D9"/>
    <w:rsid w:val="0084131A"/>
    <w:rsid w:val="00841972"/>
    <w:rsid w:val="0084279A"/>
    <w:rsid w:val="00843721"/>
    <w:rsid w:val="00844D4A"/>
    <w:rsid w:val="0084514D"/>
    <w:rsid w:val="00845B3E"/>
    <w:rsid w:val="00845B7C"/>
    <w:rsid w:val="00846084"/>
    <w:rsid w:val="00850133"/>
    <w:rsid w:val="0085304A"/>
    <w:rsid w:val="00854927"/>
    <w:rsid w:val="00854EE0"/>
    <w:rsid w:val="0085573A"/>
    <w:rsid w:val="00856E32"/>
    <w:rsid w:val="00860B54"/>
    <w:rsid w:val="008620AF"/>
    <w:rsid w:val="008620FF"/>
    <w:rsid w:val="00862654"/>
    <w:rsid w:val="008634E8"/>
    <w:rsid w:val="008641B6"/>
    <w:rsid w:val="00865EF8"/>
    <w:rsid w:val="008670F6"/>
    <w:rsid w:val="008709D4"/>
    <w:rsid w:val="00870FB7"/>
    <w:rsid w:val="008716B4"/>
    <w:rsid w:val="00871FAF"/>
    <w:rsid w:val="00872436"/>
    <w:rsid w:val="00874681"/>
    <w:rsid w:val="00874691"/>
    <w:rsid w:val="00875207"/>
    <w:rsid w:val="0087540B"/>
    <w:rsid w:val="00875F84"/>
    <w:rsid w:val="00876F4E"/>
    <w:rsid w:val="008800D4"/>
    <w:rsid w:val="008817CB"/>
    <w:rsid w:val="00881DC6"/>
    <w:rsid w:val="00882383"/>
    <w:rsid w:val="00883A74"/>
    <w:rsid w:val="00884B92"/>
    <w:rsid w:val="00884CEF"/>
    <w:rsid w:val="00884CF5"/>
    <w:rsid w:val="00884F1A"/>
    <w:rsid w:val="0088565B"/>
    <w:rsid w:val="0088571B"/>
    <w:rsid w:val="00886201"/>
    <w:rsid w:val="00887CE7"/>
    <w:rsid w:val="008905FF"/>
    <w:rsid w:val="0089089E"/>
    <w:rsid w:val="00891059"/>
    <w:rsid w:val="00891904"/>
    <w:rsid w:val="00891B9F"/>
    <w:rsid w:val="00892A2B"/>
    <w:rsid w:val="008932D1"/>
    <w:rsid w:val="008934CD"/>
    <w:rsid w:val="00893C00"/>
    <w:rsid w:val="00893E8C"/>
    <w:rsid w:val="00894EEA"/>
    <w:rsid w:val="00895E5C"/>
    <w:rsid w:val="00896131"/>
    <w:rsid w:val="008A13FB"/>
    <w:rsid w:val="008A2CD4"/>
    <w:rsid w:val="008A32CD"/>
    <w:rsid w:val="008A346C"/>
    <w:rsid w:val="008A40D1"/>
    <w:rsid w:val="008A41EB"/>
    <w:rsid w:val="008A4898"/>
    <w:rsid w:val="008A516E"/>
    <w:rsid w:val="008A5ED2"/>
    <w:rsid w:val="008A5EE2"/>
    <w:rsid w:val="008A7597"/>
    <w:rsid w:val="008A7D70"/>
    <w:rsid w:val="008B0EF6"/>
    <w:rsid w:val="008B1354"/>
    <w:rsid w:val="008B17A9"/>
    <w:rsid w:val="008B28F2"/>
    <w:rsid w:val="008B2AD8"/>
    <w:rsid w:val="008B4F7C"/>
    <w:rsid w:val="008C0097"/>
    <w:rsid w:val="008C0997"/>
    <w:rsid w:val="008C18A1"/>
    <w:rsid w:val="008C2886"/>
    <w:rsid w:val="008C42B3"/>
    <w:rsid w:val="008C43BD"/>
    <w:rsid w:val="008C5146"/>
    <w:rsid w:val="008C558F"/>
    <w:rsid w:val="008C5A51"/>
    <w:rsid w:val="008C6A4E"/>
    <w:rsid w:val="008C6B4C"/>
    <w:rsid w:val="008C70B1"/>
    <w:rsid w:val="008C73E0"/>
    <w:rsid w:val="008D026A"/>
    <w:rsid w:val="008D0475"/>
    <w:rsid w:val="008D1695"/>
    <w:rsid w:val="008D2017"/>
    <w:rsid w:val="008D298D"/>
    <w:rsid w:val="008D2C6D"/>
    <w:rsid w:val="008D49DC"/>
    <w:rsid w:val="008D4B52"/>
    <w:rsid w:val="008D50EB"/>
    <w:rsid w:val="008D69F7"/>
    <w:rsid w:val="008D7BDD"/>
    <w:rsid w:val="008E000E"/>
    <w:rsid w:val="008E02D9"/>
    <w:rsid w:val="008E0A68"/>
    <w:rsid w:val="008E113C"/>
    <w:rsid w:val="008E1504"/>
    <w:rsid w:val="008E1B21"/>
    <w:rsid w:val="008E2138"/>
    <w:rsid w:val="008E2E66"/>
    <w:rsid w:val="008E4F1D"/>
    <w:rsid w:val="008E5A95"/>
    <w:rsid w:val="008E6590"/>
    <w:rsid w:val="008E6CC7"/>
    <w:rsid w:val="008E7D20"/>
    <w:rsid w:val="008F09CB"/>
    <w:rsid w:val="008F09E4"/>
    <w:rsid w:val="008F0DD4"/>
    <w:rsid w:val="008F2DB9"/>
    <w:rsid w:val="008F315D"/>
    <w:rsid w:val="008F6444"/>
    <w:rsid w:val="008F64F7"/>
    <w:rsid w:val="008F7EE2"/>
    <w:rsid w:val="009007D3"/>
    <w:rsid w:val="00900B0E"/>
    <w:rsid w:val="0090164B"/>
    <w:rsid w:val="0090200B"/>
    <w:rsid w:val="00902203"/>
    <w:rsid w:val="00902949"/>
    <w:rsid w:val="00903D44"/>
    <w:rsid w:val="00903D56"/>
    <w:rsid w:val="0090479B"/>
    <w:rsid w:val="009049C2"/>
    <w:rsid w:val="009055DD"/>
    <w:rsid w:val="00906D8E"/>
    <w:rsid w:val="00907088"/>
    <w:rsid w:val="00910FF3"/>
    <w:rsid w:val="00911AB7"/>
    <w:rsid w:val="009120DB"/>
    <w:rsid w:val="00912B0B"/>
    <w:rsid w:val="009135A6"/>
    <w:rsid w:val="00913849"/>
    <w:rsid w:val="009140E0"/>
    <w:rsid w:val="00915E30"/>
    <w:rsid w:val="00916D15"/>
    <w:rsid w:val="00917AF7"/>
    <w:rsid w:val="0092003E"/>
    <w:rsid w:val="009209BA"/>
    <w:rsid w:val="009210DC"/>
    <w:rsid w:val="009211B2"/>
    <w:rsid w:val="00922F4D"/>
    <w:rsid w:val="009245C7"/>
    <w:rsid w:val="0092489A"/>
    <w:rsid w:val="00924A71"/>
    <w:rsid w:val="00925B55"/>
    <w:rsid w:val="00925C85"/>
    <w:rsid w:val="0092725A"/>
    <w:rsid w:val="00927772"/>
    <w:rsid w:val="00927C57"/>
    <w:rsid w:val="009320C7"/>
    <w:rsid w:val="009330C6"/>
    <w:rsid w:val="0093325C"/>
    <w:rsid w:val="009333AC"/>
    <w:rsid w:val="00933793"/>
    <w:rsid w:val="00933B99"/>
    <w:rsid w:val="00934189"/>
    <w:rsid w:val="00934597"/>
    <w:rsid w:val="00934BEB"/>
    <w:rsid w:val="00936137"/>
    <w:rsid w:val="009409A3"/>
    <w:rsid w:val="009410C8"/>
    <w:rsid w:val="00941101"/>
    <w:rsid w:val="00942020"/>
    <w:rsid w:val="009421AC"/>
    <w:rsid w:val="009428BC"/>
    <w:rsid w:val="00942EE8"/>
    <w:rsid w:val="00944057"/>
    <w:rsid w:val="009449A3"/>
    <w:rsid w:val="00945210"/>
    <w:rsid w:val="00945D1D"/>
    <w:rsid w:val="00946AC8"/>
    <w:rsid w:val="00947250"/>
    <w:rsid w:val="0094754D"/>
    <w:rsid w:val="009479A8"/>
    <w:rsid w:val="00947FAD"/>
    <w:rsid w:val="00950EF7"/>
    <w:rsid w:val="00954025"/>
    <w:rsid w:val="00956811"/>
    <w:rsid w:val="0096004F"/>
    <w:rsid w:val="00961AE7"/>
    <w:rsid w:val="009631EB"/>
    <w:rsid w:val="009633FE"/>
    <w:rsid w:val="0096352C"/>
    <w:rsid w:val="00963BF6"/>
    <w:rsid w:val="00963D0E"/>
    <w:rsid w:val="00967ECA"/>
    <w:rsid w:val="00970ABC"/>
    <w:rsid w:val="009716FF"/>
    <w:rsid w:val="00971C7F"/>
    <w:rsid w:val="00972163"/>
    <w:rsid w:val="00972B23"/>
    <w:rsid w:val="00973D86"/>
    <w:rsid w:val="00974BF8"/>
    <w:rsid w:val="009750BD"/>
    <w:rsid w:val="00975AD4"/>
    <w:rsid w:val="009764DF"/>
    <w:rsid w:val="00976D87"/>
    <w:rsid w:val="0097749E"/>
    <w:rsid w:val="009841F2"/>
    <w:rsid w:val="00984BD7"/>
    <w:rsid w:val="00984E83"/>
    <w:rsid w:val="00985EC3"/>
    <w:rsid w:val="00986DAB"/>
    <w:rsid w:val="00987001"/>
    <w:rsid w:val="009877DE"/>
    <w:rsid w:val="00987ED6"/>
    <w:rsid w:val="009906F2"/>
    <w:rsid w:val="00991791"/>
    <w:rsid w:val="0099245A"/>
    <w:rsid w:val="00993382"/>
    <w:rsid w:val="009937DF"/>
    <w:rsid w:val="009951DC"/>
    <w:rsid w:val="0099574E"/>
    <w:rsid w:val="00995F9A"/>
    <w:rsid w:val="0099646E"/>
    <w:rsid w:val="00997234"/>
    <w:rsid w:val="00997944"/>
    <w:rsid w:val="009A13E7"/>
    <w:rsid w:val="009A1FEA"/>
    <w:rsid w:val="009A2BE0"/>
    <w:rsid w:val="009A378D"/>
    <w:rsid w:val="009A5A81"/>
    <w:rsid w:val="009A7237"/>
    <w:rsid w:val="009A7433"/>
    <w:rsid w:val="009A7949"/>
    <w:rsid w:val="009B1FB7"/>
    <w:rsid w:val="009B2DF1"/>
    <w:rsid w:val="009B305D"/>
    <w:rsid w:val="009B33B8"/>
    <w:rsid w:val="009B43E4"/>
    <w:rsid w:val="009B441C"/>
    <w:rsid w:val="009B4D90"/>
    <w:rsid w:val="009B4F72"/>
    <w:rsid w:val="009B5192"/>
    <w:rsid w:val="009B5616"/>
    <w:rsid w:val="009B59A0"/>
    <w:rsid w:val="009B6984"/>
    <w:rsid w:val="009B7B59"/>
    <w:rsid w:val="009C0E53"/>
    <w:rsid w:val="009C1C1B"/>
    <w:rsid w:val="009C29D8"/>
    <w:rsid w:val="009C3F69"/>
    <w:rsid w:val="009C4A42"/>
    <w:rsid w:val="009C4D1A"/>
    <w:rsid w:val="009C54B4"/>
    <w:rsid w:val="009C625B"/>
    <w:rsid w:val="009C65EA"/>
    <w:rsid w:val="009C6A84"/>
    <w:rsid w:val="009C6E70"/>
    <w:rsid w:val="009C71CD"/>
    <w:rsid w:val="009C7725"/>
    <w:rsid w:val="009C7C02"/>
    <w:rsid w:val="009D0AA1"/>
    <w:rsid w:val="009D0CA1"/>
    <w:rsid w:val="009D14C1"/>
    <w:rsid w:val="009D1640"/>
    <w:rsid w:val="009D1C93"/>
    <w:rsid w:val="009D2224"/>
    <w:rsid w:val="009D24E4"/>
    <w:rsid w:val="009D3ACF"/>
    <w:rsid w:val="009D3C65"/>
    <w:rsid w:val="009D3F82"/>
    <w:rsid w:val="009D4666"/>
    <w:rsid w:val="009D5A1B"/>
    <w:rsid w:val="009D6723"/>
    <w:rsid w:val="009D7352"/>
    <w:rsid w:val="009E17DB"/>
    <w:rsid w:val="009E2B75"/>
    <w:rsid w:val="009E35FD"/>
    <w:rsid w:val="009E3778"/>
    <w:rsid w:val="009E3A3E"/>
    <w:rsid w:val="009E6028"/>
    <w:rsid w:val="009E6997"/>
    <w:rsid w:val="009E6E02"/>
    <w:rsid w:val="009F0CE8"/>
    <w:rsid w:val="009F22F0"/>
    <w:rsid w:val="009F37F8"/>
    <w:rsid w:val="009F45E9"/>
    <w:rsid w:val="009F4A16"/>
    <w:rsid w:val="009F6871"/>
    <w:rsid w:val="009F76DE"/>
    <w:rsid w:val="009F7B7A"/>
    <w:rsid w:val="00A00452"/>
    <w:rsid w:val="00A01D22"/>
    <w:rsid w:val="00A02C57"/>
    <w:rsid w:val="00A02F6A"/>
    <w:rsid w:val="00A03777"/>
    <w:rsid w:val="00A06400"/>
    <w:rsid w:val="00A06D37"/>
    <w:rsid w:val="00A1070B"/>
    <w:rsid w:val="00A10D5E"/>
    <w:rsid w:val="00A10E5E"/>
    <w:rsid w:val="00A11C18"/>
    <w:rsid w:val="00A127EE"/>
    <w:rsid w:val="00A14BB2"/>
    <w:rsid w:val="00A152A4"/>
    <w:rsid w:val="00A16349"/>
    <w:rsid w:val="00A16502"/>
    <w:rsid w:val="00A1764D"/>
    <w:rsid w:val="00A176B9"/>
    <w:rsid w:val="00A20188"/>
    <w:rsid w:val="00A20C7A"/>
    <w:rsid w:val="00A22813"/>
    <w:rsid w:val="00A22FB9"/>
    <w:rsid w:val="00A238F9"/>
    <w:rsid w:val="00A23FA7"/>
    <w:rsid w:val="00A2518B"/>
    <w:rsid w:val="00A25966"/>
    <w:rsid w:val="00A26014"/>
    <w:rsid w:val="00A264EC"/>
    <w:rsid w:val="00A26970"/>
    <w:rsid w:val="00A270BC"/>
    <w:rsid w:val="00A27A44"/>
    <w:rsid w:val="00A3036B"/>
    <w:rsid w:val="00A30659"/>
    <w:rsid w:val="00A31B50"/>
    <w:rsid w:val="00A32037"/>
    <w:rsid w:val="00A333DD"/>
    <w:rsid w:val="00A353FC"/>
    <w:rsid w:val="00A364E2"/>
    <w:rsid w:val="00A36615"/>
    <w:rsid w:val="00A371DB"/>
    <w:rsid w:val="00A37A74"/>
    <w:rsid w:val="00A37AB1"/>
    <w:rsid w:val="00A404DE"/>
    <w:rsid w:val="00A41F1C"/>
    <w:rsid w:val="00A42A37"/>
    <w:rsid w:val="00A42AC7"/>
    <w:rsid w:val="00A43044"/>
    <w:rsid w:val="00A438C2"/>
    <w:rsid w:val="00A4756A"/>
    <w:rsid w:val="00A475BD"/>
    <w:rsid w:val="00A50A76"/>
    <w:rsid w:val="00A50C4C"/>
    <w:rsid w:val="00A51593"/>
    <w:rsid w:val="00A53ADC"/>
    <w:rsid w:val="00A53BFC"/>
    <w:rsid w:val="00A5452D"/>
    <w:rsid w:val="00A54CE6"/>
    <w:rsid w:val="00A55304"/>
    <w:rsid w:val="00A55642"/>
    <w:rsid w:val="00A5677D"/>
    <w:rsid w:val="00A56ED0"/>
    <w:rsid w:val="00A570F1"/>
    <w:rsid w:val="00A574A7"/>
    <w:rsid w:val="00A57BF7"/>
    <w:rsid w:val="00A606F5"/>
    <w:rsid w:val="00A6089B"/>
    <w:rsid w:val="00A63EAC"/>
    <w:rsid w:val="00A6440E"/>
    <w:rsid w:val="00A64A1F"/>
    <w:rsid w:val="00A64B83"/>
    <w:rsid w:val="00A66C8C"/>
    <w:rsid w:val="00A67BBE"/>
    <w:rsid w:val="00A67E73"/>
    <w:rsid w:val="00A70633"/>
    <w:rsid w:val="00A71CFD"/>
    <w:rsid w:val="00A72712"/>
    <w:rsid w:val="00A7427B"/>
    <w:rsid w:val="00A74D42"/>
    <w:rsid w:val="00A751BD"/>
    <w:rsid w:val="00A7582C"/>
    <w:rsid w:val="00A76463"/>
    <w:rsid w:val="00A77336"/>
    <w:rsid w:val="00A814C0"/>
    <w:rsid w:val="00A815E1"/>
    <w:rsid w:val="00A84E07"/>
    <w:rsid w:val="00A85B10"/>
    <w:rsid w:val="00A85BEE"/>
    <w:rsid w:val="00A86227"/>
    <w:rsid w:val="00A87295"/>
    <w:rsid w:val="00A87419"/>
    <w:rsid w:val="00A9006D"/>
    <w:rsid w:val="00A90C87"/>
    <w:rsid w:val="00A90F61"/>
    <w:rsid w:val="00A911E0"/>
    <w:rsid w:val="00A913AC"/>
    <w:rsid w:val="00A91514"/>
    <w:rsid w:val="00A91BCD"/>
    <w:rsid w:val="00A922B4"/>
    <w:rsid w:val="00A92400"/>
    <w:rsid w:val="00A92432"/>
    <w:rsid w:val="00A92565"/>
    <w:rsid w:val="00A93D50"/>
    <w:rsid w:val="00A93F79"/>
    <w:rsid w:val="00A95F4F"/>
    <w:rsid w:val="00A968DC"/>
    <w:rsid w:val="00A96E60"/>
    <w:rsid w:val="00A97422"/>
    <w:rsid w:val="00AA0B50"/>
    <w:rsid w:val="00AA2008"/>
    <w:rsid w:val="00AA22B3"/>
    <w:rsid w:val="00AA288B"/>
    <w:rsid w:val="00AA39A7"/>
    <w:rsid w:val="00AA3CA1"/>
    <w:rsid w:val="00AA3D60"/>
    <w:rsid w:val="00AA4107"/>
    <w:rsid w:val="00AA494B"/>
    <w:rsid w:val="00AA7312"/>
    <w:rsid w:val="00AB0734"/>
    <w:rsid w:val="00AB1673"/>
    <w:rsid w:val="00AB1827"/>
    <w:rsid w:val="00AB5228"/>
    <w:rsid w:val="00AB5BB2"/>
    <w:rsid w:val="00AB6869"/>
    <w:rsid w:val="00AB7521"/>
    <w:rsid w:val="00AB7BEF"/>
    <w:rsid w:val="00AC27DF"/>
    <w:rsid w:val="00AC399B"/>
    <w:rsid w:val="00AC4E99"/>
    <w:rsid w:val="00AC6451"/>
    <w:rsid w:val="00AD07AD"/>
    <w:rsid w:val="00AD1371"/>
    <w:rsid w:val="00AD1547"/>
    <w:rsid w:val="00AD1DDE"/>
    <w:rsid w:val="00AD228D"/>
    <w:rsid w:val="00AD25F0"/>
    <w:rsid w:val="00AD3BC6"/>
    <w:rsid w:val="00AD3DF4"/>
    <w:rsid w:val="00AD453A"/>
    <w:rsid w:val="00AD507E"/>
    <w:rsid w:val="00AD567B"/>
    <w:rsid w:val="00AE0C81"/>
    <w:rsid w:val="00AE16D9"/>
    <w:rsid w:val="00AE1B6A"/>
    <w:rsid w:val="00AE2468"/>
    <w:rsid w:val="00AE2FC5"/>
    <w:rsid w:val="00AE3DF1"/>
    <w:rsid w:val="00AE3F1A"/>
    <w:rsid w:val="00AE42E2"/>
    <w:rsid w:val="00AE58AD"/>
    <w:rsid w:val="00AE5D62"/>
    <w:rsid w:val="00AE721D"/>
    <w:rsid w:val="00AF00D9"/>
    <w:rsid w:val="00AF1AC1"/>
    <w:rsid w:val="00AF3061"/>
    <w:rsid w:val="00AF30CA"/>
    <w:rsid w:val="00AF339C"/>
    <w:rsid w:val="00AF37DE"/>
    <w:rsid w:val="00AF3CCD"/>
    <w:rsid w:val="00AF3D6A"/>
    <w:rsid w:val="00AF7C62"/>
    <w:rsid w:val="00AF7F17"/>
    <w:rsid w:val="00B01010"/>
    <w:rsid w:val="00B010A5"/>
    <w:rsid w:val="00B015C5"/>
    <w:rsid w:val="00B01D18"/>
    <w:rsid w:val="00B01D45"/>
    <w:rsid w:val="00B02B50"/>
    <w:rsid w:val="00B03270"/>
    <w:rsid w:val="00B038BB"/>
    <w:rsid w:val="00B03E4A"/>
    <w:rsid w:val="00B05C1D"/>
    <w:rsid w:val="00B05C74"/>
    <w:rsid w:val="00B10F66"/>
    <w:rsid w:val="00B1363C"/>
    <w:rsid w:val="00B1391E"/>
    <w:rsid w:val="00B14653"/>
    <w:rsid w:val="00B168DA"/>
    <w:rsid w:val="00B16EED"/>
    <w:rsid w:val="00B16F11"/>
    <w:rsid w:val="00B20864"/>
    <w:rsid w:val="00B2088C"/>
    <w:rsid w:val="00B224B3"/>
    <w:rsid w:val="00B227C1"/>
    <w:rsid w:val="00B22E38"/>
    <w:rsid w:val="00B22EE5"/>
    <w:rsid w:val="00B239C8"/>
    <w:rsid w:val="00B246A5"/>
    <w:rsid w:val="00B24D41"/>
    <w:rsid w:val="00B24D8F"/>
    <w:rsid w:val="00B252C0"/>
    <w:rsid w:val="00B25377"/>
    <w:rsid w:val="00B25F04"/>
    <w:rsid w:val="00B26F5E"/>
    <w:rsid w:val="00B30A47"/>
    <w:rsid w:val="00B31D32"/>
    <w:rsid w:val="00B32E66"/>
    <w:rsid w:val="00B33901"/>
    <w:rsid w:val="00B34313"/>
    <w:rsid w:val="00B3548A"/>
    <w:rsid w:val="00B35562"/>
    <w:rsid w:val="00B35C48"/>
    <w:rsid w:val="00B36690"/>
    <w:rsid w:val="00B36CB0"/>
    <w:rsid w:val="00B36CCC"/>
    <w:rsid w:val="00B37B29"/>
    <w:rsid w:val="00B4000F"/>
    <w:rsid w:val="00B40140"/>
    <w:rsid w:val="00B40BE2"/>
    <w:rsid w:val="00B40DDA"/>
    <w:rsid w:val="00B4115E"/>
    <w:rsid w:val="00B42682"/>
    <w:rsid w:val="00B44FA1"/>
    <w:rsid w:val="00B45E66"/>
    <w:rsid w:val="00B46A62"/>
    <w:rsid w:val="00B47074"/>
    <w:rsid w:val="00B5044F"/>
    <w:rsid w:val="00B50652"/>
    <w:rsid w:val="00B513F2"/>
    <w:rsid w:val="00B51BB9"/>
    <w:rsid w:val="00B521EB"/>
    <w:rsid w:val="00B53575"/>
    <w:rsid w:val="00B5363C"/>
    <w:rsid w:val="00B547C6"/>
    <w:rsid w:val="00B552FC"/>
    <w:rsid w:val="00B600FE"/>
    <w:rsid w:val="00B60351"/>
    <w:rsid w:val="00B6141A"/>
    <w:rsid w:val="00B61456"/>
    <w:rsid w:val="00B614E8"/>
    <w:rsid w:val="00B61B30"/>
    <w:rsid w:val="00B64081"/>
    <w:rsid w:val="00B65B5F"/>
    <w:rsid w:val="00B66733"/>
    <w:rsid w:val="00B66B65"/>
    <w:rsid w:val="00B66FA9"/>
    <w:rsid w:val="00B67BE5"/>
    <w:rsid w:val="00B70A1A"/>
    <w:rsid w:val="00B70B61"/>
    <w:rsid w:val="00B71695"/>
    <w:rsid w:val="00B7199D"/>
    <w:rsid w:val="00B73536"/>
    <w:rsid w:val="00B7533B"/>
    <w:rsid w:val="00B76188"/>
    <w:rsid w:val="00B7647B"/>
    <w:rsid w:val="00B767BD"/>
    <w:rsid w:val="00B769DA"/>
    <w:rsid w:val="00B80865"/>
    <w:rsid w:val="00B808B4"/>
    <w:rsid w:val="00B80918"/>
    <w:rsid w:val="00B80C76"/>
    <w:rsid w:val="00B80D12"/>
    <w:rsid w:val="00B80F5C"/>
    <w:rsid w:val="00B8119D"/>
    <w:rsid w:val="00B82145"/>
    <w:rsid w:val="00B8291A"/>
    <w:rsid w:val="00B84056"/>
    <w:rsid w:val="00B841CD"/>
    <w:rsid w:val="00B86B29"/>
    <w:rsid w:val="00B907A0"/>
    <w:rsid w:val="00B914E9"/>
    <w:rsid w:val="00B91988"/>
    <w:rsid w:val="00B91AD8"/>
    <w:rsid w:val="00B925C1"/>
    <w:rsid w:val="00B929FC"/>
    <w:rsid w:val="00B932CF"/>
    <w:rsid w:val="00B96FF2"/>
    <w:rsid w:val="00B97B1C"/>
    <w:rsid w:val="00BA08C5"/>
    <w:rsid w:val="00BA0EA2"/>
    <w:rsid w:val="00BA1E88"/>
    <w:rsid w:val="00BA2090"/>
    <w:rsid w:val="00BA33AF"/>
    <w:rsid w:val="00BA3881"/>
    <w:rsid w:val="00BA39E5"/>
    <w:rsid w:val="00BA4390"/>
    <w:rsid w:val="00BA4C15"/>
    <w:rsid w:val="00BA5B13"/>
    <w:rsid w:val="00BA5FE7"/>
    <w:rsid w:val="00BA6A9B"/>
    <w:rsid w:val="00BA6F74"/>
    <w:rsid w:val="00BA76C1"/>
    <w:rsid w:val="00BA78F1"/>
    <w:rsid w:val="00BA7BA5"/>
    <w:rsid w:val="00BA7BCD"/>
    <w:rsid w:val="00BB05B0"/>
    <w:rsid w:val="00BB10D8"/>
    <w:rsid w:val="00BB225B"/>
    <w:rsid w:val="00BB3E38"/>
    <w:rsid w:val="00BB3F46"/>
    <w:rsid w:val="00BB44A1"/>
    <w:rsid w:val="00BB4523"/>
    <w:rsid w:val="00BB55FE"/>
    <w:rsid w:val="00BB56D3"/>
    <w:rsid w:val="00BB6BF5"/>
    <w:rsid w:val="00BC0F62"/>
    <w:rsid w:val="00BC135C"/>
    <w:rsid w:val="00BC2A4D"/>
    <w:rsid w:val="00BC2ABB"/>
    <w:rsid w:val="00BC3443"/>
    <w:rsid w:val="00BC431D"/>
    <w:rsid w:val="00BC51A5"/>
    <w:rsid w:val="00BC64FA"/>
    <w:rsid w:val="00BC6D4A"/>
    <w:rsid w:val="00BC7185"/>
    <w:rsid w:val="00BC758A"/>
    <w:rsid w:val="00BD07B4"/>
    <w:rsid w:val="00BD1400"/>
    <w:rsid w:val="00BD24E2"/>
    <w:rsid w:val="00BD25E7"/>
    <w:rsid w:val="00BD294A"/>
    <w:rsid w:val="00BD2DAF"/>
    <w:rsid w:val="00BD4415"/>
    <w:rsid w:val="00BD6823"/>
    <w:rsid w:val="00BD7BB2"/>
    <w:rsid w:val="00BE1D72"/>
    <w:rsid w:val="00BE34BA"/>
    <w:rsid w:val="00BE3A65"/>
    <w:rsid w:val="00BE495E"/>
    <w:rsid w:val="00BE71AD"/>
    <w:rsid w:val="00BF046C"/>
    <w:rsid w:val="00BF09E9"/>
    <w:rsid w:val="00BF0A4C"/>
    <w:rsid w:val="00BF1EB3"/>
    <w:rsid w:val="00BF3BA9"/>
    <w:rsid w:val="00BF4D0D"/>
    <w:rsid w:val="00BF6317"/>
    <w:rsid w:val="00BF672B"/>
    <w:rsid w:val="00C01D20"/>
    <w:rsid w:val="00C053A1"/>
    <w:rsid w:val="00C06970"/>
    <w:rsid w:val="00C079B6"/>
    <w:rsid w:val="00C1045F"/>
    <w:rsid w:val="00C1167B"/>
    <w:rsid w:val="00C1239E"/>
    <w:rsid w:val="00C13C01"/>
    <w:rsid w:val="00C140D4"/>
    <w:rsid w:val="00C15B93"/>
    <w:rsid w:val="00C15E36"/>
    <w:rsid w:val="00C17F12"/>
    <w:rsid w:val="00C219EA"/>
    <w:rsid w:val="00C22444"/>
    <w:rsid w:val="00C227A1"/>
    <w:rsid w:val="00C22F17"/>
    <w:rsid w:val="00C23952"/>
    <w:rsid w:val="00C24054"/>
    <w:rsid w:val="00C24C4B"/>
    <w:rsid w:val="00C25996"/>
    <w:rsid w:val="00C307E8"/>
    <w:rsid w:val="00C314D9"/>
    <w:rsid w:val="00C31551"/>
    <w:rsid w:val="00C32E15"/>
    <w:rsid w:val="00C33170"/>
    <w:rsid w:val="00C3414E"/>
    <w:rsid w:val="00C351C2"/>
    <w:rsid w:val="00C35C05"/>
    <w:rsid w:val="00C35CA1"/>
    <w:rsid w:val="00C36172"/>
    <w:rsid w:val="00C3628A"/>
    <w:rsid w:val="00C3658E"/>
    <w:rsid w:val="00C377BD"/>
    <w:rsid w:val="00C377F8"/>
    <w:rsid w:val="00C3785A"/>
    <w:rsid w:val="00C378D6"/>
    <w:rsid w:val="00C40E58"/>
    <w:rsid w:val="00C42383"/>
    <w:rsid w:val="00C430DE"/>
    <w:rsid w:val="00C44EC0"/>
    <w:rsid w:val="00C46260"/>
    <w:rsid w:val="00C46308"/>
    <w:rsid w:val="00C465AA"/>
    <w:rsid w:val="00C46DB4"/>
    <w:rsid w:val="00C470FF"/>
    <w:rsid w:val="00C50F86"/>
    <w:rsid w:val="00C51581"/>
    <w:rsid w:val="00C51A46"/>
    <w:rsid w:val="00C53453"/>
    <w:rsid w:val="00C53D96"/>
    <w:rsid w:val="00C54EBF"/>
    <w:rsid w:val="00C55DBD"/>
    <w:rsid w:val="00C56BD0"/>
    <w:rsid w:val="00C60538"/>
    <w:rsid w:val="00C60BD1"/>
    <w:rsid w:val="00C623DF"/>
    <w:rsid w:val="00C63895"/>
    <w:rsid w:val="00C63D72"/>
    <w:rsid w:val="00C6425C"/>
    <w:rsid w:val="00C64911"/>
    <w:rsid w:val="00C64B85"/>
    <w:rsid w:val="00C65A46"/>
    <w:rsid w:val="00C66A11"/>
    <w:rsid w:val="00C67EFC"/>
    <w:rsid w:val="00C71D1C"/>
    <w:rsid w:val="00C71F47"/>
    <w:rsid w:val="00C75A89"/>
    <w:rsid w:val="00C77FC7"/>
    <w:rsid w:val="00C80A2E"/>
    <w:rsid w:val="00C8112E"/>
    <w:rsid w:val="00C8166C"/>
    <w:rsid w:val="00C82176"/>
    <w:rsid w:val="00C82324"/>
    <w:rsid w:val="00C82D55"/>
    <w:rsid w:val="00C83E6E"/>
    <w:rsid w:val="00C84AAC"/>
    <w:rsid w:val="00C84ACB"/>
    <w:rsid w:val="00C8592D"/>
    <w:rsid w:val="00C85B8A"/>
    <w:rsid w:val="00C85CB9"/>
    <w:rsid w:val="00C87CC9"/>
    <w:rsid w:val="00C9016A"/>
    <w:rsid w:val="00C904FD"/>
    <w:rsid w:val="00C9054A"/>
    <w:rsid w:val="00C9132F"/>
    <w:rsid w:val="00C91432"/>
    <w:rsid w:val="00C91B60"/>
    <w:rsid w:val="00C91C25"/>
    <w:rsid w:val="00C91E83"/>
    <w:rsid w:val="00C91FF7"/>
    <w:rsid w:val="00C9243D"/>
    <w:rsid w:val="00C93492"/>
    <w:rsid w:val="00C938C0"/>
    <w:rsid w:val="00C93D2B"/>
    <w:rsid w:val="00C946EB"/>
    <w:rsid w:val="00C955F3"/>
    <w:rsid w:val="00C95BD4"/>
    <w:rsid w:val="00C96198"/>
    <w:rsid w:val="00CA06E8"/>
    <w:rsid w:val="00CA08D0"/>
    <w:rsid w:val="00CA0B0F"/>
    <w:rsid w:val="00CA1074"/>
    <w:rsid w:val="00CA1351"/>
    <w:rsid w:val="00CA33E5"/>
    <w:rsid w:val="00CA3D63"/>
    <w:rsid w:val="00CA440D"/>
    <w:rsid w:val="00CA5637"/>
    <w:rsid w:val="00CA648F"/>
    <w:rsid w:val="00CA7EB3"/>
    <w:rsid w:val="00CB1874"/>
    <w:rsid w:val="00CB1D4E"/>
    <w:rsid w:val="00CB2290"/>
    <w:rsid w:val="00CB4DE2"/>
    <w:rsid w:val="00CB59EA"/>
    <w:rsid w:val="00CB5FC2"/>
    <w:rsid w:val="00CB694C"/>
    <w:rsid w:val="00CB695A"/>
    <w:rsid w:val="00CB6FF8"/>
    <w:rsid w:val="00CC03A6"/>
    <w:rsid w:val="00CC140D"/>
    <w:rsid w:val="00CC2F47"/>
    <w:rsid w:val="00CC3788"/>
    <w:rsid w:val="00CC3A1D"/>
    <w:rsid w:val="00CC3BF6"/>
    <w:rsid w:val="00CC43E9"/>
    <w:rsid w:val="00CC4DF0"/>
    <w:rsid w:val="00CC52C4"/>
    <w:rsid w:val="00CC53E3"/>
    <w:rsid w:val="00CC5AEC"/>
    <w:rsid w:val="00CC6007"/>
    <w:rsid w:val="00CC7975"/>
    <w:rsid w:val="00CC7CCE"/>
    <w:rsid w:val="00CD0E29"/>
    <w:rsid w:val="00CD45A9"/>
    <w:rsid w:val="00CD48B3"/>
    <w:rsid w:val="00CD6492"/>
    <w:rsid w:val="00CD7E7E"/>
    <w:rsid w:val="00CE0EC6"/>
    <w:rsid w:val="00CE1C63"/>
    <w:rsid w:val="00CE1F65"/>
    <w:rsid w:val="00CE23DA"/>
    <w:rsid w:val="00CE29B9"/>
    <w:rsid w:val="00CE37F8"/>
    <w:rsid w:val="00CE3E4E"/>
    <w:rsid w:val="00CE4396"/>
    <w:rsid w:val="00CE49DF"/>
    <w:rsid w:val="00CE53AE"/>
    <w:rsid w:val="00CE738E"/>
    <w:rsid w:val="00CE792A"/>
    <w:rsid w:val="00CF0111"/>
    <w:rsid w:val="00CF0AD4"/>
    <w:rsid w:val="00CF1591"/>
    <w:rsid w:val="00CF1F8F"/>
    <w:rsid w:val="00CF28EA"/>
    <w:rsid w:val="00CF3E04"/>
    <w:rsid w:val="00CF464A"/>
    <w:rsid w:val="00CF5788"/>
    <w:rsid w:val="00CF5EEA"/>
    <w:rsid w:val="00CF77D6"/>
    <w:rsid w:val="00D02774"/>
    <w:rsid w:val="00D03866"/>
    <w:rsid w:val="00D03A16"/>
    <w:rsid w:val="00D06801"/>
    <w:rsid w:val="00D06B03"/>
    <w:rsid w:val="00D126D7"/>
    <w:rsid w:val="00D13A85"/>
    <w:rsid w:val="00D13C13"/>
    <w:rsid w:val="00D1425A"/>
    <w:rsid w:val="00D14AC7"/>
    <w:rsid w:val="00D15977"/>
    <w:rsid w:val="00D210DD"/>
    <w:rsid w:val="00D22EC6"/>
    <w:rsid w:val="00D23334"/>
    <w:rsid w:val="00D323D5"/>
    <w:rsid w:val="00D32F70"/>
    <w:rsid w:val="00D3415A"/>
    <w:rsid w:val="00D341A9"/>
    <w:rsid w:val="00D347A1"/>
    <w:rsid w:val="00D367B5"/>
    <w:rsid w:val="00D36B42"/>
    <w:rsid w:val="00D37C6D"/>
    <w:rsid w:val="00D4139D"/>
    <w:rsid w:val="00D41FDC"/>
    <w:rsid w:val="00D424A0"/>
    <w:rsid w:val="00D45146"/>
    <w:rsid w:val="00D458F1"/>
    <w:rsid w:val="00D45DDF"/>
    <w:rsid w:val="00D464A3"/>
    <w:rsid w:val="00D47B7E"/>
    <w:rsid w:val="00D5040E"/>
    <w:rsid w:val="00D50F5A"/>
    <w:rsid w:val="00D51402"/>
    <w:rsid w:val="00D5157F"/>
    <w:rsid w:val="00D522B4"/>
    <w:rsid w:val="00D52BBA"/>
    <w:rsid w:val="00D54212"/>
    <w:rsid w:val="00D543C3"/>
    <w:rsid w:val="00D55837"/>
    <w:rsid w:val="00D563C6"/>
    <w:rsid w:val="00D56D19"/>
    <w:rsid w:val="00D57611"/>
    <w:rsid w:val="00D61944"/>
    <w:rsid w:val="00D63D74"/>
    <w:rsid w:val="00D64CD1"/>
    <w:rsid w:val="00D64F5F"/>
    <w:rsid w:val="00D65EA2"/>
    <w:rsid w:val="00D65F8D"/>
    <w:rsid w:val="00D6605E"/>
    <w:rsid w:val="00D667C1"/>
    <w:rsid w:val="00D66E94"/>
    <w:rsid w:val="00D670F4"/>
    <w:rsid w:val="00D678C8"/>
    <w:rsid w:val="00D6796D"/>
    <w:rsid w:val="00D7007C"/>
    <w:rsid w:val="00D71B3D"/>
    <w:rsid w:val="00D71EDF"/>
    <w:rsid w:val="00D720E8"/>
    <w:rsid w:val="00D72315"/>
    <w:rsid w:val="00D73037"/>
    <w:rsid w:val="00D73540"/>
    <w:rsid w:val="00D7388B"/>
    <w:rsid w:val="00D73C8C"/>
    <w:rsid w:val="00D73CEA"/>
    <w:rsid w:val="00D73D3F"/>
    <w:rsid w:val="00D745B1"/>
    <w:rsid w:val="00D75FAC"/>
    <w:rsid w:val="00D76A9C"/>
    <w:rsid w:val="00D76C78"/>
    <w:rsid w:val="00D7766C"/>
    <w:rsid w:val="00D777FF"/>
    <w:rsid w:val="00D802AD"/>
    <w:rsid w:val="00D80C59"/>
    <w:rsid w:val="00D80F53"/>
    <w:rsid w:val="00D81191"/>
    <w:rsid w:val="00D846D0"/>
    <w:rsid w:val="00D86041"/>
    <w:rsid w:val="00D90EDD"/>
    <w:rsid w:val="00D91469"/>
    <w:rsid w:val="00D94E81"/>
    <w:rsid w:val="00D952B7"/>
    <w:rsid w:val="00D95554"/>
    <w:rsid w:val="00D976F1"/>
    <w:rsid w:val="00DA0E17"/>
    <w:rsid w:val="00DA1BED"/>
    <w:rsid w:val="00DA2CFC"/>
    <w:rsid w:val="00DA3428"/>
    <w:rsid w:val="00DA3A5C"/>
    <w:rsid w:val="00DA414A"/>
    <w:rsid w:val="00DA4C04"/>
    <w:rsid w:val="00DA4E9C"/>
    <w:rsid w:val="00DA7254"/>
    <w:rsid w:val="00DA7F47"/>
    <w:rsid w:val="00DB196D"/>
    <w:rsid w:val="00DB1C81"/>
    <w:rsid w:val="00DB214B"/>
    <w:rsid w:val="00DB294A"/>
    <w:rsid w:val="00DB5515"/>
    <w:rsid w:val="00DB6B20"/>
    <w:rsid w:val="00DB7A6F"/>
    <w:rsid w:val="00DC096F"/>
    <w:rsid w:val="00DC0D37"/>
    <w:rsid w:val="00DC0E9E"/>
    <w:rsid w:val="00DC151A"/>
    <w:rsid w:val="00DC180D"/>
    <w:rsid w:val="00DC2511"/>
    <w:rsid w:val="00DC3425"/>
    <w:rsid w:val="00DC53E6"/>
    <w:rsid w:val="00DC5717"/>
    <w:rsid w:val="00DC5738"/>
    <w:rsid w:val="00DC61A0"/>
    <w:rsid w:val="00DC633A"/>
    <w:rsid w:val="00DC77F2"/>
    <w:rsid w:val="00DD004F"/>
    <w:rsid w:val="00DD0440"/>
    <w:rsid w:val="00DD051B"/>
    <w:rsid w:val="00DD0767"/>
    <w:rsid w:val="00DD27D1"/>
    <w:rsid w:val="00DD2832"/>
    <w:rsid w:val="00DD4292"/>
    <w:rsid w:val="00DD7EAB"/>
    <w:rsid w:val="00DE1F7C"/>
    <w:rsid w:val="00DE2434"/>
    <w:rsid w:val="00DE2696"/>
    <w:rsid w:val="00DE2DB1"/>
    <w:rsid w:val="00DE3554"/>
    <w:rsid w:val="00DE3DF7"/>
    <w:rsid w:val="00DE68E4"/>
    <w:rsid w:val="00DE719D"/>
    <w:rsid w:val="00DE7334"/>
    <w:rsid w:val="00DF0090"/>
    <w:rsid w:val="00DF070D"/>
    <w:rsid w:val="00DF15AC"/>
    <w:rsid w:val="00DF189E"/>
    <w:rsid w:val="00DF2492"/>
    <w:rsid w:val="00DF4047"/>
    <w:rsid w:val="00DF4182"/>
    <w:rsid w:val="00DF5EE4"/>
    <w:rsid w:val="00DF65D8"/>
    <w:rsid w:val="00DF66A1"/>
    <w:rsid w:val="00DF681D"/>
    <w:rsid w:val="00DF6836"/>
    <w:rsid w:val="00DF68EB"/>
    <w:rsid w:val="00DF6DB8"/>
    <w:rsid w:val="00E0105C"/>
    <w:rsid w:val="00E026E2"/>
    <w:rsid w:val="00E02803"/>
    <w:rsid w:val="00E045A9"/>
    <w:rsid w:val="00E045D5"/>
    <w:rsid w:val="00E04B09"/>
    <w:rsid w:val="00E04D5B"/>
    <w:rsid w:val="00E06AC9"/>
    <w:rsid w:val="00E06E3D"/>
    <w:rsid w:val="00E10009"/>
    <w:rsid w:val="00E10D89"/>
    <w:rsid w:val="00E13A0B"/>
    <w:rsid w:val="00E15332"/>
    <w:rsid w:val="00E1538B"/>
    <w:rsid w:val="00E1647C"/>
    <w:rsid w:val="00E202BB"/>
    <w:rsid w:val="00E21D0C"/>
    <w:rsid w:val="00E22130"/>
    <w:rsid w:val="00E2420F"/>
    <w:rsid w:val="00E24404"/>
    <w:rsid w:val="00E24B40"/>
    <w:rsid w:val="00E24EED"/>
    <w:rsid w:val="00E2578D"/>
    <w:rsid w:val="00E3015B"/>
    <w:rsid w:val="00E30E77"/>
    <w:rsid w:val="00E31D00"/>
    <w:rsid w:val="00E32B9E"/>
    <w:rsid w:val="00E33DFD"/>
    <w:rsid w:val="00E33FFB"/>
    <w:rsid w:val="00E342E8"/>
    <w:rsid w:val="00E34B41"/>
    <w:rsid w:val="00E35D52"/>
    <w:rsid w:val="00E3748B"/>
    <w:rsid w:val="00E3770C"/>
    <w:rsid w:val="00E37FE8"/>
    <w:rsid w:val="00E40563"/>
    <w:rsid w:val="00E434E8"/>
    <w:rsid w:val="00E455A7"/>
    <w:rsid w:val="00E46A90"/>
    <w:rsid w:val="00E47D9C"/>
    <w:rsid w:val="00E5260E"/>
    <w:rsid w:val="00E52B8E"/>
    <w:rsid w:val="00E539AF"/>
    <w:rsid w:val="00E53F40"/>
    <w:rsid w:val="00E54648"/>
    <w:rsid w:val="00E54BF1"/>
    <w:rsid w:val="00E5563D"/>
    <w:rsid w:val="00E56CF2"/>
    <w:rsid w:val="00E57E96"/>
    <w:rsid w:val="00E63087"/>
    <w:rsid w:val="00E652F0"/>
    <w:rsid w:val="00E659E9"/>
    <w:rsid w:val="00E66760"/>
    <w:rsid w:val="00E66D6B"/>
    <w:rsid w:val="00E670C4"/>
    <w:rsid w:val="00E6734A"/>
    <w:rsid w:val="00E674FD"/>
    <w:rsid w:val="00E67C5B"/>
    <w:rsid w:val="00E701BD"/>
    <w:rsid w:val="00E7047F"/>
    <w:rsid w:val="00E70A24"/>
    <w:rsid w:val="00E7172A"/>
    <w:rsid w:val="00E722E0"/>
    <w:rsid w:val="00E7484E"/>
    <w:rsid w:val="00E7523D"/>
    <w:rsid w:val="00E76F4D"/>
    <w:rsid w:val="00E77475"/>
    <w:rsid w:val="00E775BF"/>
    <w:rsid w:val="00E802E1"/>
    <w:rsid w:val="00E822E9"/>
    <w:rsid w:val="00E824BD"/>
    <w:rsid w:val="00E82803"/>
    <w:rsid w:val="00E829EF"/>
    <w:rsid w:val="00E8462E"/>
    <w:rsid w:val="00E85865"/>
    <w:rsid w:val="00E85A5F"/>
    <w:rsid w:val="00E85DF3"/>
    <w:rsid w:val="00E86955"/>
    <w:rsid w:val="00E86E7F"/>
    <w:rsid w:val="00E870C4"/>
    <w:rsid w:val="00E8739F"/>
    <w:rsid w:val="00E906D9"/>
    <w:rsid w:val="00E90E51"/>
    <w:rsid w:val="00E910F4"/>
    <w:rsid w:val="00E9135B"/>
    <w:rsid w:val="00E91B02"/>
    <w:rsid w:val="00E92394"/>
    <w:rsid w:val="00E92E79"/>
    <w:rsid w:val="00E94696"/>
    <w:rsid w:val="00E94775"/>
    <w:rsid w:val="00E96597"/>
    <w:rsid w:val="00EA0169"/>
    <w:rsid w:val="00EA0B9F"/>
    <w:rsid w:val="00EA0D1C"/>
    <w:rsid w:val="00EA0EC3"/>
    <w:rsid w:val="00EA1899"/>
    <w:rsid w:val="00EA277E"/>
    <w:rsid w:val="00EA367F"/>
    <w:rsid w:val="00EA3F48"/>
    <w:rsid w:val="00EA47FA"/>
    <w:rsid w:val="00EA4B5C"/>
    <w:rsid w:val="00EA5022"/>
    <w:rsid w:val="00EA56D6"/>
    <w:rsid w:val="00EA62C9"/>
    <w:rsid w:val="00EB0B9A"/>
    <w:rsid w:val="00EB0F32"/>
    <w:rsid w:val="00EB12ED"/>
    <w:rsid w:val="00EB3E3B"/>
    <w:rsid w:val="00EB4E39"/>
    <w:rsid w:val="00EB5AC6"/>
    <w:rsid w:val="00EB5B60"/>
    <w:rsid w:val="00EB6266"/>
    <w:rsid w:val="00EB6CE5"/>
    <w:rsid w:val="00EB7C61"/>
    <w:rsid w:val="00EB7EF4"/>
    <w:rsid w:val="00EC046C"/>
    <w:rsid w:val="00EC17E1"/>
    <w:rsid w:val="00EC3EF1"/>
    <w:rsid w:val="00EC4DE2"/>
    <w:rsid w:val="00EC61B2"/>
    <w:rsid w:val="00EC7090"/>
    <w:rsid w:val="00EC7247"/>
    <w:rsid w:val="00EC7378"/>
    <w:rsid w:val="00EC74C5"/>
    <w:rsid w:val="00EC7C9D"/>
    <w:rsid w:val="00ED002C"/>
    <w:rsid w:val="00ED14FA"/>
    <w:rsid w:val="00ED1F69"/>
    <w:rsid w:val="00ED279B"/>
    <w:rsid w:val="00ED2ED7"/>
    <w:rsid w:val="00ED38EF"/>
    <w:rsid w:val="00ED431E"/>
    <w:rsid w:val="00ED5FEF"/>
    <w:rsid w:val="00ED6976"/>
    <w:rsid w:val="00ED6E8D"/>
    <w:rsid w:val="00EE1493"/>
    <w:rsid w:val="00EE1653"/>
    <w:rsid w:val="00EE1F02"/>
    <w:rsid w:val="00EE33B1"/>
    <w:rsid w:val="00EE3A3D"/>
    <w:rsid w:val="00EE3BD1"/>
    <w:rsid w:val="00EE43D2"/>
    <w:rsid w:val="00EE4598"/>
    <w:rsid w:val="00EE5114"/>
    <w:rsid w:val="00EE53FB"/>
    <w:rsid w:val="00EE57A0"/>
    <w:rsid w:val="00EE738B"/>
    <w:rsid w:val="00EE7749"/>
    <w:rsid w:val="00EF1200"/>
    <w:rsid w:val="00EF36FC"/>
    <w:rsid w:val="00EF4BAA"/>
    <w:rsid w:val="00EF6E1D"/>
    <w:rsid w:val="00EF6E8C"/>
    <w:rsid w:val="00F0170D"/>
    <w:rsid w:val="00F024D1"/>
    <w:rsid w:val="00F04083"/>
    <w:rsid w:val="00F044BC"/>
    <w:rsid w:val="00F062B6"/>
    <w:rsid w:val="00F066A0"/>
    <w:rsid w:val="00F06CE1"/>
    <w:rsid w:val="00F0748B"/>
    <w:rsid w:val="00F0777A"/>
    <w:rsid w:val="00F07E17"/>
    <w:rsid w:val="00F114A8"/>
    <w:rsid w:val="00F114AE"/>
    <w:rsid w:val="00F116E5"/>
    <w:rsid w:val="00F11A5D"/>
    <w:rsid w:val="00F13F9A"/>
    <w:rsid w:val="00F14C1C"/>
    <w:rsid w:val="00F16B84"/>
    <w:rsid w:val="00F20AA8"/>
    <w:rsid w:val="00F20B35"/>
    <w:rsid w:val="00F2130D"/>
    <w:rsid w:val="00F22070"/>
    <w:rsid w:val="00F226AF"/>
    <w:rsid w:val="00F23143"/>
    <w:rsid w:val="00F234F5"/>
    <w:rsid w:val="00F243F5"/>
    <w:rsid w:val="00F243F8"/>
    <w:rsid w:val="00F25A18"/>
    <w:rsid w:val="00F25C93"/>
    <w:rsid w:val="00F26088"/>
    <w:rsid w:val="00F26247"/>
    <w:rsid w:val="00F26AAA"/>
    <w:rsid w:val="00F30141"/>
    <w:rsid w:val="00F3052E"/>
    <w:rsid w:val="00F3143F"/>
    <w:rsid w:val="00F31D72"/>
    <w:rsid w:val="00F34BC4"/>
    <w:rsid w:val="00F34C7F"/>
    <w:rsid w:val="00F36AF4"/>
    <w:rsid w:val="00F37387"/>
    <w:rsid w:val="00F37476"/>
    <w:rsid w:val="00F41223"/>
    <w:rsid w:val="00F426DC"/>
    <w:rsid w:val="00F43DA6"/>
    <w:rsid w:val="00F44D7A"/>
    <w:rsid w:val="00F44E45"/>
    <w:rsid w:val="00F451A8"/>
    <w:rsid w:val="00F453AC"/>
    <w:rsid w:val="00F46101"/>
    <w:rsid w:val="00F465A4"/>
    <w:rsid w:val="00F4671A"/>
    <w:rsid w:val="00F5099A"/>
    <w:rsid w:val="00F51505"/>
    <w:rsid w:val="00F52B2D"/>
    <w:rsid w:val="00F52C99"/>
    <w:rsid w:val="00F53166"/>
    <w:rsid w:val="00F54AF5"/>
    <w:rsid w:val="00F56A5E"/>
    <w:rsid w:val="00F56CC1"/>
    <w:rsid w:val="00F56D45"/>
    <w:rsid w:val="00F57AEB"/>
    <w:rsid w:val="00F62051"/>
    <w:rsid w:val="00F624AD"/>
    <w:rsid w:val="00F62FEA"/>
    <w:rsid w:val="00F63315"/>
    <w:rsid w:val="00F63700"/>
    <w:rsid w:val="00F64DF6"/>
    <w:rsid w:val="00F6531F"/>
    <w:rsid w:val="00F66454"/>
    <w:rsid w:val="00F67959"/>
    <w:rsid w:val="00F67D8C"/>
    <w:rsid w:val="00F7001B"/>
    <w:rsid w:val="00F70A18"/>
    <w:rsid w:val="00F71CF4"/>
    <w:rsid w:val="00F7265E"/>
    <w:rsid w:val="00F72DD2"/>
    <w:rsid w:val="00F737A5"/>
    <w:rsid w:val="00F7398F"/>
    <w:rsid w:val="00F73B3A"/>
    <w:rsid w:val="00F757F2"/>
    <w:rsid w:val="00F765B2"/>
    <w:rsid w:val="00F81D30"/>
    <w:rsid w:val="00F8233A"/>
    <w:rsid w:val="00F83071"/>
    <w:rsid w:val="00F831D6"/>
    <w:rsid w:val="00F83732"/>
    <w:rsid w:val="00F869C3"/>
    <w:rsid w:val="00F877C6"/>
    <w:rsid w:val="00F87F89"/>
    <w:rsid w:val="00F9001F"/>
    <w:rsid w:val="00F90CB4"/>
    <w:rsid w:val="00F93D61"/>
    <w:rsid w:val="00F94202"/>
    <w:rsid w:val="00F94DED"/>
    <w:rsid w:val="00F96C6D"/>
    <w:rsid w:val="00F96C9D"/>
    <w:rsid w:val="00FA04B7"/>
    <w:rsid w:val="00FA17D3"/>
    <w:rsid w:val="00FA1F71"/>
    <w:rsid w:val="00FA1F9C"/>
    <w:rsid w:val="00FA2933"/>
    <w:rsid w:val="00FA50B1"/>
    <w:rsid w:val="00FA5E4C"/>
    <w:rsid w:val="00FA6F35"/>
    <w:rsid w:val="00FA7414"/>
    <w:rsid w:val="00FB01DF"/>
    <w:rsid w:val="00FB0765"/>
    <w:rsid w:val="00FB0B4C"/>
    <w:rsid w:val="00FB1D36"/>
    <w:rsid w:val="00FB24A4"/>
    <w:rsid w:val="00FB27B6"/>
    <w:rsid w:val="00FB2D49"/>
    <w:rsid w:val="00FB2F7C"/>
    <w:rsid w:val="00FB35EF"/>
    <w:rsid w:val="00FB54B5"/>
    <w:rsid w:val="00FB734D"/>
    <w:rsid w:val="00FB7B6D"/>
    <w:rsid w:val="00FB7D19"/>
    <w:rsid w:val="00FC01B0"/>
    <w:rsid w:val="00FC05B6"/>
    <w:rsid w:val="00FC0B39"/>
    <w:rsid w:val="00FC0B56"/>
    <w:rsid w:val="00FC1A34"/>
    <w:rsid w:val="00FC31D7"/>
    <w:rsid w:val="00FC3E42"/>
    <w:rsid w:val="00FC47D8"/>
    <w:rsid w:val="00FC5B3A"/>
    <w:rsid w:val="00FD0C33"/>
    <w:rsid w:val="00FD0F42"/>
    <w:rsid w:val="00FD1883"/>
    <w:rsid w:val="00FD264A"/>
    <w:rsid w:val="00FD2E16"/>
    <w:rsid w:val="00FD4A5B"/>
    <w:rsid w:val="00FD5690"/>
    <w:rsid w:val="00FD6316"/>
    <w:rsid w:val="00FD6B1D"/>
    <w:rsid w:val="00FD7DBC"/>
    <w:rsid w:val="00FE03F2"/>
    <w:rsid w:val="00FE0CEA"/>
    <w:rsid w:val="00FE19BE"/>
    <w:rsid w:val="00FE1F35"/>
    <w:rsid w:val="00FE239A"/>
    <w:rsid w:val="00FE41AD"/>
    <w:rsid w:val="00FE4357"/>
    <w:rsid w:val="00FE5A48"/>
    <w:rsid w:val="00FE5B0F"/>
    <w:rsid w:val="00FE5D3D"/>
    <w:rsid w:val="00FE6C05"/>
    <w:rsid w:val="00FE7279"/>
    <w:rsid w:val="00FE7B34"/>
    <w:rsid w:val="00FF05FF"/>
    <w:rsid w:val="00FF0616"/>
    <w:rsid w:val="00FF0D2A"/>
    <w:rsid w:val="00FF24E2"/>
    <w:rsid w:val="00FF2514"/>
    <w:rsid w:val="00FF27BD"/>
    <w:rsid w:val="00FF2E00"/>
    <w:rsid w:val="00FF2EE5"/>
    <w:rsid w:val="00FF34CC"/>
    <w:rsid w:val="00FF43D1"/>
    <w:rsid w:val="00FF699F"/>
    <w:rsid w:val="021EC536"/>
    <w:rsid w:val="022BCD6C"/>
    <w:rsid w:val="03DD0784"/>
    <w:rsid w:val="050F02D0"/>
    <w:rsid w:val="0553F9BF"/>
    <w:rsid w:val="05D8BFC2"/>
    <w:rsid w:val="062D4325"/>
    <w:rsid w:val="06DFBD3E"/>
    <w:rsid w:val="070E5EBF"/>
    <w:rsid w:val="0829E4C8"/>
    <w:rsid w:val="0BD96E48"/>
    <w:rsid w:val="0D13BBC1"/>
    <w:rsid w:val="0E29CC29"/>
    <w:rsid w:val="0F5B96E9"/>
    <w:rsid w:val="0FD96812"/>
    <w:rsid w:val="0FEE3956"/>
    <w:rsid w:val="11BF2695"/>
    <w:rsid w:val="1228FBAA"/>
    <w:rsid w:val="12A508B0"/>
    <w:rsid w:val="14391E5C"/>
    <w:rsid w:val="14960EB8"/>
    <w:rsid w:val="14DD6D24"/>
    <w:rsid w:val="15606A96"/>
    <w:rsid w:val="161787CC"/>
    <w:rsid w:val="163F5B4A"/>
    <w:rsid w:val="1BA17FA8"/>
    <w:rsid w:val="1C2B9F5C"/>
    <w:rsid w:val="1D834317"/>
    <w:rsid w:val="1E39FBA6"/>
    <w:rsid w:val="1EBCF918"/>
    <w:rsid w:val="1F9FB30A"/>
    <w:rsid w:val="204AF6FA"/>
    <w:rsid w:val="2245DE0A"/>
    <w:rsid w:val="23CBE00D"/>
    <w:rsid w:val="265257E6"/>
    <w:rsid w:val="268ACEC3"/>
    <w:rsid w:val="272F1D8B"/>
    <w:rsid w:val="27815DDA"/>
    <w:rsid w:val="28FA7B24"/>
    <w:rsid w:val="2903062B"/>
    <w:rsid w:val="298D93D1"/>
    <w:rsid w:val="29E7B252"/>
    <w:rsid w:val="2A2D3716"/>
    <w:rsid w:val="2AC12F78"/>
    <w:rsid w:val="2E303978"/>
    <w:rsid w:val="2E671CBE"/>
    <w:rsid w:val="2F434AEB"/>
    <w:rsid w:val="2F7F5835"/>
    <w:rsid w:val="302700FC"/>
    <w:rsid w:val="31CBEDD3"/>
    <w:rsid w:val="321CFF32"/>
    <w:rsid w:val="324CDE70"/>
    <w:rsid w:val="33B0B037"/>
    <w:rsid w:val="3449ADDD"/>
    <w:rsid w:val="34AD53B3"/>
    <w:rsid w:val="34EE3661"/>
    <w:rsid w:val="359FF868"/>
    <w:rsid w:val="360D1EEB"/>
    <w:rsid w:val="37D71BBE"/>
    <w:rsid w:val="390EA6B0"/>
    <w:rsid w:val="39A6DA0D"/>
    <w:rsid w:val="3B51BB31"/>
    <w:rsid w:val="3BD43567"/>
    <w:rsid w:val="3CF2AF51"/>
    <w:rsid w:val="3ECDBB6A"/>
    <w:rsid w:val="4065455A"/>
    <w:rsid w:val="40AC62E2"/>
    <w:rsid w:val="40D5591E"/>
    <w:rsid w:val="414A8411"/>
    <w:rsid w:val="428DB578"/>
    <w:rsid w:val="432EA0A4"/>
    <w:rsid w:val="4406A0EC"/>
    <w:rsid w:val="44FFF28A"/>
    <w:rsid w:val="450E0633"/>
    <w:rsid w:val="4549AED6"/>
    <w:rsid w:val="4569C79F"/>
    <w:rsid w:val="463A4003"/>
    <w:rsid w:val="48567D25"/>
    <w:rsid w:val="486A851B"/>
    <w:rsid w:val="48F34409"/>
    <w:rsid w:val="497C9A6F"/>
    <w:rsid w:val="49BDC820"/>
    <w:rsid w:val="4AD373E1"/>
    <w:rsid w:val="4B127683"/>
    <w:rsid w:val="4B96DF41"/>
    <w:rsid w:val="4C4AC10D"/>
    <w:rsid w:val="52408FF2"/>
    <w:rsid w:val="52673480"/>
    <w:rsid w:val="52E21296"/>
    <w:rsid w:val="53507A37"/>
    <w:rsid w:val="538E80BA"/>
    <w:rsid w:val="53C80F49"/>
    <w:rsid w:val="55A3CD70"/>
    <w:rsid w:val="5702C63E"/>
    <w:rsid w:val="572CC4CB"/>
    <w:rsid w:val="579BC3E4"/>
    <w:rsid w:val="58B27C6C"/>
    <w:rsid w:val="597D8753"/>
    <w:rsid w:val="5A2CEACF"/>
    <w:rsid w:val="5B17135F"/>
    <w:rsid w:val="5D83756A"/>
    <w:rsid w:val="5D90CC8F"/>
    <w:rsid w:val="5DDA96DC"/>
    <w:rsid w:val="5E11912D"/>
    <w:rsid w:val="5E57E9DD"/>
    <w:rsid w:val="5E77058C"/>
    <w:rsid w:val="5F259EBF"/>
    <w:rsid w:val="5F2B2E65"/>
    <w:rsid w:val="62B8CF17"/>
    <w:rsid w:val="63F17D7B"/>
    <w:rsid w:val="649FEF5B"/>
    <w:rsid w:val="65EFD861"/>
    <w:rsid w:val="663CEEAC"/>
    <w:rsid w:val="66D5B981"/>
    <w:rsid w:val="67461A5B"/>
    <w:rsid w:val="69AADB3C"/>
    <w:rsid w:val="6AFF899F"/>
    <w:rsid w:val="6BEF2889"/>
    <w:rsid w:val="6C57F6A8"/>
    <w:rsid w:val="6E52B317"/>
    <w:rsid w:val="6E9944C1"/>
    <w:rsid w:val="6F0C59D5"/>
    <w:rsid w:val="6F21D0DE"/>
    <w:rsid w:val="71C95D9F"/>
    <w:rsid w:val="72C571C4"/>
    <w:rsid w:val="739423C0"/>
    <w:rsid w:val="757C0E4D"/>
    <w:rsid w:val="76599E3B"/>
    <w:rsid w:val="7662550F"/>
    <w:rsid w:val="78AC272B"/>
    <w:rsid w:val="7BDA79A1"/>
    <w:rsid w:val="7CC0C063"/>
    <w:rsid w:val="7D57C4D0"/>
    <w:rsid w:val="7D8D4750"/>
    <w:rsid w:val="7E79B435"/>
    <w:rsid w:val="7FF8C5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8247"/>
  <w15:chartTrackingRefBased/>
  <w15:docId w15:val="{43B6C70E-31DE-42C1-A931-5CDD0D4F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C5B"/>
    <w:pPr>
      <w:spacing w:after="0" w:line="280" w:lineRule="atLeast"/>
    </w:pPr>
    <w:rPr>
      <w:rFonts w:ascii="Arial" w:eastAsia="Times New Roman" w:hAnsi="Arial" w:cs="Times New Roman"/>
      <w:sz w:val="20"/>
      <w:szCs w:val="20"/>
      <w:lang w:eastAsia="de-DE"/>
    </w:rPr>
  </w:style>
  <w:style w:type="paragraph" w:styleId="Nadpis1">
    <w:name w:val="heading 1"/>
    <w:aliases w:val="1. úroveň,Nadpis článku smlouvy"/>
    <w:basedOn w:val="Normln"/>
    <w:next w:val="Normln"/>
    <w:link w:val="Nadpis1Char"/>
    <w:qFormat/>
    <w:rsid w:val="00190407"/>
    <w:pPr>
      <w:keepNext/>
      <w:keepLines/>
      <w:numPr>
        <w:numId w:val="1"/>
      </w:numPr>
      <w:spacing w:before="360" w:after="240"/>
      <w:jc w:val="center"/>
      <w:outlineLvl w:val="0"/>
    </w:pPr>
    <w:rPr>
      <w:rFonts w:eastAsiaTheme="majorEastAsia" w:cstheme="majorBidi"/>
      <w:b/>
      <w:sz w:val="22"/>
      <w:szCs w:val="32"/>
    </w:rPr>
  </w:style>
  <w:style w:type="paragraph" w:styleId="Nadpis2">
    <w:name w:val="heading 2"/>
    <w:basedOn w:val="Normln"/>
    <w:next w:val="Normln"/>
    <w:link w:val="Nadpis2Char"/>
    <w:unhideWhenUsed/>
    <w:qFormat/>
    <w:rsid w:val="00190407"/>
    <w:pPr>
      <w:keepNext/>
      <w:keepLines/>
      <w:numPr>
        <w:numId w:val="2"/>
      </w:numPr>
      <w:spacing w:before="320" w:after="120" w:line="240" w:lineRule="auto"/>
      <w:outlineLvl w:val="1"/>
    </w:pPr>
    <w:rPr>
      <w:rFonts w:eastAsiaTheme="majorEastAsia" w:cstheme="majorBidi"/>
      <w:b/>
      <w:bCs/>
      <w:sz w:val="22"/>
      <w:szCs w:val="26"/>
      <w:lang w:eastAsia="cs-CZ"/>
    </w:rPr>
  </w:style>
  <w:style w:type="paragraph" w:styleId="Nadpis3">
    <w:name w:val="heading 3"/>
    <w:basedOn w:val="Normln"/>
    <w:next w:val="Normln"/>
    <w:link w:val="Nadpis3Char"/>
    <w:uiPriority w:val="9"/>
    <w:semiHidden/>
    <w:unhideWhenUsed/>
    <w:qFormat/>
    <w:rsid w:val="001904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úroveň Char,Nadpis článku smlouvy Char"/>
    <w:basedOn w:val="Standardnpsmoodstavce"/>
    <w:link w:val="Nadpis1"/>
    <w:uiPriority w:val="9"/>
    <w:rsid w:val="00190407"/>
    <w:rPr>
      <w:rFonts w:ascii="Arial" w:eastAsiaTheme="majorEastAsia" w:hAnsi="Arial" w:cstheme="majorBidi"/>
      <w:b/>
      <w:szCs w:val="32"/>
      <w:lang w:eastAsia="de-DE"/>
    </w:rPr>
  </w:style>
  <w:style w:type="character" w:customStyle="1" w:styleId="Nadpis2Char">
    <w:name w:val="Nadpis 2 Char"/>
    <w:basedOn w:val="Standardnpsmoodstavce"/>
    <w:link w:val="Nadpis2"/>
    <w:rsid w:val="00190407"/>
    <w:rPr>
      <w:rFonts w:ascii="Arial" w:eastAsiaTheme="majorEastAsia" w:hAnsi="Arial" w:cstheme="majorBidi"/>
      <w:b/>
      <w:bCs/>
      <w:szCs w:val="26"/>
      <w:lang w:eastAsia="cs-CZ"/>
    </w:rPr>
  </w:style>
  <w:style w:type="character" w:customStyle="1" w:styleId="Nadpis3Char">
    <w:name w:val="Nadpis 3 Char"/>
    <w:basedOn w:val="Standardnpsmoodstavce"/>
    <w:link w:val="Nadpis3"/>
    <w:uiPriority w:val="9"/>
    <w:semiHidden/>
    <w:rsid w:val="00190407"/>
    <w:rPr>
      <w:rFonts w:asciiTheme="majorHAnsi" w:eastAsiaTheme="majorEastAsia" w:hAnsiTheme="majorHAnsi" w:cstheme="majorBidi"/>
      <w:color w:val="1F4D78" w:themeColor="accent1" w:themeShade="7F"/>
      <w:sz w:val="24"/>
      <w:szCs w:val="24"/>
      <w:lang w:eastAsia="de-DE"/>
    </w:rPr>
  </w:style>
  <w:style w:type="character" w:styleId="Hypertextovodkaz">
    <w:name w:val="Hyperlink"/>
    <w:basedOn w:val="Standardnpsmoodstavce"/>
    <w:uiPriority w:val="99"/>
    <w:unhideWhenUsed/>
    <w:rsid w:val="00190407"/>
    <w:rPr>
      <w:color w:val="0563C1" w:themeColor="hyperlink"/>
      <w:u w:val="single"/>
    </w:rPr>
  </w:style>
  <w:style w:type="paragraph" w:styleId="Nzev">
    <w:name w:val="Title"/>
    <w:basedOn w:val="Normln"/>
    <w:next w:val="Normln"/>
    <w:link w:val="NzevChar"/>
    <w:uiPriority w:val="10"/>
    <w:qFormat/>
    <w:rsid w:val="00190407"/>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90407"/>
    <w:rPr>
      <w:rFonts w:asciiTheme="majorHAnsi" w:eastAsiaTheme="majorEastAsia" w:hAnsiTheme="majorHAnsi" w:cstheme="majorBidi"/>
      <w:spacing w:val="-10"/>
      <w:kern w:val="28"/>
      <w:sz w:val="56"/>
      <w:szCs w:val="56"/>
      <w:lang w:eastAsia="de-DE"/>
    </w:rPr>
  </w:style>
  <w:style w:type="paragraph" w:styleId="Textvbloku">
    <w:name w:val="Block Text"/>
    <w:basedOn w:val="Normln"/>
    <w:unhideWhenUsed/>
    <w:rsid w:val="00190407"/>
    <w:pPr>
      <w:spacing w:line="240" w:lineRule="auto"/>
      <w:ind w:right="-92"/>
      <w:jc w:val="both"/>
    </w:pPr>
    <w:rPr>
      <w:lang w:eastAsia="cs-CZ"/>
    </w:rPr>
  </w:style>
  <w:style w:type="paragraph" w:styleId="Bezmezer">
    <w:name w:val="No Spacing"/>
    <w:uiPriority w:val="1"/>
    <w:qFormat/>
    <w:rsid w:val="00190407"/>
    <w:pPr>
      <w:spacing w:after="0" w:line="240" w:lineRule="auto"/>
    </w:pPr>
    <w:rPr>
      <w:rFonts w:eastAsiaTheme="minorEastAsia"/>
      <w:lang w:eastAsia="cs-CZ"/>
    </w:rPr>
  </w:style>
  <w:style w:type="character" w:customStyle="1" w:styleId="OdstavecseseznamemChar">
    <w:name w:val="Odstavec se seznamem Char"/>
    <w:basedOn w:val="Standardnpsmoodstavce"/>
    <w:link w:val="Odstavecseseznamem"/>
    <w:uiPriority w:val="34"/>
    <w:locked/>
    <w:rsid w:val="00190407"/>
    <w:rPr>
      <w:rFonts w:ascii="Times New Roman" w:eastAsiaTheme="minorEastAsia" w:hAnsi="Times New Roman" w:cs="Times New Roman"/>
      <w:lang w:eastAsia="cs-CZ"/>
    </w:rPr>
  </w:style>
  <w:style w:type="paragraph" w:styleId="Odstavecseseznamem">
    <w:name w:val="List Paragraph"/>
    <w:basedOn w:val="Normln"/>
    <w:link w:val="OdstavecseseznamemChar"/>
    <w:uiPriority w:val="34"/>
    <w:qFormat/>
    <w:rsid w:val="00190407"/>
    <w:pPr>
      <w:spacing w:after="200" w:line="276" w:lineRule="auto"/>
      <w:ind w:left="720"/>
      <w:contextualSpacing/>
    </w:pPr>
    <w:rPr>
      <w:rFonts w:ascii="Times New Roman" w:eastAsiaTheme="minorEastAsia" w:hAnsi="Times New Roman"/>
      <w:sz w:val="22"/>
      <w:szCs w:val="22"/>
      <w:lang w:eastAsia="cs-CZ"/>
    </w:rPr>
  </w:style>
  <w:style w:type="paragraph" w:customStyle="1" w:styleId="Normln1">
    <w:name w:val="Normální1"/>
    <w:basedOn w:val="Normln"/>
    <w:rsid w:val="00190407"/>
    <w:pPr>
      <w:widowControl w:val="0"/>
      <w:spacing w:line="240" w:lineRule="auto"/>
    </w:pPr>
    <w:rPr>
      <w:noProof/>
      <w:lang w:eastAsia="cs-CZ"/>
    </w:rPr>
  </w:style>
  <w:style w:type="paragraph" w:customStyle="1" w:styleId="Standardnte">
    <w:name w:val="Standardní te"/>
    <w:rsid w:val="00190407"/>
    <w:pPr>
      <w:widowControl w:val="0"/>
      <w:snapToGrid w:val="0"/>
      <w:spacing w:after="0" w:line="240" w:lineRule="auto"/>
    </w:pPr>
    <w:rPr>
      <w:rFonts w:ascii="Times New Roman" w:eastAsia="Times New Roman" w:hAnsi="Times New Roman" w:cs="Times New Roman"/>
      <w:color w:val="000000"/>
      <w:sz w:val="24"/>
      <w:szCs w:val="20"/>
      <w:lang w:val="en-US"/>
    </w:rPr>
  </w:style>
  <w:style w:type="character" w:styleId="Odkaznakoment">
    <w:name w:val="annotation reference"/>
    <w:basedOn w:val="Standardnpsmoodstavce"/>
    <w:uiPriority w:val="99"/>
    <w:semiHidden/>
    <w:unhideWhenUsed/>
    <w:rsid w:val="00FE5A48"/>
    <w:rPr>
      <w:sz w:val="16"/>
      <w:szCs w:val="16"/>
    </w:rPr>
  </w:style>
  <w:style w:type="paragraph" w:styleId="Textkomente">
    <w:name w:val="annotation text"/>
    <w:basedOn w:val="Normln"/>
    <w:link w:val="TextkomenteChar"/>
    <w:uiPriority w:val="99"/>
    <w:unhideWhenUsed/>
    <w:rsid w:val="00FE5A48"/>
    <w:pPr>
      <w:spacing w:line="240" w:lineRule="auto"/>
    </w:pPr>
  </w:style>
  <w:style w:type="character" w:customStyle="1" w:styleId="TextkomenteChar">
    <w:name w:val="Text komentáře Char"/>
    <w:basedOn w:val="Standardnpsmoodstavce"/>
    <w:link w:val="Textkomente"/>
    <w:uiPriority w:val="99"/>
    <w:rsid w:val="00FE5A48"/>
    <w:rPr>
      <w:rFonts w:ascii="Arial" w:eastAsia="Times New Roman" w:hAnsi="Arial" w:cs="Times New Roman"/>
      <w:sz w:val="20"/>
      <w:szCs w:val="20"/>
      <w:lang w:eastAsia="de-DE"/>
    </w:rPr>
  </w:style>
  <w:style w:type="paragraph" w:styleId="Pedmtkomente">
    <w:name w:val="annotation subject"/>
    <w:basedOn w:val="Textkomente"/>
    <w:next w:val="Textkomente"/>
    <w:link w:val="PedmtkomenteChar"/>
    <w:uiPriority w:val="99"/>
    <w:semiHidden/>
    <w:unhideWhenUsed/>
    <w:rsid w:val="00FE5A48"/>
    <w:rPr>
      <w:b/>
      <w:bCs/>
    </w:rPr>
  </w:style>
  <w:style w:type="character" w:customStyle="1" w:styleId="PedmtkomenteChar">
    <w:name w:val="Předmět komentáře Char"/>
    <w:basedOn w:val="TextkomenteChar"/>
    <w:link w:val="Pedmtkomente"/>
    <w:uiPriority w:val="99"/>
    <w:semiHidden/>
    <w:rsid w:val="00FE5A48"/>
    <w:rPr>
      <w:rFonts w:ascii="Arial" w:eastAsia="Times New Roman" w:hAnsi="Arial" w:cs="Times New Roman"/>
      <w:b/>
      <w:bCs/>
      <w:sz w:val="20"/>
      <w:szCs w:val="20"/>
      <w:lang w:eastAsia="de-DE"/>
    </w:rPr>
  </w:style>
  <w:style w:type="paragraph" w:styleId="Textbubliny">
    <w:name w:val="Balloon Text"/>
    <w:basedOn w:val="Normln"/>
    <w:link w:val="TextbublinyChar"/>
    <w:uiPriority w:val="99"/>
    <w:semiHidden/>
    <w:unhideWhenUsed/>
    <w:rsid w:val="00FE5A4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5A48"/>
    <w:rPr>
      <w:rFonts w:ascii="Segoe UI" w:eastAsia="Times New Roman" w:hAnsi="Segoe UI" w:cs="Segoe UI"/>
      <w:sz w:val="18"/>
      <w:szCs w:val="18"/>
      <w:lang w:eastAsia="de-DE"/>
    </w:rPr>
  </w:style>
  <w:style w:type="paragraph" w:customStyle="1" w:styleId="Default">
    <w:name w:val="Default"/>
    <w:rsid w:val="00C83E6E"/>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7E6AAC"/>
    <w:pPr>
      <w:tabs>
        <w:tab w:val="center" w:pos="4536"/>
        <w:tab w:val="right" w:pos="9072"/>
      </w:tabs>
      <w:spacing w:line="240" w:lineRule="auto"/>
    </w:pPr>
  </w:style>
  <w:style w:type="character" w:customStyle="1" w:styleId="ZhlavChar">
    <w:name w:val="Záhlaví Char"/>
    <w:basedOn w:val="Standardnpsmoodstavce"/>
    <w:link w:val="Zhlav"/>
    <w:uiPriority w:val="99"/>
    <w:rsid w:val="007E6AAC"/>
    <w:rPr>
      <w:rFonts w:ascii="Arial" w:eastAsia="Times New Roman" w:hAnsi="Arial" w:cs="Times New Roman"/>
      <w:sz w:val="20"/>
      <w:szCs w:val="20"/>
      <w:lang w:eastAsia="de-DE"/>
    </w:rPr>
  </w:style>
  <w:style w:type="paragraph" w:styleId="Zpat">
    <w:name w:val="footer"/>
    <w:basedOn w:val="Normln"/>
    <w:link w:val="ZpatChar"/>
    <w:uiPriority w:val="99"/>
    <w:unhideWhenUsed/>
    <w:rsid w:val="007E6AAC"/>
    <w:pPr>
      <w:tabs>
        <w:tab w:val="center" w:pos="4536"/>
        <w:tab w:val="right" w:pos="9072"/>
      </w:tabs>
      <w:spacing w:line="240" w:lineRule="auto"/>
    </w:pPr>
  </w:style>
  <w:style w:type="character" w:customStyle="1" w:styleId="ZpatChar">
    <w:name w:val="Zápatí Char"/>
    <w:basedOn w:val="Standardnpsmoodstavce"/>
    <w:link w:val="Zpat"/>
    <w:uiPriority w:val="99"/>
    <w:rsid w:val="007E6AAC"/>
    <w:rPr>
      <w:rFonts w:ascii="Arial" w:eastAsia="Times New Roman" w:hAnsi="Arial" w:cs="Times New Roman"/>
      <w:sz w:val="20"/>
      <w:szCs w:val="20"/>
      <w:lang w:eastAsia="de-DE"/>
    </w:rPr>
  </w:style>
  <w:style w:type="paragraph" w:styleId="Revize">
    <w:name w:val="Revision"/>
    <w:hidden/>
    <w:uiPriority w:val="99"/>
    <w:semiHidden/>
    <w:rsid w:val="00AF30CA"/>
    <w:pPr>
      <w:spacing w:after="0" w:line="240" w:lineRule="auto"/>
    </w:pPr>
    <w:rPr>
      <w:rFonts w:ascii="Arial" w:eastAsia="Times New Roman" w:hAnsi="Arial" w:cs="Times New Roman"/>
      <w:sz w:val="20"/>
      <w:szCs w:val="20"/>
      <w:lang w:eastAsia="de-DE"/>
    </w:rPr>
  </w:style>
  <w:style w:type="table" w:styleId="Mkatabulky">
    <w:name w:val="Table Grid"/>
    <w:basedOn w:val="Normlntabulka"/>
    <w:uiPriority w:val="39"/>
    <w:rsid w:val="001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ln"/>
    <w:rsid w:val="00585CE9"/>
    <w:pPr>
      <w:spacing w:before="100" w:beforeAutospacing="1" w:after="100" w:afterAutospacing="1" w:line="240" w:lineRule="auto"/>
    </w:pPr>
    <w:rPr>
      <w:rFonts w:ascii="Times New Roman" w:hAnsi="Times New Roman"/>
      <w:sz w:val="24"/>
      <w:szCs w:val="24"/>
      <w:lang w:eastAsia="cs-CZ"/>
    </w:rPr>
  </w:style>
  <w:style w:type="character" w:customStyle="1" w:styleId="cf01">
    <w:name w:val="cf01"/>
    <w:basedOn w:val="Standardnpsmoodstavce"/>
    <w:rsid w:val="00585CE9"/>
    <w:rPr>
      <w:rFonts w:ascii="Segoe UI" w:hAnsi="Segoe UI" w:cs="Segoe UI" w:hint="default"/>
      <w:sz w:val="18"/>
      <w:szCs w:val="18"/>
    </w:rPr>
  </w:style>
  <w:style w:type="paragraph" w:styleId="Textpoznpodarou">
    <w:name w:val="footnote text"/>
    <w:basedOn w:val="Normln"/>
    <w:link w:val="TextpoznpodarouChar"/>
    <w:uiPriority w:val="99"/>
    <w:semiHidden/>
    <w:unhideWhenUsed/>
    <w:rsid w:val="009F22F0"/>
    <w:pPr>
      <w:spacing w:line="240" w:lineRule="auto"/>
    </w:pPr>
  </w:style>
  <w:style w:type="character" w:customStyle="1" w:styleId="TextpoznpodarouChar">
    <w:name w:val="Text pozn. pod čarou Char"/>
    <w:basedOn w:val="Standardnpsmoodstavce"/>
    <w:link w:val="Textpoznpodarou"/>
    <w:uiPriority w:val="99"/>
    <w:semiHidden/>
    <w:rsid w:val="009F22F0"/>
    <w:rPr>
      <w:rFonts w:ascii="Arial" w:eastAsia="Times New Roman" w:hAnsi="Arial" w:cs="Times New Roman"/>
      <w:sz w:val="20"/>
      <w:szCs w:val="20"/>
      <w:lang w:eastAsia="de-DE"/>
    </w:rPr>
  </w:style>
  <w:style w:type="character" w:styleId="Znakapoznpodarou">
    <w:name w:val="footnote reference"/>
    <w:basedOn w:val="Standardnpsmoodstavce"/>
    <w:uiPriority w:val="99"/>
    <w:semiHidden/>
    <w:unhideWhenUsed/>
    <w:rsid w:val="009F22F0"/>
    <w:rPr>
      <w:vertAlign w:val="superscript"/>
    </w:rPr>
  </w:style>
  <w:style w:type="character" w:styleId="Nevyeenzmnka">
    <w:name w:val="Unresolved Mention"/>
    <w:basedOn w:val="Standardnpsmoodstavce"/>
    <w:uiPriority w:val="99"/>
    <w:semiHidden/>
    <w:unhideWhenUsed/>
    <w:rsid w:val="007B2FF1"/>
    <w:rPr>
      <w:color w:val="605E5C"/>
      <w:shd w:val="clear" w:color="auto" w:fill="E1DFDD"/>
    </w:rPr>
  </w:style>
  <w:style w:type="paragraph" w:customStyle="1" w:styleId="2rove">
    <w:name w:val="2. úroveň"/>
    <w:basedOn w:val="Normln"/>
    <w:uiPriority w:val="1"/>
    <w:qFormat/>
    <w:rsid w:val="00B25377"/>
    <w:pPr>
      <w:spacing w:before="60" w:after="60" w:line="240" w:lineRule="auto"/>
      <w:ind w:left="567" w:hanging="567"/>
      <w:jc w:val="both"/>
      <w:outlineLvl w:val="1"/>
    </w:pPr>
    <w:rPr>
      <w:rFonts w:eastAsiaTheme="minorHAnsi" w:cstheme="minorBidi"/>
      <w:szCs w:val="22"/>
      <w:lang w:eastAsia="en-US"/>
    </w:rPr>
  </w:style>
  <w:style w:type="paragraph" w:customStyle="1" w:styleId="3rove-kodstrann">
    <w:name w:val="3. úroveň - k odstranění"/>
    <w:basedOn w:val="2rove"/>
    <w:uiPriority w:val="2"/>
    <w:qFormat/>
    <w:rsid w:val="00B25377"/>
    <w:pPr>
      <w:spacing w:before="0"/>
      <w:ind w:left="1304" w:hanging="737"/>
      <w:outlineLvl w:val="2"/>
    </w:pPr>
  </w:style>
  <w:style w:type="paragraph" w:customStyle="1" w:styleId="3rove-trval">
    <w:name w:val="3. úroveň - trvalá"/>
    <w:basedOn w:val="3rove-kodstrann"/>
    <w:uiPriority w:val="3"/>
    <w:qFormat/>
    <w:rsid w:val="00B2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557">
      <w:bodyDiv w:val="1"/>
      <w:marLeft w:val="0"/>
      <w:marRight w:val="0"/>
      <w:marTop w:val="0"/>
      <w:marBottom w:val="0"/>
      <w:divBdr>
        <w:top w:val="none" w:sz="0" w:space="0" w:color="auto"/>
        <w:left w:val="none" w:sz="0" w:space="0" w:color="auto"/>
        <w:bottom w:val="none" w:sz="0" w:space="0" w:color="auto"/>
        <w:right w:val="none" w:sz="0" w:space="0" w:color="auto"/>
      </w:divBdr>
    </w:div>
    <w:div w:id="134178287">
      <w:bodyDiv w:val="1"/>
      <w:marLeft w:val="0"/>
      <w:marRight w:val="0"/>
      <w:marTop w:val="0"/>
      <w:marBottom w:val="0"/>
      <w:divBdr>
        <w:top w:val="none" w:sz="0" w:space="0" w:color="auto"/>
        <w:left w:val="none" w:sz="0" w:space="0" w:color="auto"/>
        <w:bottom w:val="none" w:sz="0" w:space="0" w:color="auto"/>
        <w:right w:val="none" w:sz="0" w:space="0" w:color="auto"/>
      </w:divBdr>
    </w:div>
    <w:div w:id="431365790">
      <w:bodyDiv w:val="1"/>
      <w:marLeft w:val="0"/>
      <w:marRight w:val="0"/>
      <w:marTop w:val="0"/>
      <w:marBottom w:val="0"/>
      <w:divBdr>
        <w:top w:val="none" w:sz="0" w:space="0" w:color="auto"/>
        <w:left w:val="none" w:sz="0" w:space="0" w:color="auto"/>
        <w:bottom w:val="none" w:sz="0" w:space="0" w:color="auto"/>
        <w:right w:val="none" w:sz="0" w:space="0" w:color="auto"/>
      </w:divBdr>
    </w:div>
    <w:div w:id="431972794">
      <w:bodyDiv w:val="1"/>
      <w:marLeft w:val="0"/>
      <w:marRight w:val="0"/>
      <w:marTop w:val="0"/>
      <w:marBottom w:val="0"/>
      <w:divBdr>
        <w:top w:val="none" w:sz="0" w:space="0" w:color="auto"/>
        <w:left w:val="none" w:sz="0" w:space="0" w:color="auto"/>
        <w:bottom w:val="none" w:sz="0" w:space="0" w:color="auto"/>
        <w:right w:val="none" w:sz="0" w:space="0" w:color="auto"/>
      </w:divBdr>
    </w:div>
    <w:div w:id="903567231">
      <w:bodyDiv w:val="1"/>
      <w:marLeft w:val="0"/>
      <w:marRight w:val="0"/>
      <w:marTop w:val="0"/>
      <w:marBottom w:val="0"/>
      <w:divBdr>
        <w:top w:val="none" w:sz="0" w:space="0" w:color="auto"/>
        <w:left w:val="none" w:sz="0" w:space="0" w:color="auto"/>
        <w:bottom w:val="none" w:sz="0" w:space="0" w:color="auto"/>
        <w:right w:val="none" w:sz="0" w:space="0" w:color="auto"/>
      </w:divBdr>
    </w:div>
    <w:div w:id="977807378">
      <w:bodyDiv w:val="1"/>
      <w:marLeft w:val="0"/>
      <w:marRight w:val="0"/>
      <w:marTop w:val="0"/>
      <w:marBottom w:val="0"/>
      <w:divBdr>
        <w:top w:val="none" w:sz="0" w:space="0" w:color="auto"/>
        <w:left w:val="none" w:sz="0" w:space="0" w:color="auto"/>
        <w:bottom w:val="none" w:sz="0" w:space="0" w:color="auto"/>
        <w:right w:val="none" w:sz="0" w:space="0" w:color="auto"/>
      </w:divBdr>
    </w:div>
    <w:div w:id="1493330713">
      <w:bodyDiv w:val="1"/>
      <w:marLeft w:val="0"/>
      <w:marRight w:val="0"/>
      <w:marTop w:val="0"/>
      <w:marBottom w:val="0"/>
      <w:divBdr>
        <w:top w:val="none" w:sz="0" w:space="0" w:color="auto"/>
        <w:left w:val="none" w:sz="0" w:space="0" w:color="auto"/>
        <w:bottom w:val="none" w:sz="0" w:space="0" w:color="auto"/>
        <w:right w:val="none" w:sz="0" w:space="0" w:color="auto"/>
      </w:divBdr>
    </w:div>
    <w:div w:id="1820540467">
      <w:bodyDiv w:val="1"/>
      <w:marLeft w:val="0"/>
      <w:marRight w:val="0"/>
      <w:marTop w:val="0"/>
      <w:marBottom w:val="0"/>
      <w:divBdr>
        <w:top w:val="none" w:sz="0" w:space="0" w:color="auto"/>
        <w:left w:val="none" w:sz="0" w:space="0" w:color="auto"/>
        <w:bottom w:val="none" w:sz="0" w:space="0" w:color="auto"/>
        <w:right w:val="none" w:sz="0" w:space="0" w:color="auto"/>
      </w:divBdr>
    </w:div>
    <w:div w:id="1921140036">
      <w:bodyDiv w:val="1"/>
      <w:marLeft w:val="0"/>
      <w:marRight w:val="0"/>
      <w:marTop w:val="0"/>
      <w:marBottom w:val="0"/>
      <w:divBdr>
        <w:top w:val="none" w:sz="0" w:space="0" w:color="auto"/>
        <w:left w:val="none" w:sz="0" w:space="0" w:color="auto"/>
        <w:bottom w:val="none" w:sz="0" w:space="0" w:color="auto"/>
        <w:right w:val="none" w:sz="0" w:space="0" w:color="auto"/>
      </w:divBdr>
    </w:div>
    <w:div w:id="21413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kubernatova@zlinsky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kan@ft.ut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FC3C1-BBF5-47EB-99DB-48F54D40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6484</Words>
  <Characters>38260</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Peterková Kateřina</dc:creator>
  <cp:keywords/>
  <dc:description/>
  <cp:lastModifiedBy>Kubernátová Barbora</cp:lastModifiedBy>
  <cp:revision>2</cp:revision>
  <cp:lastPrinted>2024-05-10T07:07:00Z</cp:lastPrinted>
  <dcterms:created xsi:type="dcterms:W3CDTF">2024-05-23T05:24:00Z</dcterms:created>
  <dcterms:modified xsi:type="dcterms:W3CDTF">2024-05-23T05:24:00Z</dcterms:modified>
</cp:coreProperties>
</file>