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787F6D44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BA0AB9">
        <w:rPr>
          <w:rFonts w:cs="Arial"/>
          <w:b/>
        </w:rPr>
        <w:t>1854</w:t>
      </w:r>
      <w:r w:rsidRPr="001426D2">
        <w:rPr>
          <w:rFonts w:cs="Arial"/>
          <w:b/>
        </w:rPr>
        <w:t>/</w:t>
      </w:r>
      <w:r w:rsidR="006125E2">
        <w:rPr>
          <w:rFonts w:cs="Arial"/>
          <w:b/>
        </w:rPr>
        <w:t>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B0DAE" w14:paraId="06389DF6" w14:textId="77777777" w:rsidTr="00A25E1D">
        <w:tc>
          <w:tcPr>
            <w:tcW w:w="2122" w:type="dxa"/>
          </w:tcPr>
          <w:p w14:paraId="7D09F85A" w14:textId="77777777" w:rsidR="009B0DAE" w:rsidRDefault="009B0DAE" w:rsidP="00A25E1D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028994E7" w14:textId="77777777" w:rsidR="009B0DAE" w:rsidRPr="00A6589F" w:rsidRDefault="009B0DAE" w:rsidP="00A25E1D">
            <w:pPr>
              <w:pStyle w:val="Bezmezer"/>
              <w:spacing w:line="276" w:lineRule="auto"/>
              <w:rPr>
                <w:b/>
              </w:rPr>
            </w:pPr>
            <w:r w:rsidRPr="00A6589F">
              <w:rPr>
                <w:b/>
              </w:rPr>
              <w:t>Zlínský kraj</w:t>
            </w:r>
          </w:p>
          <w:p w14:paraId="73220D4C" w14:textId="77777777" w:rsidR="009B0DAE" w:rsidRDefault="009B0DAE" w:rsidP="00A25E1D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652354" w14:textId="77777777" w:rsidR="009B0DAE" w:rsidRDefault="009B0DAE" w:rsidP="00A25E1D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4F09550F" w14:textId="77777777" w:rsidR="009B0DAE" w:rsidRDefault="009B0DAE" w:rsidP="00A25E1D">
            <w:pPr>
              <w:pStyle w:val="Bezmezer"/>
              <w:spacing w:line="276" w:lineRule="auto"/>
            </w:pPr>
            <w:r>
              <w:t>IČO: 70891320</w:t>
            </w:r>
          </w:p>
          <w:p w14:paraId="341110EB" w14:textId="77777777" w:rsidR="009B0DAE" w:rsidRDefault="009B0DAE" w:rsidP="00A25E1D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1827552/0800, Česká spořitelna, a. s.</w:t>
            </w:r>
          </w:p>
          <w:p w14:paraId="0DC2D380" w14:textId="390E7D76" w:rsidR="009B0DAE" w:rsidRDefault="009B0DAE" w:rsidP="00A25E1D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</w:t>
            </w:r>
            <w:r w:rsidRPr="00BC0BE0">
              <w:t>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45108C48" w14:textId="77777777" w:rsidR="009B0DAE" w:rsidRDefault="009B0DAE" w:rsidP="009B0DAE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B0DAE" w14:paraId="69B2E835" w14:textId="77777777" w:rsidTr="00A25E1D">
        <w:tc>
          <w:tcPr>
            <w:tcW w:w="2122" w:type="dxa"/>
          </w:tcPr>
          <w:p w14:paraId="26E27C8D" w14:textId="77777777" w:rsidR="009B0DAE" w:rsidRDefault="009B0DAE" w:rsidP="00A25E1D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59D0F142" w14:textId="77777777" w:rsidR="009B0DAE" w:rsidRDefault="009B0DAE" w:rsidP="00A25E1D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Univerzita Tomáše Bati ve Zlíně</w:t>
            </w:r>
          </w:p>
          <w:p w14:paraId="3FC4481E" w14:textId="77777777" w:rsidR="009B0DAE" w:rsidRDefault="009B0DAE" w:rsidP="00A25E1D">
            <w:pPr>
              <w:pStyle w:val="Bezmezer"/>
              <w:spacing w:line="276" w:lineRule="auto"/>
            </w:pPr>
            <w:r>
              <w:t xml:space="preserve">se sídlem ve Zlíně, nám. T. G. Masaryka 5555, PSČ 760 01 </w:t>
            </w:r>
          </w:p>
          <w:p w14:paraId="680F8A40" w14:textId="77684515" w:rsidR="009B0DAE" w:rsidRDefault="009B0DAE" w:rsidP="00A25E1D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právnická osoba – veřejná vysoká škola</w:t>
            </w:r>
            <w:r w:rsidR="005A708D">
              <w:t xml:space="preserve"> zřízená zákonem č. 404/2000 Sb., o zřízení Univerzity Tomáše Bati ve Zlíně</w:t>
            </w:r>
          </w:p>
          <w:p w14:paraId="3737B3E9" w14:textId="77777777" w:rsidR="009B0DAE" w:rsidRDefault="009B0DAE" w:rsidP="00A25E1D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70883521</w:t>
            </w:r>
          </w:p>
          <w:p w14:paraId="6EFDB261" w14:textId="612A74B4" w:rsidR="009B0DAE" w:rsidRDefault="009B0DAE" w:rsidP="00A25E1D">
            <w:pPr>
              <w:pStyle w:val="Bezmezer"/>
              <w:spacing w:line="276" w:lineRule="auto"/>
            </w:pPr>
            <w:r>
              <w:t>bankovní spojení: </w:t>
            </w:r>
            <w:r w:rsidR="00F37F74" w:rsidRPr="00F37F74">
              <w:t>27-19252</w:t>
            </w:r>
            <w:r w:rsidR="00A04406">
              <w:t>7</w:t>
            </w:r>
            <w:r w:rsidR="00F37F74" w:rsidRPr="00F37F74">
              <w:t>02</w:t>
            </w:r>
            <w:r w:rsidR="00BA27C0">
              <w:t>7</w:t>
            </w:r>
            <w:r w:rsidR="00F37F74" w:rsidRPr="00F37F74">
              <w:t>7/0100</w:t>
            </w:r>
            <w:r>
              <w:t xml:space="preserve">, </w:t>
            </w:r>
            <w:r w:rsidR="00F37F74" w:rsidRPr="00F37F74">
              <w:t>Komerční banka, a. s</w:t>
            </w:r>
            <w:r w:rsidR="00F37F74">
              <w:t>.</w:t>
            </w:r>
          </w:p>
          <w:p w14:paraId="15B1310C" w14:textId="4583272D" w:rsidR="009B0DAE" w:rsidRDefault="009B0DAE" w:rsidP="00A25E1D">
            <w:pPr>
              <w:pStyle w:val="Bezmezer"/>
              <w:spacing w:line="276" w:lineRule="auto"/>
            </w:pPr>
            <w:r>
              <w:t>zastoupen: prof. Mgr. Milanem Adámkem, Ph.D., rektorem</w:t>
            </w:r>
          </w:p>
          <w:p w14:paraId="5382C67C" w14:textId="54F81D3F" w:rsidR="00977F77" w:rsidRDefault="00977F77" w:rsidP="00A25E1D">
            <w:pPr>
              <w:pStyle w:val="Bezmezer"/>
              <w:spacing w:line="276" w:lineRule="auto"/>
            </w:pPr>
            <w:r>
              <w:t xml:space="preserve">za věcné plnění odpovídá: </w:t>
            </w:r>
            <w:r w:rsidR="00185D86">
              <w:t>Ing. Pavel Blažek, vedoucí odboru investic a majetku</w:t>
            </w:r>
          </w:p>
          <w:p w14:paraId="49B34BF0" w14:textId="77777777" w:rsidR="009B0DAE" w:rsidRDefault="009B0DAE" w:rsidP="00A25E1D">
            <w:pPr>
              <w:pStyle w:val="Bezmezer"/>
              <w:spacing w:line="276" w:lineRule="auto"/>
              <w:ind w:left="567" w:hanging="567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7E7500F6" w14:textId="77777777" w:rsidR="009B0DAE" w:rsidRDefault="009B0DAE" w:rsidP="00A25E1D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2955D38" w14:textId="6371A706" w:rsidR="00EF570B" w:rsidRDefault="0077026D" w:rsidP="000D4C11">
      <w:pPr>
        <w:pStyle w:val="2rove"/>
      </w:pPr>
      <w:r>
        <w:t xml:space="preserve">Poskytovatel se zavazuje poskytnout příjemci </w:t>
      </w:r>
      <w:r w:rsidRPr="4F3ADAE7">
        <w:rPr>
          <w:b/>
          <w:bCs/>
        </w:rPr>
        <w:t>dotaci</w:t>
      </w:r>
      <w:r>
        <w:t xml:space="preserve"> z Fondu Zlínského kraje (dále jen „</w:t>
      </w:r>
      <w:r w:rsidRPr="4F3ADAE7">
        <w:rPr>
          <w:b/>
          <w:bCs/>
        </w:rPr>
        <w:t>dotace</w:t>
      </w:r>
      <w:r>
        <w:t xml:space="preserve">“) </w:t>
      </w:r>
      <w:r w:rsidR="003E2F35">
        <w:t xml:space="preserve">ve výši </w:t>
      </w:r>
      <w:proofErr w:type="gramStart"/>
      <w:r w:rsidR="003E2F35">
        <w:t>200.000.000</w:t>
      </w:r>
      <w:r w:rsidR="007551EA">
        <w:t>,--</w:t>
      </w:r>
      <w:proofErr w:type="gramEnd"/>
      <w:r w:rsidR="003E2F35">
        <w:t xml:space="preserve"> </w:t>
      </w:r>
      <w:r>
        <w:t>Kč, (slovy:</w:t>
      </w:r>
      <w:r w:rsidR="006E3B58">
        <w:t> </w:t>
      </w:r>
      <w:proofErr w:type="spellStart"/>
      <w:r w:rsidR="00977F77">
        <w:t>D</w:t>
      </w:r>
      <w:r w:rsidR="003E2F35">
        <w:t>věstěmilionůkorunčeských</w:t>
      </w:r>
      <w:proofErr w:type="spellEnd"/>
      <w:r>
        <w:t xml:space="preserve">), současně však </w:t>
      </w:r>
      <w:r w:rsidRPr="4F3ADAE7">
        <w:rPr>
          <w:b/>
          <w:bCs/>
        </w:rPr>
        <w:t>maximálně</w:t>
      </w:r>
      <w:r w:rsidR="006E3B58" w:rsidRPr="4F3ADAE7">
        <w:rPr>
          <w:b/>
          <w:bCs/>
        </w:rPr>
        <w:t> </w:t>
      </w:r>
      <w:r w:rsidR="0091624D" w:rsidRPr="4F3ADAE7">
        <w:rPr>
          <w:b/>
          <w:bCs/>
        </w:rPr>
        <w:t>3</w:t>
      </w:r>
      <w:r w:rsidR="00A35199" w:rsidRPr="4F3ADAE7">
        <w:rPr>
          <w:b/>
          <w:bCs/>
        </w:rPr>
        <w:t>7</w:t>
      </w:r>
      <w:r w:rsidR="00EE2E03" w:rsidRPr="4F3ADAE7">
        <w:rPr>
          <w:b/>
          <w:bCs/>
        </w:rPr>
        <w:t xml:space="preserve"> </w:t>
      </w:r>
      <w:r w:rsidRPr="4F3ADAE7">
        <w:rPr>
          <w:b/>
          <w:bCs/>
        </w:rPr>
        <w:t>% celkových způsobilých výdajů</w:t>
      </w:r>
      <w:r>
        <w:t xml:space="preserve"> projektu na realizaci projektu:</w:t>
      </w:r>
      <w:r w:rsidR="006E3B58">
        <w:t> </w:t>
      </w:r>
      <w:r w:rsidR="00F37F74">
        <w:t>„UTB – Novostavba</w:t>
      </w:r>
      <w:r w:rsidR="00506DC6">
        <w:t xml:space="preserve"> objektu U1</w:t>
      </w:r>
      <w:r w:rsidR="00F37F74">
        <w:t>“</w:t>
      </w:r>
      <w:r>
        <w:t xml:space="preserve"> (dále jen „</w:t>
      </w:r>
      <w:r w:rsidRPr="4F3ADAE7">
        <w:rPr>
          <w:b/>
          <w:bCs/>
        </w:rPr>
        <w:t>projekt</w:t>
      </w:r>
      <w:r>
        <w:t>“), evidovaného pod registračním číslem žádosti o poskytnutí dotace</w:t>
      </w:r>
      <w:r w:rsidR="006E3B58">
        <w:t> </w:t>
      </w:r>
      <w:r w:rsidR="004F4915">
        <w:t xml:space="preserve">IND/2024/033. </w:t>
      </w:r>
    </w:p>
    <w:p w14:paraId="202AE1C6" w14:textId="79CB0F05" w:rsidR="000D4C11" w:rsidRPr="00EF570B" w:rsidRDefault="000D4C11" w:rsidP="000D4C11">
      <w:pPr>
        <w:pStyle w:val="2rove"/>
      </w:pPr>
      <w:r>
        <w:t xml:space="preserve">Individuální dotace je poskytována za účelem </w:t>
      </w:r>
      <w:r w:rsidRPr="00EF570B">
        <w:rPr>
          <w:rFonts w:eastAsia="Times New Roman" w:cs="Arial"/>
          <w:szCs w:val="20"/>
          <w:lang w:eastAsia="cs-CZ"/>
        </w:rPr>
        <w:t>výstavby nového objektu Fakulty technologické</w:t>
      </w:r>
      <w:r w:rsidR="00977F77">
        <w:rPr>
          <w:rFonts w:eastAsia="Times New Roman" w:cs="Arial"/>
          <w:szCs w:val="20"/>
          <w:lang w:eastAsia="cs-CZ"/>
        </w:rPr>
        <w:t xml:space="preserve"> Univerzity Tomáše Bati ve </w:t>
      </w:r>
      <w:proofErr w:type="gramStart"/>
      <w:r w:rsidR="00977F77">
        <w:rPr>
          <w:rFonts w:eastAsia="Times New Roman" w:cs="Arial"/>
          <w:szCs w:val="20"/>
          <w:lang w:eastAsia="cs-CZ"/>
        </w:rPr>
        <w:t>Zlíně</w:t>
      </w:r>
      <w:r w:rsidRPr="00EF570B">
        <w:rPr>
          <w:rFonts w:eastAsia="Times New Roman" w:cs="Arial"/>
          <w:szCs w:val="20"/>
          <w:lang w:eastAsia="cs-CZ"/>
        </w:rPr>
        <w:t xml:space="preserve"> </w:t>
      </w:r>
      <w:r w:rsidR="00977F77">
        <w:rPr>
          <w:rFonts w:eastAsia="Times New Roman" w:cs="Arial"/>
          <w:szCs w:val="20"/>
          <w:lang w:eastAsia="cs-CZ"/>
        </w:rPr>
        <w:t xml:space="preserve"> (</w:t>
      </w:r>
      <w:proofErr w:type="gramEnd"/>
      <w:r w:rsidR="00977F77">
        <w:rPr>
          <w:rFonts w:eastAsia="Times New Roman" w:cs="Arial"/>
          <w:szCs w:val="20"/>
          <w:lang w:eastAsia="cs-CZ"/>
        </w:rPr>
        <w:t xml:space="preserve">dále také jako „budova U1“) </w:t>
      </w:r>
      <w:r w:rsidRPr="00EF570B">
        <w:rPr>
          <w:rFonts w:eastAsia="Times New Roman" w:cs="Arial"/>
          <w:szCs w:val="20"/>
          <w:lang w:eastAsia="cs-CZ"/>
        </w:rPr>
        <w:t>po předchozí demolici starého objektu U1</w:t>
      </w:r>
      <w:r w:rsidR="00977F77">
        <w:rPr>
          <w:rFonts w:eastAsia="Times New Roman" w:cs="Arial"/>
          <w:szCs w:val="20"/>
          <w:lang w:eastAsia="cs-CZ"/>
        </w:rPr>
        <w:t>, který byl</w:t>
      </w:r>
      <w:r w:rsidR="00BF1703">
        <w:rPr>
          <w:rFonts w:eastAsia="Times New Roman" w:cs="Arial"/>
          <w:szCs w:val="20"/>
          <w:lang w:eastAsia="cs-CZ"/>
        </w:rPr>
        <w:t xml:space="preserve"> </w:t>
      </w:r>
      <w:r w:rsidRPr="00EF570B">
        <w:rPr>
          <w:rFonts w:eastAsia="Times New Roman" w:cs="Arial"/>
          <w:szCs w:val="20"/>
          <w:lang w:eastAsia="cs-CZ"/>
        </w:rPr>
        <w:t xml:space="preserve">v havarijním stavu. </w:t>
      </w:r>
      <w:r w:rsidR="00BF1703">
        <w:rPr>
          <w:rFonts w:eastAsia="Times New Roman" w:cs="Arial"/>
          <w:szCs w:val="20"/>
          <w:lang w:eastAsia="cs-CZ"/>
        </w:rPr>
        <w:t>Nová budova</w:t>
      </w:r>
      <w:r w:rsidR="00977F77">
        <w:rPr>
          <w:rFonts w:eastAsia="Times New Roman" w:cs="Arial"/>
          <w:szCs w:val="20"/>
          <w:lang w:eastAsia="cs-CZ"/>
        </w:rPr>
        <w:t xml:space="preserve"> U1</w:t>
      </w:r>
      <w:r w:rsidR="00BF1703">
        <w:rPr>
          <w:rFonts w:eastAsia="Times New Roman" w:cs="Arial"/>
          <w:szCs w:val="20"/>
          <w:lang w:eastAsia="cs-CZ"/>
        </w:rPr>
        <w:t xml:space="preserve"> b</w:t>
      </w:r>
      <w:r w:rsidRPr="00EF570B">
        <w:rPr>
          <w:rFonts w:eastAsia="Times New Roman" w:cs="Arial"/>
          <w:szCs w:val="20"/>
          <w:lang w:eastAsia="cs-CZ"/>
        </w:rPr>
        <w:t>ude sloužit k pokrytí výukových a vědeckovýzkumných potřeb Fakulty technologické</w:t>
      </w:r>
      <w:r w:rsidR="00977F77">
        <w:rPr>
          <w:rFonts w:eastAsia="Times New Roman" w:cs="Arial"/>
          <w:szCs w:val="20"/>
          <w:lang w:eastAsia="cs-CZ"/>
        </w:rPr>
        <w:t xml:space="preserve"> Univerzity Tomáše Bati ve Zlíně</w:t>
      </w:r>
      <w:r w:rsidR="00BF1703">
        <w:rPr>
          <w:rFonts w:eastAsia="Times New Roman" w:cs="Arial"/>
          <w:szCs w:val="20"/>
          <w:lang w:eastAsia="cs-CZ"/>
        </w:rPr>
        <w:t>, cílem je obnova funkčního celku výukově-technologického kampusu</w:t>
      </w:r>
      <w:r w:rsidR="00C23019">
        <w:rPr>
          <w:rFonts w:eastAsia="Times New Roman" w:cs="Arial"/>
          <w:szCs w:val="20"/>
          <w:lang w:eastAsia="cs-CZ"/>
        </w:rPr>
        <w:t xml:space="preserve">, který </w:t>
      </w:r>
      <w:proofErr w:type="gramStart"/>
      <w:r w:rsidR="00C23019">
        <w:rPr>
          <w:rFonts w:eastAsia="Times New Roman" w:cs="Arial"/>
          <w:szCs w:val="20"/>
          <w:lang w:eastAsia="cs-CZ"/>
        </w:rPr>
        <w:t>tvoří</w:t>
      </w:r>
      <w:proofErr w:type="gramEnd"/>
      <w:r w:rsidR="00C23019">
        <w:rPr>
          <w:rFonts w:eastAsia="Times New Roman" w:cs="Arial"/>
          <w:szCs w:val="20"/>
          <w:lang w:eastAsia="cs-CZ"/>
        </w:rPr>
        <w:t xml:space="preserve"> stávající budova U15</w:t>
      </w:r>
      <w:r w:rsidR="00977F77">
        <w:rPr>
          <w:rFonts w:eastAsia="Times New Roman" w:cs="Arial"/>
          <w:szCs w:val="20"/>
          <w:lang w:eastAsia="cs-CZ"/>
        </w:rPr>
        <w:t xml:space="preserve"> stojící na adrese Vavrečkova 5669, Zlín,</w:t>
      </w:r>
      <w:r w:rsidR="00C23019">
        <w:rPr>
          <w:rFonts w:eastAsia="Times New Roman" w:cs="Arial"/>
          <w:szCs w:val="20"/>
          <w:lang w:eastAsia="cs-CZ"/>
        </w:rPr>
        <w:t xml:space="preserve"> a předmětná budova U1. </w:t>
      </w:r>
      <w:r w:rsidR="002D4DF8" w:rsidRPr="002D4DF8">
        <w:rPr>
          <w:rFonts w:eastAsia="Times New Roman" w:cs="Arial"/>
          <w:szCs w:val="20"/>
          <w:lang w:eastAsia="cs-CZ"/>
        </w:rPr>
        <w:t xml:space="preserve">Tento výukově-technologický kampus zajistí standard nezbytný pro realizaci bakalářských, navazujících magisterských i doktorských studijních programů v oblastech vzdělávání dle Nařízení vlády č. 275/2016 Sb., konkrétně Chemie; Strojírenství, </w:t>
      </w:r>
      <w:r w:rsidR="009806CB">
        <w:rPr>
          <w:rFonts w:eastAsia="Times New Roman" w:cs="Arial"/>
          <w:szCs w:val="20"/>
          <w:lang w:eastAsia="cs-CZ"/>
        </w:rPr>
        <w:t>t</w:t>
      </w:r>
      <w:r w:rsidR="002C32AC">
        <w:rPr>
          <w:rFonts w:eastAsia="Times New Roman" w:cs="Arial"/>
          <w:szCs w:val="20"/>
          <w:lang w:eastAsia="cs-CZ"/>
        </w:rPr>
        <w:t xml:space="preserve">echnologie a </w:t>
      </w:r>
      <w:r w:rsidR="002D4DF8" w:rsidRPr="002D4DF8">
        <w:rPr>
          <w:rFonts w:eastAsia="Times New Roman" w:cs="Arial"/>
          <w:szCs w:val="20"/>
          <w:lang w:eastAsia="cs-CZ"/>
        </w:rPr>
        <w:t>materiály; Zdravotnické obory; Potravinářství.</w:t>
      </w:r>
    </w:p>
    <w:p w14:paraId="3A4A3B56" w14:textId="58301E6C" w:rsidR="00C94BBA" w:rsidRDefault="00C94BBA" w:rsidP="00E82920">
      <w:pPr>
        <w:pStyle w:val="2rove"/>
        <w:spacing w:line="276" w:lineRule="auto"/>
      </w:pPr>
      <w:r>
        <w:t>Investiční akce výstavby budovy U1 bude realizována v období 0</w:t>
      </w:r>
      <w:r w:rsidR="008102B7">
        <w:t>9</w:t>
      </w:r>
      <w:r>
        <w:t>/</w:t>
      </w:r>
      <w:proofErr w:type="gramStart"/>
      <w:r>
        <w:t xml:space="preserve">2024 – </w:t>
      </w:r>
      <w:r w:rsidR="008102B7">
        <w:t>12</w:t>
      </w:r>
      <w:proofErr w:type="gramEnd"/>
      <w:r>
        <w:t>/2026.</w:t>
      </w:r>
    </w:p>
    <w:p w14:paraId="760F58C1" w14:textId="16A2822A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</w:t>
      </w:r>
      <w:r w:rsidR="00D427C0">
        <w:t>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16DF8F96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004C85">
        <w:t xml:space="preserve"> 1. </w:t>
      </w:r>
      <w:r w:rsidR="00905322">
        <w:t>9</w:t>
      </w:r>
      <w:r w:rsidR="00004C85">
        <w:t>. 2024</w:t>
      </w:r>
      <w:r w:rsidR="00EC5183">
        <w:t>.</w:t>
      </w:r>
      <w:r w:rsidR="00B21DB2">
        <w:t xml:space="preserve"> </w:t>
      </w:r>
    </w:p>
    <w:p w14:paraId="4BA5A893" w14:textId="736839DB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004C85">
        <w:t>31. 12. 2026</w:t>
      </w:r>
      <w:r w:rsidR="00D427C0">
        <w:t>.</w:t>
      </w:r>
    </w:p>
    <w:p w14:paraId="07DE0DEA" w14:textId="135A58F1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lastRenderedPageBreak/>
        <w:t>Monitorovací indikátory</w:t>
      </w:r>
    </w:p>
    <w:p w14:paraId="50F1FF48" w14:textId="0D618472" w:rsid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6EF26F95" w14:textId="77777777" w:rsidR="00B80EA5" w:rsidRPr="008E7B6E" w:rsidRDefault="00B80EA5" w:rsidP="00B80EA5">
      <w:pPr>
        <w:pStyle w:val="2rove"/>
        <w:numPr>
          <w:ilvl w:val="0"/>
          <w:numId w:val="0"/>
        </w:numPr>
        <w:spacing w:line="276" w:lineRule="auto"/>
        <w:ind w:left="567"/>
      </w:pPr>
    </w:p>
    <w:tbl>
      <w:tblPr>
        <w:tblW w:w="477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"/>
        <w:gridCol w:w="5051"/>
        <w:gridCol w:w="1685"/>
        <w:gridCol w:w="1428"/>
        <w:gridCol w:w="10"/>
      </w:tblGrid>
      <w:tr w:rsidR="008E7B6E" w:rsidRPr="001426D2" w14:paraId="6D539567" w14:textId="77777777" w:rsidTr="003421D1">
        <w:trPr>
          <w:trHeight w:hRule="exact" w:val="243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3421D1">
        <w:trPr>
          <w:gridAfter w:val="1"/>
          <w:wAfter w:w="6" w:type="pct"/>
          <w:trHeight w:hRule="exact" w:val="549"/>
        </w:trPr>
        <w:tc>
          <w:tcPr>
            <w:tcW w:w="276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CE0C4E" w:rsidRPr="001426D2" w14:paraId="61D86D70" w14:textId="77777777" w:rsidTr="003421D1">
        <w:trPr>
          <w:gridAfter w:val="1"/>
          <w:wAfter w:w="6" w:type="pct"/>
          <w:trHeight w:hRule="exact" w:val="291"/>
        </w:trPr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F8BF75B" w:rsidR="00CE0C4E" w:rsidRPr="001426D2" w:rsidRDefault="00CA7158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919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08958EEC" w:rsidR="00CE0C4E" w:rsidRPr="00CA7158" w:rsidRDefault="00CE0C4E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>Obestavěný prostor</w:t>
            </w:r>
          </w:p>
        </w:tc>
        <w:tc>
          <w:tcPr>
            <w:tcW w:w="974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34C711A6" w:rsidR="00CE0C4E" w:rsidRPr="00CA7158" w:rsidRDefault="00CE0C4E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>m</w:t>
            </w:r>
            <w:r w:rsidRPr="00CA7158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825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24A47180" w:rsidR="00CE0C4E" w:rsidRPr="00CA7158" w:rsidRDefault="00CE0C4E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 xml:space="preserve">38.572 </w:t>
            </w:r>
          </w:p>
        </w:tc>
      </w:tr>
      <w:tr w:rsidR="00CE0C4E" w:rsidRPr="001426D2" w14:paraId="17E68272" w14:textId="77777777" w:rsidTr="003421D1">
        <w:trPr>
          <w:gridAfter w:val="1"/>
          <w:wAfter w:w="6" w:type="pct"/>
          <w:trHeight w:hRule="exact" w:val="291"/>
        </w:trPr>
        <w:tc>
          <w:tcPr>
            <w:tcW w:w="276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68867E6B" w:rsidR="00CE0C4E" w:rsidRPr="001426D2" w:rsidRDefault="00CA7158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2ECD6670" w:rsidR="00CE0C4E" w:rsidRPr="00CA7158" w:rsidRDefault="00CE0C4E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>Plocha užitková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588F7C32" w:rsidR="00CE0C4E" w:rsidRPr="00CA7158" w:rsidRDefault="00CE0C4E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>m</w:t>
            </w:r>
            <w:r w:rsidRPr="00CA7158"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74EB670C" w:rsidR="00CE0C4E" w:rsidRPr="00CA7158" w:rsidRDefault="00CE0C4E" w:rsidP="00CE0C4E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 xml:space="preserve">8.330 </w:t>
            </w:r>
          </w:p>
        </w:tc>
      </w:tr>
      <w:tr w:rsidR="0012227A" w:rsidRPr="001426D2" w14:paraId="1D176CE0" w14:textId="77777777" w:rsidTr="003421D1">
        <w:trPr>
          <w:gridAfter w:val="1"/>
          <w:wAfter w:w="6" w:type="pct"/>
          <w:trHeight w:hRule="exact" w:val="291"/>
        </w:trPr>
        <w:tc>
          <w:tcPr>
            <w:tcW w:w="276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0AACB4B4" w:rsidR="0012227A" w:rsidRPr="001426D2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52D7B8" w14:textId="4D241941" w:rsidR="0012227A" w:rsidRPr="00CA7158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>Počet nových učeben a laboratoří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A97DF" w14:textId="7CE9A76E" w:rsidR="0012227A" w:rsidRPr="00CA7158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>ks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91105C6" w14:textId="2AC9187B" w:rsidR="0012227A" w:rsidRPr="00CA7158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Cs w:val="20"/>
              </w:rPr>
            </w:pPr>
            <w:r w:rsidRPr="00CA7158">
              <w:rPr>
                <w:rFonts w:cs="Arial"/>
                <w:szCs w:val="20"/>
              </w:rPr>
              <w:t>40</w:t>
            </w:r>
          </w:p>
        </w:tc>
      </w:tr>
      <w:tr w:rsidR="0012227A" w:rsidRPr="001426D2" w14:paraId="4D0AF479" w14:textId="77777777" w:rsidTr="00CD5D7B">
        <w:trPr>
          <w:gridAfter w:val="1"/>
          <w:wAfter w:w="6" w:type="pct"/>
          <w:trHeight w:hRule="exact" w:val="610"/>
        </w:trPr>
        <w:tc>
          <w:tcPr>
            <w:tcW w:w="276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93E9BA" w14:textId="1E9D0B19" w:rsidR="0012227A" w:rsidRPr="001426D2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7A68E6" w14:textId="06624C8D" w:rsidR="0012227A" w:rsidRPr="00CA7158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CA7158">
              <w:rPr>
                <w:rFonts w:cs="Arial"/>
                <w:szCs w:val="20"/>
              </w:rPr>
              <w:t xml:space="preserve">Počet nově vybudovaných míst </w:t>
            </w:r>
            <w:r w:rsidR="003421D1">
              <w:rPr>
                <w:rFonts w:cs="Arial"/>
                <w:szCs w:val="20"/>
              </w:rPr>
              <w:t>v</w:t>
            </w:r>
            <w:r w:rsidR="00CD5D7B">
              <w:rPr>
                <w:rFonts w:cs="Arial"/>
                <w:szCs w:val="20"/>
              </w:rPr>
              <w:t> </w:t>
            </w:r>
            <w:r w:rsidR="003421D1">
              <w:rPr>
                <w:rFonts w:cs="Arial"/>
                <w:szCs w:val="20"/>
              </w:rPr>
              <w:t>učebnách</w:t>
            </w:r>
            <w:r w:rsidR="00CD5D7B">
              <w:rPr>
                <w:rFonts w:cs="Arial"/>
                <w:szCs w:val="20"/>
              </w:rPr>
              <w:t xml:space="preserve"> a laboratořích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1738B6" w14:textId="57BC599B" w:rsidR="0012227A" w:rsidRPr="00CA7158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CA7158">
              <w:rPr>
                <w:rFonts w:cs="Arial"/>
                <w:szCs w:val="20"/>
              </w:rPr>
              <w:t>osob</w:t>
            </w:r>
            <w:r>
              <w:rPr>
                <w:rFonts w:cs="Arial"/>
                <w:szCs w:val="20"/>
              </w:rPr>
              <w:t>y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6E7934F" w14:textId="2D3D8021" w:rsidR="0012227A" w:rsidRPr="00CA7158" w:rsidRDefault="0012227A" w:rsidP="0012227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CA7158">
              <w:rPr>
                <w:rFonts w:cs="Arial"/>
                <w:szCs w:val="20"/>
              </w:rPr>
              <w:t>540</w:t>
            </w:r>
          </w:p>
        </w:tc>
      </w:tr>
    </w:tbl>
    <w:p w14:paraId="5A0A131C" w14:textId="77777777" w:rsidR="00CA7158" w:rsidRDefault="00CA7158" w:rsidP="00CA7158">
      <w:pPr>
        <w:pStyle w:val="2rove"/>
        <w:numPr>
          <w:ilvl w:val="0"/>
          <w:numId w:val="0"/>
        </w:numPr>
        <w:ind w:left="567"/>
      </w:pPr>
    </w:p>
    <w:p w14:paraId="26B88F3D" w14:textId="7D209760" w:rsidR="008E7B6E" w:rsidRDefault="00530D1A" w:rsidP="000417D8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="00CA7158">
        <w:rPr>
          <w:b/>
        </w:rPr>
        <w:t xml:space="preserve">, </w:t>
      </w:r>
      <w:r w:rsidRPr="0013520D">
        <w:t>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</w:t>
      </w:r>
      <w:r w:rsidR="00F575F2">
        <w:t>,</w:t>
      </w:r>
      <w:r w:rsidR="000417D8" w:rsidRPr="000417D8">
        <w:t xml:space="preserve"> se jedná o podstatné </w:t>
      </w:r>
      <w:r w:rsidR="000417D8" w:rsidRPr="00D427C0">
        <w:t>nenaplnění monitorovacích indikátorů.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58AC5221" w14:textId="45BD4E7E" w:rsidR="0076293F" w:rsidRPr="004C67F5" w:rsidRDefault="0076293F" w:rsidP="4F3ADAE7">
      <w:pPr>
        <w:pStyle w:val="2rove"/>
        <w:spacing w:line="276" w:lineRule="auto"/>
        <w:rPr>
          <w:b/>
          <w:bCs/>
        </w:rPr>
      </w:pPr>
      <w:r>
        <w:t xml:space="preserve">Poskytnutí dotace je podmíněno </w:t>
      </w:r>
      <w:r w:rsidR="622DE4BE">
        <w:t xml:space="preserve">nabytím účinnosti </w:t>
      </w:r>
      <w:r>
        <w:t xml:space="preserve">Prováděcí smlouvy k Dohodě o dlouhodobé spolupráci mezi smluvními stranami, jejímž předmětem jsou </w:t>
      </w:r>
      <w:r w:rsidR="007551EA">
        <w:t xml:space="preserve">závazky příjemce vůči </w:t>
      </w:r>
      <w:r>
        <w:t>poskytovatel</w:t>
      </w:r>
      <w:r w:rsidR="007551EA">
        <w:t>i</w:t>
      </w:r>
      <w:r>
        <w:t xml:space="preserve"> v oblasti vzdělávání. </w:t>
      </w:r>
    </w:p>
    <w:p w14:paraId="0D48150C" w14:textId="7D379717" w:rsidR="006F13D9" w:rsidRPr="003D6A1A" w:rsidRDefault="00530D1A" w:rsidP="004C67F5">
      <w:pPr>
        <w:pStyle w:val="2rove"/>
        <w:numPr>
          <w:ilvl w:val="0"/>
          <w:numId w:val="0"/>
        </w:numPr>
        <w:spacing w:line="276" w:lineRule="auto"/>
        <w:ind w:left="567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51C4846D" w14:textId="149EE269" w:rsidR="00666C75" w:rsidRPr="0006774F" w:rsidRDefault="4AD9B3AF" w:rsidP="4F3ADAE7">
      <w:pPr>
        <w:pStyle w:val="3rove-kodstrann"/>
        <w:numPr>
          <w:ilvl w:val="1"/>
          <w:numId w:val="1"/>
        </w:numPr>
      </w:pPr>
      <w:r w:rsidRPr="0006774F">
        <w:rPr>
          <w:b/>
          <w:bCs/>
        </w:rPr>
        <w:t>První část</w:t>
      </w:r>
      <w:r w:rsidRPr="0006774F">
        <w:t xml:space="preserve"> dotace</w:t>
      </w:r>
      <w:r w:rsidR="00A2646B">
        <w:t xml:space="preserve"> (záloha)</w:t>
      </w:r>
      <w:r w:rsidRPr="0006774F">
        <w:t xml:space="preserve"> ve </w:t>
      </w:r>
      <w:r w:rsidRPr="0006774F">
        <w:rPr>
          <w:b/>
          <w:bCs/>
        </w:rPr>
        <w:t>výši </w:t>
      </w:r>
      <w:proofErr w:type="gramStart"/>
      <w:r w:rsidR="67A3DF25" w:rsidRPr="0006774F">
        <w:rPr>
          <w:b/>
          <w:bCs/>
        </w:rPr>
        <w:t>10.000.000</w:t>
      </w:r>
      <w:r w:rsidR="007551EA">
        <w:rPr>
          <w:b/>
          <w:bCs/>
        </w:rPr>
        <w:t>,--</w:t>
      </w:r>
      <w:proofErr w:type="gramEnd"/>
      <w:r w:rsidRPr="0006774F">
        <w:rPr>
          <w:b/>
          <w:bCs/>
        </w:rPr>
        <w:t xml:space="preserve"> Kč</w:t>
      </w:r>
      <w:r w:rsidRPr="0006774F">
        <w:t xml:space="preserve"> (slovy: </w:t>
      </w:r>
      <w:proofErr w:type="spellStart"/>
      <w:r w:rsidR="1DCD2BE1" w:rsidRPr="0006774F">
        <w:t>Desetmilionůkorunčeských</w:t>
      </w:r>
      <w:proofErr w:type="spellEnd"/>
      <w:r w:rsidRPr="0006774F">
        <w:t>) bude vyplacena</w:t>
      </w:r>
      <w:r w:rsidR="0C150259" w:rsidRPr="0006774F">
        <w:t xml:space="preserve"> </w:t>
      </w:r>
      <w:r w:rsidR="43A7B0BC" w:rsidRPr="0006774F">
        <w:t xml:space="preserve">do 30 pracovních dnů </w:t>
      </w:r>
      <w:r w:rsidR="7A2C3E68" w:rsidRPr="0006774F">
        <w:t xml:space="preserve">po </w:t>
      </w:r>
      <w:r w:rsidR="005487DE" w:rsidRPr="0006774F">
        <w:t xml:space="preserve">schválení </w:t>
      </w:r>
      <w:r w:rsidR="00624DD4">
        <w:t xml:space="preserve">první </w:t>
      </w:r>
      <w:r w:rsidR="7A2C3E68" w:rsidRPr="0006774F">
        <w:t xml:space="preserve">průběžné zprávy, kterou je příjemce dotace povinen doložit v termínu do </w:t>
      </w:r>
      <w:r w:rsidR="7A2C3E68" w:rsidRPr="0006774F">
        <w:rPr>
          <w:b/>
          <w:bCs/>
        </w:rPr>
        <w:t>1</w:t>
      </w:r>
      <w:r w:rsidR="009D424A">
        <w:rPr>
          <w:b/>
          <w:bCs/>
        </w:rPr>
        <w:t>5</w:t>
      </w:r>
      <w:r w:rsidR="7A2C3E68" w:rsidRPr="0006774F">
        <w:rPr>
          <w:b/>
          <w:bCs/>
        </w:rPr>
        <w:t>. 11. 2024</w:t>
      </w:r>
      <w:r w:rsidR="7A2C3E68" w:rsidRPr="0006774F">
        <w:t xml:space="preserve">. </w:t>
      </w:r>
    </w:p>
    <w:p w14:paraId="1703F281" w14:textId="1E0BDF11" w:rsidR="00666C75" w:rsidRPr="0006774F" w:rsidRDefault="00216BC4" w:rsidP="4F3ADAE7">
      <w:pPr>
        <w:pStyle w:val="3rove-kodstrann"/>
        <w:numPr>
          <w:ilvl w:val="1"/>
          <w:numId w:val="1"/>
        </w:numPr>
      </w:pPr>
      <w:r w:rsidRPr="0006774F">
        <w:rPr>
          <w:b/>
          <w:bCs/>
        </w:rPr>
        <w:t>Druhá část</w:t>
      </w:r>
      <w:r w:rsidRPr="0006774F">
        <w:t xml:space="preserve"> dotace </w:t>
      </w:r>
      <w:r w:rsidR="00A2646B">
        <w:t xml:space="preserve">(záloha) </w:t>
      </w:r>
      <w:r w:rsidR="00525C5F" w:rsidRPr="0006774F">
        <w:rPr>
          <w:b/>
          <w:bCs/>
        </w:rPr>
        <w:t xml:space="preserve">ve výši </w:t>
      </w:r>
      <w:proofErr w:type="gramStart"/>
      <w:r w:rsidR="00525C5F" w:rsidRPr="0006774F">
        <w:rPr>
          <w:b/>
          <w:bCs/>
        </w:rPr>
        <w:t>90.000.000</w:t>
      </w:r>
      <w:r w:rsidR="007551EA">
        <w:rPr>
          <w:b/>
          <w:bCs/>
        </w:rPr>
        <w:t>,--</w:t>
      </w:r>
      <w:proofErr w:type="gramEnd"/>
      <w:r w:rsidR="00525C5F" w:rsidRPr="0006774F">
        <w:rPr>
          <w:b/>
          <w:bCs/>
        </w:rPr>
        <w:t xml:space="preserve"> Kč </w:t>
      </w:r>
      <w:r w:rsidR="003209DD" w:rsidRPr="0006774F">
        <w:t>(</w:t>
      </w:r>
      <w:r w:rsidR="00306FC1" w:rsidRPr="0006774F">
        <w:t>slovy</w:t>
      </w:r>
      <w:r w:rsidR="003209DD" w:rsidRPr="0006774F">
        <w:t>:</w:t>
      </w:r>
      <w:r w:rsidR="00844EFD" w:rsidRPr="0006774F">
        <w:t xml:space="preserve"> </w:t>
      </w:r>
      <w:proofErr w:type="spellStart"/>
      <w:r w:rsidR="00525C5F" w:rsidRPr="0006774F">
        <w:t>D</w:t>
      </w:r>
      <w:r w:rsidR="00306FC1" w:rsidRPr="0006774F">
        <w:t>evadesátmilionůkorunčeských</w:t>
      </w:r>
      <w:proofErr w:type="spellEnd"/>
      <w:r w:rsidR="003209DD" w:rsidRPr="0006774F">
        <w:t xml:space="preserve">) bude vyplacena </w:t>
      </w:r>
      <w:r w:rsidR="6F9E318F" w:rsidRPr="0006774F">
        <w:t>do 30 pracovních dnů po schválení</w:t>
      </w:r>
      <w:r w:rsidR="00624DD4">
        <w:t xml:space="preserve"> druhé</w:t>
      </w:r>
      <w:r w:rsidR="6F9E318F" w:rsidRPr="0006774F">
        <w:t xml:space="preserve"> průběžné zprávy, kterou je příjemce dotace povinen doložit v termínu do </w:t>
      </w:r>
      <w:r w:rsidR="00DF0960" w:rsidRPr="0006774F">
        <w:rPr>
          <w:b/>
          <w:bCs/>
        </w:rPr>
        <w:t xml:space="preserve">15. </w:t>
      </w:r>
      <w:r w:rsidR="00C4101E" w:rsidRPr="0006774F">
        <w:rPr>
          <w:b/>
          <w:bCs/>
        </w:rPr>
        <w:t>8</w:t>
      </w:r>
      <w:r w:rsidR="6F9E318F" w:rsidRPr="0006774F">
        <w:rPr>
          <w:b/>
          <w:bCs/>
        </w:rPr>
        <w:t>.</w:t>
      </w:r>
      <w:r w:rsidR="008B4EDC" w:rsidRPr="0006774F">
        <w:rPr>
          <w:b/>
          <w:bCs/>
        </w:rPr>
        <w:t xml:space="preserve"> </w:t>
      </w:r>
      <w:r w:rsidR="6F9E318F" w:rsidRPr="0006774F">
        <w:rPr>
          <w:b/>
          <w:bCs/>
        </w:rPr>
        <w:t>202</w:t>
      </w:r>
      <w:r w:rsidR="3850BEB4" w:rsidRPr="0006774F">
        <w:rPr>
          <w:b/>
          <w:bCs/>
        </w:rPr>
        <w:t>5</w:t>
      </w:r>
      <w:r w:rsidR="00666C75" w:rsidRPr="0006774F">
        <w:t xml:space="preserve">. </w:t>
      </w:r>
    </w:p>
    <w:p w14:paraId="20BCC5A5" w14:textId="0A790B2C" w:rsidR="003209DD" w:rsidRPr="0006774F" w:rsidRDefault="00666C75" w:rsidP="4F3ADAE7">
      <w:pPr>
        <w:pStyle w:val="3rove-kodstrann"/>
        <w:numPr>
          <w:ilvl w:val="1"/>
          <w:numId w:val="1"/>
        </w:numPr>
      </w:pPr>
      <w:r w:rsidRPr="0006774F">
        <w:rPr>
          <w:b/>
          <w:bCs/>
        </w:rPr>
        <w:t xml:space="preserve">Třetí část </w:t>
      </w:r>
      <w:r w:rsidRPr="0006774F">
        <w:t xml:space="preserve">dotace </w:t>
      </w:r>
      <w:r w:rsidR="00A2646B">
        <w:t xml:space="preserve">(záloha) </w:t>
      </w:r>
      <w:r w:rsidR="00525C5F" w:rsidRPr="0006774F">
        <w:rPr>
          <w:b/>
          <w:bCs/>
        </w:rPr>
        <w:t xml:space="preserve">ve výši </w:t>
      </w:r>
      <w:proofErr w:type="gramStart"/>
      <w:r w:rsidR="00525C5F" w:rsidRPr="0006774F">
        <w:rPr>
          <w:b/>
          <w:bCs/>
        </w:rPr>
        <w:t>80.000.000</w:t>
      </w:r>
      <w:r w:rsidR="007551EA">
        <w:rPr>
          <w:b/>
          <w:bCs/>
        </w:rPr>
        <w:t>,--</w:t>
      </w:r>
      <w:proofErr w:type="gramEnd"/>
      <w:r w:rsidR="00525C5F" w:rsidRPr="0006774F">
        <w:rPr>
          <w:b/>
          <w:bCs/>
        </w:rPr>
        <w:t xml:space="preserve"> Kč</w:t>
      </w:r>
      <w:r w:rsidR="00525C5F" w:rsidRPr="0006774F">
        <w:t xml:space="preserve"> </w:t>
      </w:r>
      <w:r w:rsidRPr="0006774F">
        <w:t>(slov</w:t>
      </w:r>
      <w:r w:rsidR="00525C5F" w:rsidRPr="0006774F">
        <w:t>y</w:t>
      </w:r>
      <w:r w:rsidRPr="0006774F">
        <w:t>:</w:t>
      </w:r>
      <w:r w:rsidR="00525C5F" w:rsidRPr="0006774F">
        <w:t xml:space="preserve"> </w:t>
      </w:r>
      <w:proofErr w:type="spellStart"/>
      <w:r w:rsidR="00525C5F" w:rsidRPr="0006774F">
        <w:t>O</w:t>
      </w:r>
      <w:r w:rsidRPr="0006774F">
        <w:t>smdesátmilionůkorunčeských</w:t>
      </w:r>
      <w:proofErr w:type="spellEnd"/>
      <w:r w:rsidRPr="0006774F">
        <w:t>)</w:t>
      </w:r>
      <w:r w:rsidR="006239F6" w:rsidRPr="0006774F">
        <w:t xml:space="preserve"> bude vyplacena </w:t>
      </w:r>
      <w:r w:rsidR="154AC038" w:rsidRPr="0006774F">
        <w:t>d</w:t>
      </w:r>
      <w:r w:rsidR="1E1FC783" w:rsidRPr="0006774F">
        <w:t xml:space="preserve">o 30 pracovních dnů po schválení </w:t>
      </w:r>
      <w:r w:rsidR="00624DD4">
        <w:t xml:space="preserve">třetí </w:t>
      </w:r>
      <w:r w:rsidR="1E1FC783" w:rsidRPr="0006774F">
        <w:t xml:space="preserve">průběžné zprávy, kterou je příjemce dotace povinen doložit v termínu </w:t>
      </w:r>
      <w:r w:rsidR="00155EF6" w:rsidRPr="0006774F">
        <w:rPr>
          <w:b/>
          <w:bCs/>
        </w:rPr>
        <w:t xml:space="preserve">do </w:t>
      </w:r>
      <w:r w:rsidR="00C4101E" w:rsidRPr="0006774F">
        <w:rPr>
          <w:b/>
          <w:bCs/>
        </w:rPr>
        <w:t>15</w:t>
      </w:r>
      <w:r w:rsidR="00155EF6" w:rsidRPr="0006774F">
        <w:rPr>
          <w:b/>
          <w:bCs/>
        </w:rPr>
        <w:t xml:space="preserve">. </w:t>
      </w:r>
      <w:r w:rsidR="4B8D51C2" w:rsidRPr="0006774F">
        <w:rPr>
          <w:b/>
          <w:bCs/>
        </w:rPr>
        <w:t>5</w:t>
      </w:r>
      <w:r w:rsidR="00155EF6" w:rsidRPr="0006774F">
        <w:rPr>
          <w:b/>
          <w:bCs/>
        </w:rPr>
        <w:t>. 2026</w:t>
      </w:r>
      <w:r w:rsidR="009A3617" w:rsidRPr="0006774F">
        <w:t>.</w:t>
      </w:r>
      <w:r w:rsidR="1C94B99D" w:rsidRPr="0006774F">
        <w:t xml:space="preserve"> </w:t>
      </w:r>
    </w:p>
    <w:p w14:paraId="3937EEF5" w14:textId="6069CB84" w:rsidR="003209DD" w:rsidRPr="0006774F" w:rsidRDefault="00BD13B2" w:rsidP="008971F6">
      <w:pPr>
        <w:pStyle w:val="2rove"/>
        <w:numPr>
          <w:ilvl w:val="1"/>
          <w:numId w:val="0"/>
        </w:numPr>
        <w:spacing w:line="276" w:lineRule="auto"/>
        <w:ind w:left="708"/>
      </w:pPr>
      <w:r>
        <w:t>Každá p</w:t>
      </w:r>
      <w:r w:rsidR="1C94B99D">
        <w:t>růběžná zpráva bude vždy zpracována na formuláři závěrečné zprávy dle odst. 4.5 tohoto článku</w:t>
      </w:r>
      <w:r w:rsidR="6854E3DA">
        <w:t>. Průběžná zpráva bude obsahovat výč</w:t>
      </w:r>
      <w:r w:rsidR="6EBB7A3E">
        <w:t>et</w:t>
      </w:r>
      <w:r w:rsidR="6854E3DA">
        <w:t xml:space="preserve"> </w:t>
      </w:r>
      <w:r w:rsidR="39E4A518">
        <w:t xml:space="preserve">doposud </w:t>
      </w:r>
      <w:r w:rsidR="39A95A16">
        <w:t xml:space="preserve">uskutečněných </w:t>
      </w:r>
      <w:r w:rsidR="6854E3DA">
        <w:t>způsobilých výdajů projektu, a předložení všech potřebných dokladů</w:t>
      </w:r>
      <w:r w:rsidR="008971F6">
        <w:t xml:space="preserve"> (dále také jako „</w:t>
      </w:r>
      <w:r w:rsidR="008971F6" w:rsidRPr="00624DD4">
        <w:rPr>
          <w:b/>
        </w:rPr>
        <w:t>průběžná zpráva</w:t>
      </w:r>
      <w:r w:rsidR="008971F6">
        <w:t>“)</w:t>
      </w:r>
      <w:r w:rsidR="1C94B99D">
        <w:t>. Proces schvalování průběžné zprávy ze strany poskytovatele se řídí</w:t>
      </w:r>
      <w:r w:rsidR="0070346F">
        <w:t xml:space="preserve"> </w:t>
      </w:r>
      <w:r w:rsidR="1C94B99D">
        <w:t>ustanovením odst. 4.6. tohoto článku.</w:t>
      </w:r>
      <w:r w:rsidR="1CA52495">
        <w:t xml:space="preserve"> </w:t>
      </w:r>
      <w:r w:rsidR="00E62D77">
        <w:t xml:space="preserve">Jednotlivá </w:t>
      </w:r>
      <w:r w:rsidR="1CA52495">
        <w:t xml:space="preserve">část dotace </w:t>
      </w:r>
      <w:r w:rsidR="097EC756">
        <w:t>b</w:t>
      </w:r>
      <w:r w:rsidR="1CA52495">
        <w:t xml:space="preserve">ude vyplacena pouze tehdy, pokud průběžnou zprávou bude </w:t>
      </w:r>
      <w:r w:rsidR="50C376C4">
        <w:t xml:space="preserve">příjemcem </w:t>
      </w:r>
      <w:r w:rsidR="1CA52495">
        <w:t>prokáz</w:t>
      </w:r>
      <w:r w:rsidR="2AB086DF">
        <w:t>á</w:t>
      </w:r>
      <w:r w:rsidR="1CA52495">
        <w:t>n</w:t>
      </w:r>
      <w:r w:rsidR="7BE41DE7">
        <w:t>a úhrada</w:t>
      </w:r>
      <w:r w:rsidR="39C35F32">
        <w:t xml:space="preserve"> </w:t>
      </w:r>
      <w:r w:rsidR="7BE41DE7">
        <w:t>výdajů</w:t>
      </w:r>
      <w:r w:rsidR="30E9E067">
        <w:t xml:space="preserve"> </w:t>
      </w:r>
      <w:r w:rsidR="62EED5AC">
        <w:t>podpořen</w:t>
      </w:r>
      <w:r w:rsidR="139DF1B4">
        <w:t>ého</w:t>
      </w:r>
      <w:r w:rsidR="62EED5AC">
        <w:t xml:space="preserve"> projekt</w:t>
      </w:r>
      <w:r w:rsidR="4AA3C1F3">
        <w:t>u</w:t>
      </w:r>
      <w:r w:rsidR="62EED5AC">
        <w:t xml:space="preserve"> </w:t>
      </w:r>
      <w:r w:rsidR="7BE41DE7">
        <w:t xml:space="preserve">minimálně ve výši požadované </w:t>
      </w:r>
      <w:r w:rsidR="4BD10CFE">
        <w:t xml:space="preserve">části </w:t>
      </w:r>
      <w:r w:rsidR="7BE41DE7">
        <w:t>dotace.</w:t>
      </w:r>
    </w:p>
    <w:p w14:paraId="4E930D23" w14:textId="46A36D23" w:rsidR="003209DD" w:rsidRPr="002E7663" w:rsidRDefault="003209DD" w:rsidP="4F3ADAE7">
      <w:pPr>
        <w:pStyle w:val="3rove-kodstrann"/>
        <w:numPr>
          <w:ilvl w:val="2"/>
          <w:numId w:val="0"/>
        </w:numPr>
      </w:pPr>
    </w:p>
    <w:p w14:paraId="16195D56" w14:textId="7C5A2527" w:rsidR="003209DD" w:rsidRPr="0013520D" w:rsidRDefault="003209DD" w:rsidP="4F3ADAE7">
      <w:pPr>
        <w:pStyle w:val="3rove-kodstrann"/>
        <w:numPr>
          <w:ilvl w:val="1"/>
          <w:numId w:val="1"/>
        </w:numPr>
      </w:pPr>
      <w:r w:rsidRPr="4F3ADAE7">
        <w:rPr>
          <w:b/>
          <w:bCs/>
        </w:rPr>
        <w:t xml:space="preserve">Zbylých 10 % </w:t>
      </w:r>
      <w:r>
        <w:t xml:space="preserve">z poskytované dotace, tj. maximálně </w:t>
      </w:r>
      <w:r w:rsidR="004F78C1">
        <w:t>20.000.000</w:t>
      </w:r>
      <w:r>
        <w:t xml:space="preserve"> (slovy: </w:t>
      </w:r>
      <w:proofErr w:type="spellStart"/>
      <w:r>
        <w:t>Dva</w:t>
      </w:r>
      <w:r w:rsidR="004F78C1">
        <w:t>cet</w:t>
      </w:r>
      <w:r>
        <w:t>milion</w:t>
      </w:r>
      <w:r w:rsidR="004F78C1">
        <w:t>ůkorunčeských</w:t>
      </w:r>
      <w:proofErr w:type="spellEnd"/>
      <w:r>
        <w:t>)</w:t>
      </w:r>
      <w:r w:rsidR="003E67CF">
        <w:t xml:space="preserve"> (dále také jako „</w:t>
      </w:r>
      <w:r w:rsidR="003E67CF" w:rsidRPr="00624DD4">
        <w:rPr>
          <w:b/>
        </w:rPr>
        <w:t>poslední část dotace</w:t>
      </w:r>
      <w:r w:rsidR="003E67CF">
        <w:t>“)</w:t>
      </w:r>
      <w:r>
        <w:t xml:space="preserve"> bude vyplacena </w:t>
      </w:r>
      <w:r w:rsidRPr="4F3ADAE7">
        <w:rPr>
          <w:b/>
          <w:bCs/>
        </w:rPr>
        <w:t>do 30 pracovních dnů po schválení Závěrečné zprávy</w:t>
      </w:r>
      <w:r>
        <w:t xml:space="preserve"> s vyúčtováním celé dotace předložené příjemcem dle čl. 4.4 </w:t>
      </w:r>
    </w:p>
    <w:p w14:paraId="69AEBD85" w14:textId="0C146FE0" w:rsidR="00530D1A" w:rsidRPr="0013520D" w:rsidRDefault="00530D1A" w:rsidP="006F13D9">
      <w:pPr>
        <w:pStyle w:val="3rove-kodstrann"/>
        <w:numPr>
          <w:ilvl w:val="0"/>
          <w:numId w:val="0"/>
        </w:numPr>
        <w:ind w:left="1304"/>
      </w:pPr>
      <w:r w:rsidRPr="0013520D">
        <w:t xml:space="preserve">. </w:t>
      </w:r>
    </w:p>
    <w:p w14:paraId="555ADB30" w14:textId="13731F8C" w:rsidR="00CB78A2" w:rsidRDefault="00CB78A2" w:rsidP="00BA5238">
      <w:pPr>
        <w:pStyle w:val="2rove"/>
        <w:spacing w:line="276" w:lineRule="auto"/>
      </w:pPr>
      <w:r w:rsidRPr="77F1CC40">
        <w:rPr>
          <w:b/>
          <w:bCs/>
        </w:rPr>
        <w:lastRenderedPageBreak/>
        <w:t>Předpokládané celkové způsobilé výdaje</w:t>
      </w:r>
      <w:r>
        <w:t xml:space="preserve"> </w:t>
      </w:r>
      <w:r w:rsidRPr="77F1CC40">
        <w:rPr>
          <w:b/>
          <w:bCs/>
        </w:rPr>
        <w:t>projektu činí</w:t>
      </w:r>
      <w:r w:rsidR="006E3B58" w:rsidRPr="77F1CC40">
        <w:rPr>
          <w:b/>
          <w:bCs/>
        </w:rPr>
        <w:t> </w:t>
      </w:r>
      <w:proofErr w:type="gramStart"/>
      <w:r w:rsidR="00FE51BA" w:rsidRPr="77F1CC40">
        <w:rPr>
          <w:b/>
          <w:bCs/>
        </w:rPr>
        <w:t>5</w:t>
      </w:r>
      <w:r w:rsidR="00006ECE" w:rsidRPr="77F1CC40">
        <w:rPr>
          <w:b/>
          <w:bCs/>
        </w:rPr>
        <w:t>51</w:t>
      </w:r>
      <w:r w:rsidR="00FE51BA" w:rsidRPr="77F1CC40">
        <w:rPr>
          <w:b/>
          <w:bCs/>
        </w:rPr>
        <w:t>.</w:t>
      </w:r>
      <w:r w:rsidR="00006ECE" w:rsidRPr="77F1CC40">
        <w:rPr>
          <w:b/>
          <w:bCs/>
        </w:rPr>
        <w:t>825</w:t>
      </w:r>
      <w:r w:rsidR="00BD4927" w:rsidRPr="77F1CC40">
        <w:rPr>
          <w:b/>
          <w:bCs/>
        </w:rPr>
        <w:t>.</w:t>
      </w:r>
      <w:r w:rsidR="00006ECE" w:rsidRPr="77F1CC40">
        <w:rPr>
          <w:b/>
          <w:bCs/>
        </w:rPr>
        <w:t>526</w:t>
      </w:r>
      <w:r w:rsidR="007551EA">
        <w:rPr>
          <w:b/>
          <w:bCs/>
        </w:rPr>
        <w:t>,--</w:t>
      </w:r>
      <w:proofErr w:type="gramEnd"/>
      <w:r w:rsidR="00BD4927" w:rsidRPr="77F1CC40">
        <w:rPr>
          <w:b/>
          <w:bCs/>
        </w:rPr>
        <w:t xml:space="preserve"> Kč</w:t>
      </w:r>
      <w:r w:rsidR="00BD4927">
        <w:t xml:space="preserve">. </w:t>
      </w:r>
      <w:r>
        <w:t xml:space="preserve">Pokud skutečné celkové způsobilé výdaje projektu </w:t>
      </w:r>
      <w:proofErr w:type="gramStart"/>
      <w:r>
        <w:t>překročí</w:t>
      </w:r>
      <w:proofErr w:type="gramEnd"/>
      <w:r>
        <w:t xml:space="preserve">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77F1CC40">
        <w:rPr>
          <w:b/>
          <w:bCs/>
        </w:rPr>
        <w:t>závěrečná zpráva</w:t>
      </w:r>
      <w:r w:rsidR="009514A5">
        <w:t>“)</w:t>
      </w:r>
      <w:r>
        <w:t xml:space="preserve"> vrátit část poskytnutých prostředků, která převyšuje procentní hranici celkových způsobilých výdajů projektu stanovenou v čl. 1.1</w:t>
      </w:r>
    </w:p>
    <w:p w14:paraId="1997B69A" w14:textId="2526C8CE" w:rsidR="00CB78A2" w:rsidRDefault="00CB78A2" w:rsidP="00E82920">
      <w:pPr>
        <w:pStyle w:val="2rove"/>
        <w:spacing w:line="276" w:lineRule="auto"/>
      </w:pPr>
      <w:r>
        <w:t xml:space="preserve">Dojde-li k navýšení skutečných zdrojů financování projektu oproti předpokládaným finančním zdrojům projektu uvedeným v žádosti o poskytnutí dotace, a tyto zdroje </w:t>
      </w:r>
      <w:proofErr w:type="gramStart"/>
      <w:r>
        <w:t>překročí</w:t>
      </w:r>
      <w:proofErr w:type="gramEnd"/>
      <w:r>
        <w:t xml:space="preserve"> skutečné celkové způsobilé výdaje projektu, dojde ke krácení poskytované dotace, a to o částku převyšující 100 % skutečných celkových způsobilých výdajů. Příjemce je povinen tuto částku poskytovateli vrátit v</w:t>
      </w:r>
      <w:r w:rsidR="006E3B58">
        <w:t> </w:t>
      </w:r>
      <w:r>
        <w:t>termínu</w:t>
      </w:r>
      <w:r w:rsidR="009514A5">
        <w:t xml:space="preserve"> pro předložení Závěrečné zpráv</w:t>
      </w:r>
      <w:r w:rsidR="00E52928">
        <w:t>y</w:t>
      </w:r>
      <w:r>
        <w:t xml:space="preserve">. </w:t>
      </w:r>
    </w:p>
    <w:p w14:paraId="6C44F694" w14:textId="5B1C8533" w:rsidR="00CB78A2" w:rsidRPr="008B0A69" w:rsidRDefault="00CB78A2" w:rsidP="00E82920">
      <w:pPr>
        <w:pStyle w:val="2rove"/>
        <w:spacing w:line="276" w:lineRule="auto"/>
      </w:pPr>
      <w:r>
        <w:t xml:space="preserve">Po </w:t>
      </w:r>
      <w:r w:rsidR="0036448F">
        <w:t>u</w:t>
      </w:r>
      <w:r>
        <w:t xml:space="preserve">končení </w:t>
      </w:r>
      <w:r w:rsidR="0036448F">
        <w:t xml:space="preserve">doby </w:t>
      </w:r>
      <w:r>
        <w:t xml:space="preserve">realizace </w:t>
      </w:r>
      <w:r w:rsidR="0036448F">
        <w:t>dle odst. 2.2</w:t>
      </w:r>
      <w:r>
        <w:t xml:space="preserve"> je příjemce povinen předložit Odboru</w:t>
      </w:r>
      <w:r w:rsidR="006E3B58">
        <w:t> </w:t>
      </w:r>
      <w:r w:rsidR="009D5FF1">
        <w:t xml:space="preserve">strategického rozvoje </w:t>
      </w:r>
      <w:r>
        <w:t xml:space="preserve">Krajského úřadu Zlínského kraje </w:t>
      </w:r>
      <w:r w:rsidR="00CD6632" w:rsidRPr="77F1CC40">
        <w:rPr>
          <w:b/>
          <w:bCs/>
        </w:rPr>
        <w:t xml:space="preserve">závěrečnou </w:t>
      </w:r>
      <w:r w:rsidRPr="77F1CC40">
        <w:rPr>
          <w:b/>
          <w:bCs/>
        </w:rPr>
        <w:t>zprávu, a to nejpozději do</w:t>
      </w:r>
      <w:r w:rsidR="006E3B58" w:rsidRPr="77F1CC40">
        <w:rPr>
          <w:b/>
          <w:bCs/>
        </w:rPr>
        <w:t> </w:t>
      </w:r>
      <w:r w:rsidR="009D5FF1" w:rsidRPr="77F1CC40">
        <w:rPr>
          <w:b/>
          <w:bCs/>
        </w:rPr>
        <w:t>3</w:t>
      </w:r>
      <w:r w:rsidR="002F2275" w:rsidRPr="77F1CC40">
        <w:rPr>
          <w:b/>
          <w:bCs/>
        </w:rPr>
        <w:t>1</w:t>
      </w:r>
      <w:r w:rsidR="009D5FF1" w:rsidRPr="77F1CC40">
        <w:rPr>
          <w:b/>
          <w:bCs/>
        </w:rPr>
        <w:t xml:space="preserve">. </w:t>
      </w:r>
      <w:r w:rsidR="00572414" w:rsidRPr="77F1CC40">
        <w:rPr>
          <w:b/>
          <w:bCs/>
        </w:rPr>
        <w:t>3</w:t>
      </w:r>
      <w:r w:rsidR="009D5FF1" w:rsidRPr="77F1CC40">
        <w:rPr>
          <w:b/>
          <w:bCs/>
        </w:rPr>
        <w:t>. 202</w:t>
      </w:r>
      <w:r w:rsidR="00572414" w:rsidRPr="77F1CC40">
        <w:rPr>
          <w:b/>
          <w:bCs/>
        </w:rPr>
        <w:t>7</w:t>
      </w:r>
      <w:r w:rsidR="002E624A" w:rsidRPr="77F1CC40">
        <w:rPr>
          <w:b/>
          <w:bCs/>
        </w:rPr>
        <w:t>.</w:t>
      </w:r>
    </w:p>
    <w:p w14:paraId="1A41EA89" w14:textId="04F21CA4" w:rsidR="00A439DD" w:rsidRDefault="00A439DD" w:rsidP="008B0A69">
      <w:pPr>
        <w:pStyle w:val="2rove"/>
        <w:spacing w:line="276" w:lineRule="auto"/>
      </w:pPr>
      <w:r>
        <w:t xml:space="preserve">Závěrečnou zprávou se rozumí předložení formuláře s vyplněnou tabulkou s výčtem všech celkových způsobilých výdajů projektu, a předložení </w:t>
      </w:r>
      <w:r w:rsidR="00F575F2">
        <w:t xml:space="preserve">všech potřebných </w:t>
      </w:r>
      <w:r>
        <w:t xml:space="preserve">dokladů </w:t>
      </w:r>
      <w:r w:rsidR="00F575F2">
        <w:t xml:space="preserve">uvedených ve </w:t>
      </w:r>
      <w:r w:rsidR="00F575F2" w:rsidRPr="77F1CC40">
        <w:rPr>
          <w:b/>
          <w:bCs/>
        </w:rPr>
        <w:t>formuláři závěrečné zprávy</w:t>
      </w:r>
      <w:r>
        <w:t xml:space="preserve"> ve výši dotace a dokladů prokazujících jejich úhradu (tj. výpisy z bankovního účtu, výdajové a příjmové pokladní doklady).</w:t>
      </w:r>
    </w:p>
    <w:p w14:paraId="6DCF458F" w14:textId="1E5D62F4" w:rsidR="00CD2022" w:rsidRPr="0006774F" w:rsidRDefault="00A439DD" w:rsidP="00983080">
      <w:pPr>
        <w:pStyle w:val="2rove"/>
        <w:numPr>
          <w:ilvl w:val="1"/>
          <w:numId w:val="0"/>
        </w:numPr>
        <w:spacing w:line="276" w:lineRule="auto"/>
        <w:ind w:left="567"/>
      </w:pPr>
      <w:r w:rsidRPr="0006774F">
        <w:rPr>
          <w:b/>
          <w:bCs/>
        </w:rPr>
        <w:t xml:space="preserve">Formulář </w:t>
      </w:r>
      <w:r w:rsidR="00F575F2" w:rsidRPr="0006774F">
        <w:rPr>
          <w:b/>
          <w:bCs/>
        </w:rPr>
        <w:t xml:space="preserve">závěrečné </w:t>
      </w:r>
      <w:r w:rsidRPr="0006774F">
        <w:rPr>
          <w:b/>
          <w:bCs/>
        </w:rPr>
        <w:t>zprávy</w:t>
      </w:r>
      <w:r w:rsidRPr="0006774F">
        <w:t xml:space="preserve"> bude příjemci zaslán kontaktní osobou poskytovatele na vyžádání. </w:t>
      </w:r>
    </w:p>
    <w:p w14:paraId="32711921" w14:textId="428DF801" w:rsidR="61DC4E60" w:rsidRDefault="61DC4E60" w:rsidP="00DD3865">
      <w:pPr>
        <w:pStyle w:val="2rove"/>
        <w:numPr>
          <w:ilvl w:val="1"/>
          <w:numId w:val="0"/>
        </w:numPr>
        <w:spacing w:line="276" w:lineRule="auto"/>
        <w:ind w:left="567"/>
      </w:pPr>
      <w:r w:rsidRPr="0006774F">
        <w:t>Mimo závěrečné zprávy a průběžných zpráv dle odst. 4.1</w:t>
      </w:r>
      <w:r w:rsidR="00F37BC6">
        <w:t>,</w:t>
      </w:r>
      <w:r w:rsidRPr="0006774F">
        <w:t xml:space="preserve"> bude příjemce dokládat poskytovateli také </w:t>
      </w:r>
      <w:r w:rsidR="270244F2" w:rsidRPr="0006774F">
        <w:t xml:space="preserve">kvartální </w:t>
      </w:r>
      <w:r w:rsidRPr="0006774F">
        <w:t>zprávy o realizaci projektu</w:t>
      </w:r>
      <w:r w:rsidR="00D4DA11" w:rsidRPr="0006774F">
        <w:t>, a to vždy do 30 dnů od konce každého kalendářního čtvrtletí trvání této smlouvy.</w:t>
      </w:r>
      <w:r w:rsidR="535C9DEA" w:rsidRPr="0006774F">
        <w:t xml:space="preserve"> Tyto zprávy</w:t>
      </w:r>
      <w:r w:rsidR="19573EE3" w:rsidRPr="0006774F">
        <w:t xml:space="preserve"> budou obsahovat popis postupu prací</w:t>
      </w:r>
      <w:r w:rsidR="1395BE81" w:rsidRPr="0006774F">
        <w:t xml:space="preserve"> podpořeného projektu</w:t>
      </w:r>
      <w:r w:rsidR="19573EE3" w:rsidRPr="0006774F">
        <w:t>, nemusí být podloženy účetními doklady.</w:t>
      </w:r>
    </w:p>
    <w:p w14:paraId="5EB47DE6" w14:textId="7F267072" w:rsidR="005B1088" w:rsidRDefault="00357941" w:rsidP="00E82920">
      <w:pPr>
        <w:pStyle w:val="2rove"/>
        <w:spacing w:line="276" w:lineRule="auto"/>
      </w:pPr>
      <w:r>
        <w:t xml:space="preserve">V případě, že poskytovatel neshledá v předložené </w:t>
      </w:r>
      <w:r w:rsidR="006535D6">
        <w:t>z</w:t>
      </w:r>
      <w:r>
        <w:t>ávěrečné zprávě</w:t>
      </w:r>
      <w:r w:rsidR="003E67CF">
        <w:t xml:space="preserve"> nebo průběžné zprávě</w:t>
      </w:r>
      <w:r>
        <w:t xml:space="preserve"> nedostatky či nesrovnalosti, schválí ji do 30 pracovních</w:t>
      </w:r>
      <w:r w:rsidR="007345D1">
        <w:t xml:space="preserve"> </w:t>
      </w:r>
      <w:r>
        <w:t>dnů ode dne jejího předložení. Budou-li shledány nedostatky či nesrovnalosti, bude příjemce</w:t>
      </w:r>
      <w:r w:rsidR="00B64E1E">
        <w:t xml:space="preserve"> v </w:t>
      </w:r>
      <w:r w:rsidR="003E67CF">
        <w:t xml:space="preserve">uvedené </w:t>
      </w:r>
      <w:r w:rsidR="00B64E1E">
        <w:t>lhůtě</w:t>
      </w:r>
      <w:r w:rsidR="00432A5A">
        <w:t xml:space="preserve"> poskytovatelem</w:t>
      </w:r>
      <w:r>
        <w:t xml:space="preserve"> vyzván k jejich odstranění, a to </w:t>
      </w:r>
      <w:r w:rsidR="00F13C74">
        <w:t xml:space="preserve">do </w:t>
      </w:r>
      <w:r>
        <w:t>20</w:t>
      </w:r>
      <w:r w:rsidR="005B3FE5">
        <w:t> </w:t>
      </w:r>
      <w:r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 </w:t>
      </w:r>
      <w:r w:rsidR="000B11E0">
        <w:t>ode</w:t>
      </w:r>
      <w:r w:rsidR="00F13C74">
        <w:t xml:space="preserve"> dne doručení výzvy </w:t>
      </w:r>
      <w:r w:rsidR="00432A5A">
        <w:t>příjemci</w:t>
      </w:r>
      <w:r w:rsidR="00F13C74">
        <w:t>.</w:t>
      </w:r>
    </w:p>
    <w:p w14:paraId="4B4C1047" w14:textId="43D07A14" w:rsidR="009514A5" w:rsidRDefault="009514A5" w:rsidP="00AF403C">
      <w:pPr>
        <w:pStyle w:val="2rove"/>
      </w:pPr>
      <w:r>
        <w:t xml:space="preserve">V termínu pro předložení Závěrečné zprávy </w:t>
      </w:r>
      <w:r w:rsidRPr="77F1CC40">
        <w:rPr>
          <w:b/>
          <w:bCs/>
        </w:rPr>
        <w:t>dle čl. 4.4 vrátí příjemce nevyčerpané finanční prostředky</w:t>
      </w:r>
      <w:r>
        <w:t xml:space="preserve"> na účet poskytovatele. </w:t>
      </w:r>
    </w:p>
    <w:p w14:paraId="4B3C3722" w14:textId="3E3EBF1C" w:rsidR="00A2646B" w:rsidRDefault="00A2646B" w:rsidP="00AF403C">
      <w:pPr>
        <w:pStyle w:val="2rove"/>
      </w:pPr>
      <w:r>
        <w:t>V případě objektivních okolností ohrožujících naplnění smlouvy zavazují se strany jednat o uzavření dodatku k této smlouvě.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355E427D" w14:textId="7CA97BFF" w:rsidR="00FC3B4B" w:rsidRPr="001B03F0" w:rsidRDefault="00D64AB1" w:rsidP="008E5CCA">
      <w:pPr>
        <w:pStyle w:val="2rove"/>
        <w:spacing w:line="276" w:lineRule="auto"/>
      </w:pPr>
      <w:r w:rsidRPr="001B03F0">
        <w:rPr>
          <w:b/>
        </w:rPr>
        <w:t>Způsobilými výdaji</w:t>
      </w:r>
      <w:r w:rsidRPr="001B03F0">
        <w:t xml:space="preserve"> jsou proplacená plnění</w:t>
      </w:r>
      <w:r w:rsidR="00E054F7" w:rsidRPr="001B03F0">
        <w:t xml:space="preserve"> dle Přílohy P01</w:t>
      </w:r>
      <w:r w:rsidRPr="001B03F0">
        <w:t xml:space="preserve">, jež souvisejí s účelem, na který je dotace poskytnuta, </w:t>
      </w:r>
      <w:r w:rsidR="00790F95" w:rsidRPr="001B03F0">
        <w:t>tedy s generální dodávkou stavby budovy</w:t>
      </w:r>
      <w:r w:rsidR="00627156">
        <w:t xml:space="preserve"> U1</w:t>
      </w:r>
      <w:r w:rsidR="00790F95" w:rsidRPr="001B03F0">
        <w:t xml:space="preserve">, </w:t>
      </w:r>
      <w:r w:rsidRPr="001B03F0">
        <w:t>a vyhovují zásadám účelnosti, efektivnosti a hospodárnosti podle zákona č.</w:t>
      </w:r>
      <w:r w:rsidR="005B3FE5" w:rsidRPr="001B03F0">
        <w:t> </w:t>
      </w:r>
      <w:r w:rsidRPr="001B03F0">
        <w:t>320/2001</w:t>
      </w:r>
      <w:r w:rsidR="005B3FE5" w:rsidRPr="001B03F0">
        <w:t> </w:t>
      </w:r>
      <w:r w:rsidRPr="001B03F0">
        <w:t xml:space="preserve">Sb., o finanční kontrole, ve znění pozdějších předpisů. </w:t>
      </w:r>
      <w:r w:rsidR="00EA1D72" w:rsidRPr="001B03F0">
        <w:t>Způsobilé výdaje musí příjemci vzniknout v době realizace a</w:t>
      </w:r>
      <w:r w:rsidR="00B007CA" w:rsidRPr="001B03F0">
        <w:t xml:space="preserve"> </w:t>
      </w:r>
      <w:r w:rsidR="00D143CD" w:rsidRPr="001B03F0">
        <w:t xml:space="preserve">být jím </w:t>
      </w:r>
      <w:r w:rsidR="001B03F0">
        <w:t xml:space="preserve">v této době i </w:t>
      </w:r>
      <w:r w:rsidR="00D143CD" w:rsidRPr="001B03F0">
        <w:t>uhrazeny.</w:t>
      </w:r>
      <w:r w:rsidR="00B007CA" w:rsidRPr="001B03F0">
        <w:t xml:space="preserve"> </w:t>
      </w:r>
    </w:p>
    <w:p w14:paraId="71BD75F8" w14:textId="1F2243D9" w:rsidR="006033A0" w:rsidRDefault="006B0A76" w:rsidP="00B57038">
      <w:pPr>
        <w:pStyle w:val="2rove"/>
      </w:pPr>
      <w:r w:rsidRPr="003D6A1A">
        <w:rPr>
          <w:b/>
        </w:rPr>
        <w:t>Nezpůsobilými výdaji</w:t>
      </w:r>
      <w:r>
        <w:t xml:space="preserve"> jsou všechny, které </w:t>
      </w:r>
      <w:r w:rsidR="00651C43">
        <w:t xml:space="preserve">nesouvisí s účelem projektu a </w:t>
      </w:r>
      <w:r>
        <w:t>nejsou uvedeny výše, tj. v odst. 5.2</w:t>
      </w:r>
      <w:r w:rsidR="006F7DB1">
        <w:t>.</w:t>
      </w:r>
      <w:r w:rsidR="00FF1FD0">
        <w:t xml:space="preserve"> </w:t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 xml:space="preserve"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</w:t>
      </w:r>
      <w:r w:rsidRPr="00A103DD">
        <w:lastRenderedPageBreak/>
        <w:t>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proofErr w:type="gramStart"/>
      <w:r w:rsidR="00BE451E">
        <w:t>doloží</w:t>
      </w:r>
      <w:proofErr w:type="gramEnd"/>
      <w:r w:rsidR="00BE451E">
        <w:t xml:space="preserve">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158C688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>ode dne ukončení doby realizace dle čl. 2.2</w:t>
      </w:r>
      <w:r>
        <w:t>,</w:t>
      </w:r>
    </w:p>
    <w:p w14:paraId="19FF5982" w14:textId="364B80A8" w:rsidR="00A233FD" w:rsidRDefault="00A233FD" w:rsidP="005A3060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74198546" w14:textId="47C65BB4" w:rsidR="00A233FD" w:rsidRPr="005A3060" w:rsidRDefault="00A233FD" w:rsidP="005A3060">
      <w:pPr>
        <w:pStyle w:val="3rove-trval"/>
      </w:pPr>
      <w:r>
        <w:t xml:space="preserve">nezcizit majetek pořízený </w:t>
      </w:r>
      <w:r w:rsidR="00EC5183">
        <w:t xml:space="preserve">nebo </w:t>
      </w:r>
      <w:r>
        <w:t>opravený na základě této dotace (movité i nemovité věci) nejméně po dobu</w:t>
      </w:r>
      <w:r w:rsidR="006E3B58">
        <w:t> </w:t>
      </w:r>
      <w:r w:rsidR="0080581B">
        <w:t>10</w:t>
      </w:r>
      <w:r>
        <w:t xml:space="preserve"> let ode dne jeho pořízení </w:t>
      </w:r>
      <w:r w:rsidR="00EC5183">
        <w:t xml:space="preserve">nebo </w:t>
      </w:r>
      <w:r>
        <w:t>opravy, případně po dobu jeho životnosti či použitelnosti, je-li tato doba kratší. Po tuto dobu smí převést vlastnické právo k danému majetku na třetí osobu pouze s předchozím písemným souhlasem poskytovatele. Po uvedenou dobu je příjemce povinen zacházet s majetkem s péčí řádného hospodáře, zejména jej zabezpečit proti poškození, ztrátě nebo odcizení a</w:t>
      </w:r>
      <w:r w:rsidR="006E3B58">
        <w:t> </w:t>
      </w:r>
      <w:r>
        <w:t>nezatěžovat takový majetek žádnými věcnými právy třetích osob, včetně zástavního práva</w:t>
      </w:r>
      <w:r w:rsidR="00627156">
        <w:t xml:space="preserve"> bez předchozího písemného souhlasu poskytovatele</w:t>
      </w:r>
      <w:r>
        <w:t xml:space="preserve">. </w:t>
      </w:r>
    </w:p>
    <w:p w14:paraId="616BC65E" w14:textId="75AFF4E9" w:rsidR="001D6E79" w:rsidRPr="004D3B35" w:rsidRDefault="001D6E79" w:rsidP="004D3B35">
      <w:pPr>
        <w:pStyle w:val="2rove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 xml:space="preserve">(tyto osoby jsou </w:t>
      </w:r>
      <w:r w:rsidR="00EC3D01">
        <w:rPr>
          <w:rFonts w:cs="Arial"/>
          <w:szCs w:val="20"/>
        </w:rPr>
        <w:lastRenderedPageBreak/>
        <w:t>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="00EC3D01">
        <w:rPr>
          <w:rFonts w:cs="Arial"/>
          <w:szCs w:val="20"/>
        </w:rPr>
        <w:t>)</w:t>
      </w:r>
      <w:r w:rsidRPr="004D3B35">
        <w:t xml:space="preserve">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4EC45CE3" w:rsidR="00703656" w:rsidRDefault="00703656" w:rsidP="00417DD1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595EDB">
        <w:t>adrese</w:t>
      </w:r>
      <w:r w:rsidR="00866816">
        <w:t xml:space="preserve"> </w:t>
      </w:r>
      <w:hyperlink r:id="rId12" w:history="1">
        <w:r w:rsidR="00866816" w:rsidRPr="002E6087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7A2178A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spolufinancována Zlínským krajem.</w:t>
      </w:r>
    </w:p>
    <w:p w14:paraId="5D16A0E0" w14:textId="357646A8" w:rsidR="00C92705" w:rsidRPr="002E018F" w:rsidRDefault="00C92705" w:rsidP="00866816">
      <w:pPr>
        <w:pStyle w:val="2rove"/>
        <w:spacing w:line="276" w:lineRule="auto"/>
      </w:pPr>
      <w:r w:rsidRPr="002E018F">
        <w:t>Příjemce je dále povinen prezentovat poskytovatele s</w:t>
      </w:r>
      <w:r w:rsidR="00866816" w:rsidRPr="002E018F">
        <w:t> </w:t>
      </w:r>
      <w:r w:rsidRPr="002E018F">
        <w:t>využitím</w:t>
      </w:r>
      <w:r w:rsidR="00866816" w:rsidRPr="002E018F">
        <w:t xml:space="preserve"> </w:t>
      </w:r>
      <w:r w:rsidR="002951B7" w:rsidRPr="002E018F">
        <w:t xml:space="preserve">alespoň 3 z těchto prostředků komunikace, které </w:t>
      </w:r>
      <w:proofErr w:type="gramStart"/>
      <w:r w:rsidR="002951B7" w:rsidRPr="002E018F">
        <w:t>doloží</w:t>
      </w:r>
      <w:proofErr w:type="gramEnd"/>
      <w:r w:rsidR="002951B7" w:rsidRPr="002E018F">
        <w:t xml:space="preserve"> v Závěrečné zprávě, přičemž jedním ze zvolených prostředků musí být pamětní deska</w:t>
      </w:r>
      <w:r w:rsidR="00FB265A" w:rsidRPr="002E018F">
        <w:t>:</w:t>
      </w:r>
    </w:p>
    <w:p w14:paraId="4826970D" w14:textId="77777777" w:rsidR="000228C3" w:rsidRDefault="000228C3" w:rsidP="004C3F28">
      <w:pPr>
        <w:pStyle w:val="3rove-trval"/>
      </w:pPr>
      <w:r w:rsidRPr="00A960B0">
        <w:t>billboard (</w:t>
      </w:r>
      <w:proofErr w:type="gramStart"/>
      <w:r w:rsidRPr="00A960B0">
        <w:t>doloží</w:t>
      </w:r>
      <w:proofErr w:type="gramEnd"/>
      <w:r w:rsidRPr="00A960B0">
        <w:t xml:space="preserve"> se fotografií a informací o období vyvěšení)</w:t>
      </w:r>
      <w:r>
        <w:t>,</w:t>
      </w:r>
    </w:p>
    <w:p w14:paraId="0B7DBA39" w14:textId="77777777" w:rsidR="000228C3" w:rsidRDefault="000228C3" w:rsidP="004C3F28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</w:t>
      </w:r>
      <w:r>
        <w:t>),</w:t>
      </w:r>
    </w:p>
    <w:p w14:paraId="371F6BB6" w14:textId="3EDD398C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  <w:r w:rsidR="00627156">
        <w:t xml:space="preserve"> </w:t>
      </w:r>
      <w:proofErr w:type="gramStart"/>
      <w:r w:rsidR="00627156">
        <w:t>přičemž  podoba</w:t>
      </w:r>
      <w:proofErr w:type="gramEnd"/>
      <w:r w:rsidR="00627156">
        <w:t xml:space="preserve"> pamětní desky je ve výlučné působnosti příjemce</w:t>
      </w:r>
      <w:r w:rsidR="00A2646B">
        <w:t xml:space="preserve"> s předchozím odsouhlasením poskytovatele</w:t>
      </w:r>
      <w:r w:rsidR="00627156"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publikován)</w:t>
      </w:r>
      <w:r>
        <w:t>,</w:t>
      </w:r>
    </w:p>
    <w:p w14:paraId="3CCC45E2" w14:textId="77777777" w:rsidR="000228C3" w:rsidRDefault="000228C3" w:rsidP="004C3F28">
      <w:pPr>
        <w:pStyle w:val="3rove-trval"/>
      </w:pPr>
      <w:r w:rsidRPr="00A960B0">
        <w:t>propagační předměty (</w:t>
      </w:r>
      <w:proofErr w:type="gramStart"/>
      <w:r w:rsidRPr="00A960B0">
        <w:t>doloží</w:t>
      </w:r>
      <w:proofErr w:type="gramEnd"/>
      <w:r w:rsidRPr="00A960B0">
        <w:t xml:space="preserve"> se předložením propagačního 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</w:t>
      </w:r>
      <w:proofErr w:type="gramStart"/>
      <w:r w:rsidRPr="00A960B0">
        <w:t>doloží</w:t>
      </w:r>
      <w:proofErr w:type="gramEnd"/>
      <w:r w:rsidRPr="00A960B0">
        <w:t xml:space="preserve">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</w:t>
      </w:r>
      <w:proofErr w:type="gramStart"/>
      <w:r w:rsidRPr="00A960B0">
        <w:t>doloží</w:t>
      </w:r>
      <w:proofErr w:type="gramEnd"/>
      <w:r w:rsidRPr="00A960B0">
        <w:t xml:space="preserve">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</w:t>
      </w:r>
      <w:proofErr w:type="gramStart"/>
      <w:r w:rsidRPr="00A960B0">
        <w:t>doloží</w:t>
      </w:r>
      <w:proofErr w:type="gramEnd"/>
      <w:r w:rsidRPr="00A960B0">
        <w:t xml:space="preserve">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</w:t>
      </w:r>
      <w:proofErr w:type="gramStart"/>
      <w:r w:rsidRPr="00A960B0">
        <w:t>doloží</w:t>
      </w:r>
      <w:proofErr w:type="gramEnd"/>
      <w:r w:rsidRPr="00A960B0">
        <w:t xml:space="preserve">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</w:t>
      </w:r>
      <w:proofErr w:type="gramStart"/>
      <w:r w:rsidRPr="00A960B0">
        <w:t>doloží</w:t>
      </w:r>
      <w:proofErr w:type="gramEnd"/>
      <w:r w:rsidRPr="00A960B0">
        <w:t xml:space="preserve"> se originálem nebo kopií této zprávy či její části obsahující prezentaci poskytovatele)</w:t>
      </w:r>
      <w:r>
        <w:t>,</w:t>
      </w:r>
    </w:p>
    <w:p w14:paraId="798998D9" w14:textId="7061E37D" w:rsidR="001E5A62" w:rsidRPr="009A021D" w:rsidRDefault="000228C3" w:rsidP="009A021D">
      <w:pPr>
        <w:pStyle w:val="3rove-trval"/>
        <w:rPr>
          <w:rStyle w:val="Kvbruaodstrann"/>
          <w:i w:val="0"/>
          <w:color w:val="auto"/>
          <w:sz w:val="20"/>
          <w:szCs w:val="22"/>
        </w:rPr>
      </w:pPr>
      <w:r w:rsidRPr="00A960B0">
        <w:t>webové stránky (</w:t>
      </w:r>
      <w:proofErr w:type="gramStart"/>
      <w:r w:rsidRPr="00A960B0">
        <w:t>doloží</w:t>
      </w:r>
      <w:proofErr w:type="gramEnd"/>
      <w:r w:rsidRPr="00A960B0">
        <w:t xml:space="preserve"> se odkazem na příslušné stránky s uvedením, kdy byla informace uveřejněna)</w:t>
      </w:r>
      <w:r w:rsidR="009A021D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lastRenderedPageBreak/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4F3477B8" w14:textId="4B3A7D70" w:rsidR="002D215A" w:rsidRPr="00DD3865" w:rsidRDefault="002D215A" w:rsidP="004C3F28">
      <w:pPr>
        <w:pStyle w:val="3rove-trval"/>
      </w:pPr>
      <w:r w:rsidRPr="00D11E31">
        <w:t xml:space="preserve">dojde k podstatnému nenaplnění </w:t>
      </w:r>
      <w:r w:rsidRPr="00DD3865">
        <w:t>monitorovacího indikátoru dle čl. 3.</w:t>
      </w:r>
      <w:r w:rsidR="00EB1154" w:rsidRPr="00DD3865">
        <w:t>2</w:t>
      </w:r>
      <w:r w:rsidRPr="00DD3865">
        <w:t>,</w:t>
      </w:r>
      <w:r w:rsidR="006A3349" w:rsidRPr="00DD3865">
        <w:t xml:space="preserve"> </w:t>
      </w:r>
    </w:p>
    <w:p w14:paraId="2AE1B240" w14:textId="32DD0688" w:rsidR="002D215A" w:rsidRPr="00DD3865" w:rsidRDefault="002D215A" w:rsidP="004C3F28">
      <w:pPr>
        <w:pStyle w:val="3rove-trval"/>
      </w:pPr>
      <w:r>
        <w:t xml:space="preserve">příjemce </w:t>
      </w:r>
      <w:proofErr w:type="gramStart"/>
      <w:r>
        <w:t>nepředloží</w:t>
      </w:r>
      <w:proofErr w:type="gramEnd"/>
      <w:r>
        <w:t xml:space="preserve"> </w:t>
      </w:r>
      <w:r w:rsidR="006535D6">
        <w:t>z</w:t>
      </w:r>
      <w:r>
        <w:t>ávěrečnou zprávu</w:t>
      </w:r>
      <w:r w:rsidR="0DBBBAD9">
        <w:t>/</w:t>
      </w:r>
      <w:r w:rsidR="006535D6">
        <w:t>p</w:t>
      </w:r>
      <w:r w:rsidR="0DBBBAD9">
        <w:t>růběžnou zprávu</w:t>
      </w:r>
      <w:r>
        <w:t xml:space="preserve"> ani ve lhůtě </w:t>
      </w:r>
      <w:r w:rsidR="0080581B">
        <w:t>6</w:t>
      </w:r>
      <w:r>
        <w:t>0 pracovních dní po uplynutí lhůty dle čl. 4.4</w:t>
      </w:r>
      <w:r w:rsidR="00BDFB68">
        <w:t>/4.1</w:t>
      </w:r>
      <w:r>
        <w:t>,</w:t>
      </w:r>
    </w:p>
    <w:p w14:paraId="5A54B8BA" w14:textId="176A95B3" w:rsidR="004D3B35" w:rsidRPr="00DD3865" w:rsidRDefault="002D215A" w:rsidP="004C3F28">
      <w:pPr>
        <w:pStyle w:val="3rove-trval"/>
      </w:pPr>
      <w:r w:rsidRPr="00DD3865">
        <w:t xml:space="preserve">příjemce </w:t>
      </w:r>
      <w:proofErr w:type="gramStart"/>
      <w:r w:rsidRPr="00DD3865">
        <w:t>poruší</w:t>
      </w:r>
      <w:proofErr w:type="gramEnd"/>
      <w:r w:rsidRPr="00DD3865">
        <w:t xml:space="preserve"> povinnost dle čl. 5.7 nebo 5.8,</w:t>
      </w:r>
    </w:p>
    <w:p w14:paraId="1E26630F" w14:textId="7896F6F8" w:rsidR="00B60582" w:rsidRPr="00DD3865" w:rsidRDefault="00B60582" w:rsidP="00B60582">
      <w:pPr>
        <w:pStyle w:val="2rove"/>
      </w:pPr>
      <w:r w:rsidRPr="00DD3865">
        <w:t xml:space="preserve">Za </w:t>
      </w:r>
      <w:r w:rsidRPr="00DD3865">
        <w:rPr>
          <w:b/>
        </w:rPr>
        <w:t>porušení rozpočtové kázně</w:t>
      </w:r>
      <w:r w:rsidRPr="00DD3865">
        <w:t xml:space="preserve"> dle § 22 zákona o rozpočtových pravidlech územních rozpočtů, za který bude příjemci uložen </w:t>
      </w:r>
      <w:r w:rsidRPr="00DD3865">
        <w:rPr>
          <w:b/>
        </w:rPr>
        <w:t>odvod ve výši neoprávněně použitých nebo zadržených peněžních prostředků</w:t>
      </w:r>
      <w:r w:rsidRPr="00DD3865">
        <w:t>, se považuje zejména pokud:</w:t>
      </w:r>
    </w:p>
    <w:p w14:paraId="48FC3C99" w14:textId="5979C557" w:rsidR="002D215A" w:rsidRPr="00DD3865" w:rsidRDefault="002D215A" w:rsidP="77F1CC40">
      <w:pPr>
        <w:pStyle w:val="3rove-trval"/>
        <w:rPr>
          <w:i/>
          <w:iCs/>
        </w:rPr>
      </w:pPr>
      <w:r>
        <w:t xml:space="preserve">příjemce neodstraní nedostatky v předložené </w:t>
      </w:r>
      <w:r w:rsidR="006535D6">
        <w:t>z</w:t>
      </w:r>
      <w:r w:rsidR="00595EDB">
        <w:t>ávěrečné</w:t>
      </w:r>
      <w:r w:rsidR="5810B86C">
        <w:t>/</w:t>
      </w:r>
      <w:r w:rsidR="006535D6">
        <w:t>p</w:t>
      </w:r>
      <w:r w:rsidR="5810B86C">
        <w:t>růběžné</w:t>
      </w:r>
      <w:r w:rsidR="00595EDB">
        <w:t xml:space="preserve">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1B81FA51" w:rsidR="002D215A" w:rsidRPr="00DD386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</w:t>
      </w:r>
      <w:r w:rsidR="006120A4">
        <w:t>.</w:t>
      </w:r>
      <w:r w:rsidR="002D215A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1710633B" w:rsidR="008D0B91" w:rsidRPr="00DD3865" w:rsidRDefault="00485683" w:rsidP="004C3F28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</w:t>
      </w:r>
      <w:r w:rsidR="006535D6">
        <w:t>z</w:t>
      </w:r>
      <w:r>
        <w:t>ávěrečnou zprávu</w:t>
      </w:r>
      <w:r w:rsidR="33CE75BB">
        <w:t>/</w:t>
      </w:r>
      <w:r w:rsidR="006535D6">
        <w:t>p</w:t>
      </w:r>
      <w:r w:rsidR="33CE75BB">
        <w:t>růběžnou zprávu</w:t>
      </w:r>
      <w:r>
        <w:t xml:space="preserve"> </w:t>
      </w:r>
      <w:r w:rsidR="004D67D0">
        <w:t xml:space="preserve">ve lhůtě </w:t>
      </w:r>
      <w:r w:rsidR="009954FF">
        <w:t xml:space="preserve">do </w:t>
      </w:r>
      <w:r w:rsidR="0080581B">
        <w:t>6</w:t>
      </w:r>
      <w:r w:rsidR="004D67D0">
        <w:t>0 pracovních dní po uplynutí lhůty dle čl. 4.4</w:t>
      </w:r>
      <w:r w:rsidR="4CE340F7">
        <w:t>/4.1</w:t>
      </w:r>
      <w:r w:rsidR="008D0B91">
        <w:t>,</w:t>
      </w:r>
    </w:p>
    <w:p w14:paraId="51ED7614" w14:textId="1A1E80D3" w:rsidR="00485683" w:rsidRPr="00DD3865" w:rsidRDefault="008D0B91" w:rsidP="004C3F28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povinnosti dle čl. 6</w:t>
      </w:r>
      <w:r w:rsidR="00126170">
        <w:t>.</w:t>
      </w:r>
    </w:p>
    <w:p w14:paraId="2579FBEB" w14:textId="0004BA53" w:rsidR="004D7E38" w:rsidRPr="00DD3865" w:rsidRDefault="004D7E38" w:rsidP="00D11E31">
      <w:pPr>
        <w:pStyle w:val="2rove"/>
      </w:pPr>
      <w:r w:rsidRPr="00DD3865">
        <w:t xml:space="preserve">O </w:t>
      </w:r>
      <w:r w:rsidRPr="00DD3865">
        <w:rPr>
          <w:b/>
        </w:rPr>
        <w:t>méně závažné porušení</w:t>
      </w:r>
      <w:r w:rsidRPr="00DD3865">
        <w:t xml:space="preserve"> rozpočtové kázně dle § 22 zákona o rozpočtových pravidlech územních rozpočtů, </w:t>
      </w:r>
      <w:r w:rsidR="00F50470" w:rsidRPr="00DD3865">
        <w:t>se</w:t>
      </w:r>
      <w:r w:rsidR="0056114B" w:rsidRPr="00DD3865">
        <w:t xml:space="preserve"> dále</w:t>
      </w:r>
      <w:r w:rsidR="00F50470" w:rsidRPr="00DD3865">
        <w:t xml:space="preserve"> jedná v případě, kdy:</w:t>
      </w:r>
    </w:p>
    <w:p w14:paraId="72C5316E" w14:textId="64555000" w:rsidR="00F50470" w:rsidRPr="00DD3865" w:rsidRDefault="00F50470" w:rsidP="004C3F28">
      <w:pPr>
        <w:pStyle w:val="3rove-trval"/>
      </w:pPr>
      <w:r>
        <w:t>příjemce odstraní nedostatky či nesrovnalosti v </w:t>
      </w:r>
      <w:r w:rsidR="006535D6">
        <w:t>z</w:t>
      </w:r>
      <w:r>
        <w:t>ávěrečné</w:t>
      </w:r>
      <w:r w:rsidR="60C532CB">
        <w:t>/</w:t>
      </w:r>
      <w:r w:rsidR="006535D6">
        <w:t>p</w:t>
      </w:r>
      <w:r w:rsidR="60C532CB">
        <w:t>růběžné</w:t>
      </w:r>
      <w:r>
        <w:t xml:space="preserve">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36E4F20B" w:rsidR="004F1656" w:rsidRPr="00C6601E" w:rsidRDefault="00866816" w:rsidP="004C3F28">
      <w:pPr>
        <w:pStyle w:val="3rove-trval"/>
      </w:pPr>
      <w:r>
        <w:t>P</w:t>
      </w:r>
      <w:r w:rsidR="004F1656">
        <w:t xml:space="preserve">říjemce v rozporu s čl. </w:t>
      </w:r>
      <w:r w:rsidR="0056114B">
        <w:t>5.2</w:t>
      </w:r>
      <w:r w:rsidR="004F1656">
        <w:t xml:space="preserve"> uhradí výdaje po uplynutí lhůty </w:t>
      </w:r>
      <w:r w:rsidR="000C5740">
        <w:t xml:space="preserve">pro úhradu výdajů </w:t>
      </w:r>
      <w:r w:rsidR="004F1656">
        <w:t xml:space="preserve">dle čl. </w:t>
      </w:r>
      <w:r w:rsidR="0056114B">
        <w:t>5.2</w:t>
      </w:r>
      <w:r w:rsidR="004F1656"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 w:rsidR="004F1656">
        <w:t xml:space="preserve"> </w:t>
      </w:r>
      <w:r w:rsidR="00D11E31">
        <w:t>P</w:t>
      </w:r>
      <w:r w:rsidR="004F1656">
        <w:t xml:space="preserve">říjemci </w:t>
      </w:r>
      <w:r w:rsidR="00D11E31">
        <w:t xml:space="preserve">bude </w:t>
      </w:r>
      <w:r w:rsidR="004F1656"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81FE8E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</w:t>
      </w:r>
      <w:r w:rsidR="006535D6">
        <w:t>z</w:t>
      </w:r>
      <w:r w:rsidR="004A3A15">
        <w:t>ávěrečné zprávě. Nepodstatnými změnami jsou</w:t>
      </w:r>
      <w:r>
        <w:t>:</w:t>
      </w:r>
    </w:p>
    <w:p w14:paraId="19BAA672" w14:textId="46E9DAEC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866816">
        <w:t>,</w:t>
      </w:r>
      <w:r w:rsidRPr="00EB1154"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EC72B14" w:rsidR="00D9597D" w:rsidRPr="00EB1154" w:rsidRDefault="00747C54" w:rsidP="00501F8C">
      <w:pPr>
        <w:pStyle w:val="3rove-trval"/>
      </w:pPr>
      <w:r>
        <w:t xml:space="preserve">změna názvu </w:t>
      </w:r>
      <w:r w:rsidR="00866816">
        <w:t>příjemce,</w:t>
      </w:r>
    </w:p>
    <w:p w14:paraId="02717BA8" w14:textId="77777777" w:rsidR="00747C54" w:rsidRDefault="00747C54" w:rsidP="00501F8C">
      <w:pPr>
        <w:pStyle w:val="3rove-trval"/>
      </w:pPr>
      <w:r>
        <w:t>změna názvu akce/projektu při zachování účelu a všech ostatních parametrů akce/projektu,</w:t>
      </w:r>
    </w:p>
    <w:p w14:paraId="56A18FA8" w14:textId="29CC641A" w:rsidR="00D9597D" w:rsidRDefault="00D9597D" w:rsidP="00501F8C">
      <w:pPr>
        <w:pStyle w:val="3rove-trval"/>
      </w:pPr>
      <w:r w:rsidRPr="00A960B0">
        <w:t>částečné nenaplnění monitorovacích indikátorů</w:t>
      </w:r>
      <w:r w:rsidR="006A3349" w:rsidRPr="006A3349">
        <w:t xml:space="preserve"> </w:t>
      </w:r>
      <w:r w:rsidR="006A3349">
        <w:t>dle čl. 3.2,</w:t>
      </w:r>
      <w:r w:rsidR="006A3349" w:rsidRPr="00EE4740">
        <w:rPr>
          <w:rStyle w:val="Kvbruaodstrann"/>
        </w:rPr>
        <w:t xml:space="preserve"> </w:t>
      </w:r>
    </w:p>
    <w:p w14:paraId="0F10FFA5" w14:textId="77777777" w:rsidR="00D9597D" w:rsidRPr="00F7092C" w:rsidRDefault="00D9597D" w:rsidP="00501F8C">
      <w:pPr>
        <w:pStyle w:val="3rove-trval"/>
      </w:pPr>
      <w:r w:rsidRPr="00F7092C">
        <w:t>změna zdrojů nebo výše podílů těchto zdrojů na financování projektu (s výjimkou dotace od Zlínského kraje),</w:t>
      </w:r>
    </w:p>
    <w:p w14:paraId="1A2C1EBB" w14:textId="2DEDEB42" w:rsidR="007A3EEB" w:rsidRPr="00F7092C" w:rsidRDefault="007A3EEB" w:rsidP="00501F8C">
      <w:pPr>
        <w:pStyle w:val="3rove-trval"/>
      </w:pPr>
      <w:r w:rsidRPr="00F7092C">
        <w:t xml:space="preserve">změna harmonogramu </w:t>
      </w:r>
      <w:r w:rsidR="003042E9" w:rsidRPr="00F7092C">
        <w:t xml:space="preserve">doby </w:t>
      </w:r>
      <w:r w:rsidRPr="00F7092C">
        <w:t>realizace, akce nebo aktivity</w:t>
      </w:r>
      <w:r w:rsidR="008366B8" w:rsidRPr="00F7092C">
        <w:t xml:space="preserve"> (změnou harmonogramu nesmí dojít k překročení nejzazšího data </w:t>
      </w:r>
      <w:r w:rsidR="003042E9" w:rsidRPr="00F7092C">
        <w:t xml:space="preserve">doby </w:t>
      </w:r>
      <w:r w:rsidR="008366B8" w:rsidRPr="00F7092C">
        <w:t xml:space="preserve">realizace, akce nebo aktivity stanoveného ve </w:t>
      </w:r>
      <w:r w:rsidR="009E67EA" w:rsidRPr="00F7092C">
        <w:t xml:space="preserve">smlouvě </w:t>
      </w:r>
      <w:r w:rsidR="008366B8" w:rsidRPr="00F7092C">
        <w:t xml:space="preserve">a podpora nebude vyplacena před termínem ukončení </w:t>
      </w:r>
      <w:r w:rsidR="003042E9" w:rsidRPr="00F7092C">
        <w:t xml:space="preserve">doby </w:t>
      </w:r>
      <w:r w:rsidR="008366B8" w:rsidRPr="00F7092C">
        <w:t>realizace, akce nebo aktivity)</w:t>
      </w:r>
      <w:r w:rsidR="00F7092C" w:rsidRPr="00F7092C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lastRenderedPageBreak/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6D231A05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568A48DB" w:rsidR="004D3B35" w:rsidRDefault="004D3B35" w:rsidP="00501F8C">
      <w:pPr>
        <w:pStyle w:val="3rove-trval"/>
      </w:pPr>
      <w:r>
        <w:t>prohlášení příjemce dle čl. 5.9 se prokáže jako nepravdivé,</w:t>
      </w:r>
    </w:p>
    <w:p w14:paraId="3CCBCD73" w14:textId="7F4BBEDC" w:rsidR="00F50470" w:rsidRPr="00DD3865" w:rsidRDefault="00F50470" w:rsidP="00501F8C">
      <w:pPr>
        <w:pStyle w:val="3rove-trval"/>
      </w:pPr>
      <w:r>
        <w:t>příjemce se opozdí s předložením závěrečné</w:t>
      </w:r>
      <w:r w:rsidR="7E23A851">
        <w:t>/průběžné</w:t>
      </w:r>
      <w:r>
        <w:t xml:space="preserve"> zprávy o více než </w:t>
      </w:r>
      <w:r w:rsidR="0080581B">
        <w:t>6</w:t>
      </w:r>
      <w:r>
        <w:t>0 pracovních dnů oproti lhůtě dle čl. 4.4</w:t>
      </w:r>
      <w:r w:rsidR="277DD38C">
        <w:t>/4.1</w:t>
      </w:r>
      <w:r>
        <w:t>,</w:t>
      </w:r>
    </w:p>
    <w:p w14:paraId="586C8C36" w14:textId="61424DDE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</w:t>
      </w:r>
      <w:r w:rsidR="00896A67">
        <w:t>a</w:t>
      </w:r>
      <w:r w:rsidRPr="00504796">
        <w:t xml:space="preserve">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F4F088C" w:rsidR="00504796" w:rsidRDefault="006A3349" w:rsidP="00501F8C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 xml:space="preserve">dle čl. 3.2, </w:t>
      </w:r>
    </w:p>
    <w:p w14:paraId="6075BEBF" w14:textId="60AE50D4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</w:t>
      </w:r>
      <w:r w:rsidR="00866816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1EE05B5B" w14:textId="227E4659" w:rsidR="002E32EC" w:rsidRDefault="00EC4D55" w:rsidP="002E32EC">
      <w:pPr>
        <w:pStyle w:val="2rove"/>
        <w:spacing w:line="276" w:lineRule="auto"/>
      </w:pPr>
      <w:r w:rsidRPr="00EC4D55">
        <w:t xml:space="preserve">Jako kontaktní </w:t>
      </w:r>
      <w:r w:rsidR="002E32EC">
        <w:t>osoba</w:t>
      </w:r>
      <w:r w:rsidRPr="00EC4D55">
        <w:t xml:space="preserve"> poskytovatele se pro účely této smlouvy stanovuje: </w:t>
      </w:r>
      <w:r w:rsidR="002E32EC">
        <w:t xml:space="preserve">Ing. Barbora Kubernátová, </w:t>
      </w:r>
      <w:r w:rsidRPr="00EC4D55">
        <w:t xml:space="preserve">Krajský úřad Zlínského kraje, </w:t>
      </w:r>
      <w:r w:rsidR="00B51211">
        <w:t>O</w:t>
      </w:r>
      <w:r w:rsidRPr="00EC4D55">
        <w:t>dbor</w:t>
      </w:r>
      <w:r w:rsidR="006E3B58">
        <w:t> </w:t>
      </w:r>
      <w:r w:rsidR="00866816">
        <w:t xml:space="preserve">strategického rozvoje kraje, </w:t>
      </w:r>
      <w:r w:rsidRPr="00EC4D55">
        <w:t>tel.:</w:t>
      </w:r>
      <w:r w:rsidR="006E3B58">
        <w:t> </w:t>
      </w:r>
      <w:r w:rsidR="0080581B">
        <w:t>577 043 843</w:t>
      </w:r>
      <w:r>
        <w:t xml:space="preserve">, </w:t>
      </w:r>
      <w:r w:rsidRPr="00EC4D55">
        <w:t>e-mail:</w:t>
      </w:r>
      <w:r w:rsidR="006E3B58">
        <w:t> </w:t>
      </w:r>
      <w:r w:rsidR="007572FA">
        <w:t>barbora.kubernatova</w:t>
      </w:r>
      <w:r w:rsidR="00866816">
        <w:t>@zlinskykraj.cz.</w:t>
      </w:r>
      <w:r w:rsidRPr="00EC4D55">
        <w:t xml:space="preserve"> </w:t>
      </w:r>
    </w:p>
    <w:p w14:paraId="4A06917D" w14:textId="188FC566" w:rsidR="002E32EC" w:rsidRDefault="002E32EC" w:rsidP="009C158D">
      <w:pPr>
        <w:pStyle w:val="2rove"/>
        <w:numPr>
          <w:ilvl w:val="0"/>
          <w:numId w:val="0"/>
        </w:numPr>
        <w:spacing w:line="276" w:lineRule="auto"/>
        <w:ind w:left="567"/>
      </w:pPr>
      <w:r>
        <w:t>Jako kontaktní osoba příjemce se pro účely této smlouvy stanovuje: Ing. Pavel Blažek, Univerzita Tomáše Bati, Odbor investic a majetku, tel.</w:t>
      </w:r>
      <w:r w:rsidR="00BE2430">
        <w:t>: 576 032 028, e-mail: pblazek@utb.cz</w:t>
      </w:r>
      <w:r w:rsidR="009C158D"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3056BEB2" w14:textId="77777777" w:rsidR="000449D8" w:rsidRDefault="000449D8" w:rsidP="00E82920">
      <w:pPr>
        <w:pStyle w:val="2rove"/>
        <w:spacing w:line="276" w:lineRule="auto"/>
      </w:pPr>
      <w:r w:rsidRPr="00BC32A3">
        <w:t>Smlouva je vyhotovena ve</w:t>
      </w:r>
      <w:r>
        <w:t xml:space="preserve"> 3 </w:t>
      </w:r>
      <w:r w:rsidRPr="00BC32A3">
        <w:t>stejnopisech, z nichž každý má platnost originálu.</w:t>
      </w:r>
      <w:r>
        <w:t xml:space="preserve"> Dvě </w:t>
      </w:r>
      <w:r w:rsidRPr="00BC32A3">
        <w:t xml:space="preserve">vyhotovení </w:t>
      </w:r>
      <w:proofErr w:type="gramStart"/>
      <w:r w:rsidRPr="00BC32A3">
        <w:t>obdrží</w:t>
      </w:r>
      <w:proofErr w:type="gramEnd"/>
      <w:r w:rsidRPr="00BC32A3">
        <w:t xml:space="preserve"> poskytovatel a</w:t>
      </w:r>
      <w:r>
        <w:t xml:space="preserve"> jedno </w:t>
      </w:r>
      <w:r w:rsidRPr="00BC32A3">
        <w:t>vyhotovení obdrží příjemce</w:t>
      </w:r>
      <w:r>
        <w:t xml:space="preserve">. </w:t>
      </w:r>
    </w:p>
    <w:p w14:paraId="197971F9" w14:textId="48FD168B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5DD7AEF3" w:rsidR="00F75253" w:rsidRDefault="00F75253" w:rsidP="00E82920">
      <w:pPr>
        <w:pStyle w:val="2rove"/>
        <w:spacing w:line="276" w:lineRule="auto"/>
      </w:pPr>
      <w:r>
        <w:t>Tato smlouva nabývá účinnosti dnem zveřejnění v registru smluv.</w:t>
      </w:r>
    </w:p>
    <w:p w14:paraId="5D2895B9" w14:textId="4D3A8D51" w:rsidR="579748AC" w:rsidRDefault="579748AC" w:rsidP="4F3ADAE7">
      <w:pPr>
        <w:pStyle w:val="2rove"/>
        <w:spacing w:line="276" w:lineRule="auto"/>
        <w:rPr>
          <w:color w:val="000000" w:themeColor="text1"/>
          <w:szCs w:val="20"/>
        </w:rPr>
      </w:pPr>
      <w:r w:rsidRPr="4F3ADAE7">
        <w:rPr>
          <w:color w:val="000000" w:themeColor="text1"/>
          <w:szCs w:val="20"/>
        </w:rPr>
        <w:t xml:space="preserve">Nedílnou součástí této smlouvy je příloha č. </w:t>
      </w:r>
      <w:proofErr w:type="gramStart"/>
      <w:r w:rsidRPr="4F3ADAE7">
        <w:rPr>
          <w:color w:val="000000" w:themeColor="text1"/>
          <w:szCs w:val="20"/>
        </w:rPr>
        <w:t>P01 - Způsobilé</w:t>
      </w:r>
      <w:proofErr w:type="gramEnd"/>
      <w:r w:rsidRPr="4F3ADAE7">
        <w:rPr>
          <w:color w:val="000000" w:themeColor="text1"/>
          <w:szCs w:val="20"/>
        </w:rPr>
        <w:t xml:space="preserve"> výdaje</w:t>
      </w:r>
      <w:r w:rsidR="00194FFA">
        <w:rPr>
          <w:color w:val="000000" w:themeColor="text1"/>
          <w:szCs w:val="20"/>
        </w:rPr>
        <w:t xml:space="preserve">. </w:t>
      </w:r>
    </w:p>
    <w:p w14:paraId="1867445F" w14:textId="77777777" w:rsidR="001C31BD" w:rsidRDefault="001C31BD" w:rsidP="00E86E1B">
      <w:pPr>
        <w:pStyle w:val="2rove"/>
        <w:numPr>
          <w:ilvl w:val="0"/>
          <w:numId w:val="0"/>
        </w:numPr>
        <w:spacing w:line="276" w:lineRule="auto"/>
        <w:ind w:left="567"/>
        <w:rPr>
          <w:color w:val="000000" w:themeColor="text1"/>
          <w:szCs w:val="20"/>
        </w:rPr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2BEEE1C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9C158D">
        <w:rPr>
          <w:rFonts w:cs="Arial"/>
          <w:szCs w:val="20"/>
        </w:rPr>
        <w:t>Zastupitelstvo Zlínského kraje</w:t>
      </w:r>
      <w:r w:rsidR="009C158D">
        <w:rPr>
          <w:rFonts w:cs="Arial"/>
          <w:szCs w:val="20"/>
        </w:rPr>
        <w:tab/>
      </w:r>
    </w:p>
    <w:p w14:paraId="4F7A8297" w14:textId="281D6C4B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9C158D">
        <w:rPr>
          <w:rFonts w:cs="Arial"/>
          <w:szCs w:val="20"/>
        </w:rPr>
        <w:t xml:space="preserve"> </w:t>
      </w:r>
      <w:r w:rsidR="003E3FE7">
        <w:rPr>
          <w:rFonts w:cs="Arial"/>
          <w:szCs w:val="20"/>
        </w:rPr>
        <w:t>29. 4. 2024, č. usn</w:t>
      </w:r>
      <w:r w:rsidR="00C82B2A">
        <w:rPr>
          <w:rFonts w:cs="Arial"/>
          <w:szCs w:val="20"/>
        </w:rPr>
        <w:t>esení</w:t>
      </w:r>
      <w:r w:rsidR="003E3FE7">
        <w:rPr>
          <w:rFonts w:cs="Arial"/>
          <w:szCs w:val="20"/>
        </w:rPr>
        <w:t xml:space="preserve"> </w:t>
      </w:r>
      <w:r w:rsidR="006D4939" w:rsidRPr="006D4939">
        <w:rPr>
          <w:rFonts w:cs="Arial"/>
          <w:szCs w:val="20"/>
        </w:rPr>
        <w:t>0717/Z23/24</w:t>
      </w:r>
    </w:p>
    <w:p w14:paraId="29F0BC7D" w14:textId="10589C16" w:rsidR="002025B2" w:rsidRDefault="002025B2">
      <w:pPr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br w:type="page"/>
      </w: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62F03EE4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AD453E">
              <w:t>21. 5. 2024</w:t>
            </w:r>
          </w:p>
        </w:tc>
        <w:tc>
          <w:tcPr>
            <w:tcW w:w="4531" w:type="dxa"/>
            <w:vAlign w:val="center"/>
          </w:tcPr>
          <w:p w14:paraId="6BD02E02" w14:textId="46503BBD" w:rsidR="006A4FA0" w:rsidRDefault="006A4FA0" w:rsidP="00E82920">
            <w:pPr>
              <w:spacing w:line="276" w:lineRule="auto"/>
            </w:pPr>
            <w:r>
              <w:t>V</w:t>
            </w:r>
            <w:r w:rsidR="006C7E6C">
              <w:t>e Zlíně</w:t>
            </w:r>
            <w:r>
              <w:t xml:space="preserve"> dne</w:t>
            </w:r>
            <w:r w:rsidR="006E3B58">
              <w:t> </w:t>
            </w:r>
            <w:r w:rsidR="00AD453E">
              <w:t>21. 5. 2024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AD453E" w14:paraId="64EAD7FC" w14:textId="77777777" w:rsidTr="00AD453E">
        <w:trPr>
          <w:trHeight w:val="567"/>
          <w:jc w:val="center"/>
        </w:trPr>
        <w:tc>
          <w:tcPr>
            <w:tcW w:w="4531" w:type="dxa"/>
            <w:vAlign w:val="center"/>
          </w:tcPr>
          <w:p w14:paraId="60C87965" w14:textId="77777777" w:rsidR="00AD453E" w:rsidRDefault="00AD453E" w:rsidP="006C7E6C">
            <w:pPr>
              <w:tabs>
                <w:tab w:val="left" w:pos="-250"/>
              </w:tabs>
              <w:spacing w:line="276" w:lineRule="auto"/>
              <w:ind w:hanging="250"/>
            </w:pPr>
          </w:p>
        </w:tc>
        <w:tc>
          <w:tcPr>
            <w:tcW w:w="4531" w:type="dxa"/>
            <w:vAlign w:val="center"/>
          </w:tcPr>
          <w:p w14:paraId="05E608C3" w14:textId="77777777" w:rsidR="00AD453E" w:rsidRDefault="00AD453E" w:rsidP="006C7E6C">
            <w:pPr>
              <w:spacing w:line="276" w:lineRule="auto"/>
            </w:pPr>
          </w:p>
        </w:tc>
      </w:tr>
      <w:tr w:rsidR="00AD453E" w14:paraId="0D8B5A30" w14:textId="77777777" w:rsidTr="00AD4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DDC790A" w14:textId="33CD7175" w:rsidR="00AD453E" w:rsidRDefault="00AD453E" w:rsidP="00AD453E">
            <w:pPr>
              <w:jc w:val="center"/>
            </w:pPr>
            <w:proofErr w:type="spellStart"/>
            <w:r>
              <w:t>xxxxxxxxxxxxxxxxxxxxxxxxx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E1C44E2" w14:textId="6B4DDB0E" w:rsidR="00AD453E" w:rsidRDefault="00AD453E" w:rsidP="00AD453E">
            <w:pPr>
              <w:jc w:val="center"/>
            </w:pPr>
            <w:proofErr w:type="spellStart"/>
            <w:r>
              <w:t>xxxxxxxxxxxxxxxxxxxxxxxxx</w:t>
            </w:r>
            <w:proofErr w:type="spellEnd"/>
          </w:p>
        </w:tc>
      </w:tr>
      <w:tr w:rsidR="00AD453E" w14:paraId="3C375F41" w14:textId="77777777" w:rsidTr="00AD4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F8CE0" w14:textId="77777777" w:rsidR="00AD453E" w:rsidRDefault="00AD453E" w:rsidP="00AD453E">
            <w:pPr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D9C3203" w14:textId="77777777" w:rsidR="00AD453E" w:rsidRDefault="00AD453E" w:rsidP="00AD453E">
            <w:pPr>
              <w:jc w:val="center"/>
            </w:pPr>
          </w:p>
        </w:tc>
      </w:tr>
      <w:tr w:rsidR="00AD453E" w14:paraId="74237E2C" w14:textId="77777777" w:rsidTr="00AD4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34E0300" w14:textId="7967DAF3" w:rsidR="00AD453E" w:rsidRDefault="00AD453E" w:rsidP="00AD453E">
            <w:pPr>
              <w:jc w:val="center"/>
            </w:pPr>
            <w:r>
              <w:t>Ing. Radim Holiš, hejtman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2D5EE4A" w14:textId="107AECB0" w:rsidR="00AD453E" w:rsidRDefault="00AD453E" w:rsidP="00AD453E">
            <w:pPr>
              <w:jc w:val="center"/>
            </w:pPr>
            <w:r>
              <w:t>Prof. Mgr. Milan Adámek. Ph.D., rektor</w:t>
            </w:r>
          </w:p>
        </w:tc>
      </w:tr>
      <w:tr w:rsidR="00AD453E" w14:paraId="21EAB48D" w14:textId="77777777" w:rsidTr="00AD4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0AC5067" w14:textId="77777777" w:rsidR="00AD453E" w:rsidRDefault="00AD453E" w:rsidP="00AD453E">
            <w:pPr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9540FB" w14:textId="77777777" w:rsidR="00AD453E" w:rsidRDefault="00AD453E" w:rsidP="00AD453E">
            <w:pPr>
              <w:jc w:val="center"/>
            </w:pPr>
          </w:p>
        </w:tc>
      </w:tr>
      <w:tr w:rsidR="00AD453E" w14:paraId="13DB2807" w14:textId="77777777" w:rsidTr="00AD4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41D571F" w14:textId="77777777" w:rsidR="00AD453E" w:rsidRDefault="00AD453E" w:rsidP="00AD453E">
            <w:pPr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A40832" w14:textId="77777777" w:rsidR="00AD453E" w:rsidRDefault="00AD453E" w:rsidP="00AD453E">
            <w:pPr>
              <w:jc w:val="center"/>
            </w:pPr>
          </w:p>
        </w:tc>
      </w:tr>
    </w:tbl>
    <w:p w14:paraId="716E9B62" w14:textId="77777777" w:rsidR="001C31BD" w:rsidRPr="001C31BD" w:rsidRDefault="001C31BD" w:rsidP="001C31BD"/>
    <w:p w14:paraId="6B029308" w14:textId="77777777" w:rsidR="001C31BD" w:rsidRPr="001C31BD" w:rsidRDefault="001C31BD" w:rsidP="001C31BD"/>
    <w:p w14:paraId="2235A30F" w14:textId="32D6FEDF" w:rsidR="006C7E6C" w:rsidRDefault="006C7E6C">
      <w:r>
        <w:br w:type="page"/>
      </w:r>
    </w:p>
    <w:p w14:paraId="4DD16044" w14:textId="77777777" w:rsidR="001C31BD" w:rsidRDefault="001C31BD" w:rsidP="001C31BD"/>
    <w:p w14:paraId="4287507C" w14:textId="48527DD0" w:rsidR="001C31BD" w:rsidRPr="001C31BD" w:rsidRDefault="001C31BD" w:rsidP="001C31BD">
      <w:pPr>
        <w:tabs>
          <w:tab w:val="left" w:pos="2370"/>
        </w:tabs>
        <w:rPr>
          <w:b/>
          <w:bCs/>
        </w:rPr>
      </w:pPr>
      <w:r w:rsidRPr="001C31BD">
        <w:rPr>
          <w:b/>
          <w:bCs/>
        </w:rPr>
        <w:t xml:space="preserve">Příloha P01 </w:t>
      </w:r>
      <w:r>
        <w:rPr>
          <w:b/>
          <w:bCs/>
        </w:rPr>
        <w:t xml:space="preserve">Smlouvy o poskytnutí </w:t>
      </w:r>
      <w:proofErr w:type="gramStart"/>
      <w:r>
        <w:rPr>
          <w:b/>
          <w:bCs/>
        </w:rPr>
        <w:t xml:space="preserve">dotace - </w:t>
      </w:r>
      <w:r w:rsidRPr="001C31BD">
        <w:rPr>
          <w:b/>
          <w:bCs/>
        </w:rPr>
        <w:t>Způsobilé</w:t>
      </w:r>
      <w:proofErr w:type="gramEnd"/>
      <w:r w:rsidRPr="001C31BD">
        <w:rPr>
          <w:b/>
          <w:bCs/>
        </w:rPr>
        <w:t xml:space="preserve"> výdaje projektu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761"/>
        <w:gridCol w:w="1835"/>
        <w:gridCol w:w="767"/>
      </w:tblGrid>
      <w:tr w:rsidR="001C31BD" w:rsidRPr="001C31BD" w14:paraId="2A0F676D" w14:textId="77777777" w:rsidTr="001C31BD">
        <w:trPr>
          <w:trHeight w:val="5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FA1D9A" w14:textId="77777777" w:rsidR="001C31BD" w:rsidRPr="001C31BD" w:rsidRDefault="001C31BD" w:rsidP="00B23774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označení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4E8F23" w14:textId="77777777" w:rsidR="001C31BD" w:rsidRPr="001C31BD" w:rsidRDefault="001C31BD" w:rsidP="00B23774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výdajová položka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D604A9" w14:textId="77777777" w:rsidR="001C31BD" w:rsidRPr="001C31BD" w:rsidRDefault="001C31BD" w:rsidP="00B23774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jednotka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7DA427" w14:textId="77777777" w:rsidR="001C31BD" w:rsidRPr="001C31BD" w:rsidRDefault="001C31BD" w:rsidP="00B23774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počet jednotek</w:t>
            </w:r>
          </w:p>
        </w:tc>
      </w:tr>
      <w:tr w:rsidR="001C31BD" w:rsidRPr="001C31BD" w14:paraId="450EA47F" w14:textId="77777777" w:rsidTr="001C31BD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FF92CC" w14:textId="77777777" w:rsidR="001C31BD" w:rsidRPr="001C31BD" w:rsidRDefault="001C31BD" w:rsidP="00B23774">
            <w:pPr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6AF598E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STAVEBNÍ OBJEKTY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0B4DF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BACB1C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1C31BD" w:rsidRPr="001C31BD" w14:paraId="0ADBC4E0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9863C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 120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72F8D6E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Novostavba objektu U1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1827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stavební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5D57C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1C31BD" w:rsidRPr="001C31BD" w14:paraId="3417B2E9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7C26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D.1.1 a D.1.2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8F2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Architektonicko</w:t>
            </w:r>
            <w:proofErr w:type="spellEnd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stavební řešení a Stavebně konstrukční řešení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953A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B0C7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286BEC1E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6EB6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FC55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Zdravotně technické instalace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15E7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34A1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7B168FA1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F66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3CB5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Plynová odběrná zařízení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D88C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692C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5EB7D379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FAB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D.1.4.03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0A2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Vzduchotechnika (rozvody pro zajištění mikroklimatu prostředí staveb, koncové prvky)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B1F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6678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FFB5BB2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A68B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D.1.4.04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F75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Vytápění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A99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73B8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0EC1B96E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8D4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15C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Chlazení - rozvody</w:t>
            </w:r>
            <w:proofErr w:type="gramEnd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chladu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AC2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78D0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E9FD01D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59B9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D.1.4.06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E0DA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Měření a regulace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F27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E4F1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03CB27B1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A4D9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D.1.4.07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218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Silnoproudá elektrotechnika včetně ochrany před bleskem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1153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9797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7F408A3C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6EB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46C3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Interkom a Poplachový zabezpečovací a tísňový </w:t>
            </w:r>
            <w:proofErr w:type="gram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systém - PZTS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9B9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5674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0B363D48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7CA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644C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Kartový přístupový </w:t>
            </w:r>
            <w:proofErr w:type="gram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systém - EACS</w:t>
            </w:r>
            <w:proofErr w:type="gramEnd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(EKV)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916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DA94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6EC9EBEA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9AA5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D.1.4.08.03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7B37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Videodohledový</w:t>
            </w:r>
            <w:proofErr w:type="spellEnd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gram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systém - VSS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CD9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EC52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770975DB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5FF3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D.1.4.08.04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D58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Strukturovaná </w:t>
            </w:r>
            <w:proofErr w:type="gram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kabeláž - SK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82B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7496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26277FD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4AD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224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Aktivní </w:t>
            </w:r>
            <w:proofErr w:type="gram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prvky - AP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867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65CE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6CF7A12A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EAD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D.1.4.08.06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3FD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Nouzová signalizace WC Invalidé a Orientační hlasový majáček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4AB5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DF7D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74406AF3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B1A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D.1.4.08.07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4FE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Parkovací systémy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30B5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6206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DB8087E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E64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D.1.4.08.08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6717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Zemní práce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B386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F12D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364BB787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85A5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D.1.4.09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DA7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Vyhrazená zdvihací </w:t>
            </w:r>
            <w:proofErr w:type="gramStart"/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zařízení - výtahy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F02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C0FF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4E8F65FA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751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D.1.4.10.1 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911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Elektrická požární signalizace (EPS)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4A76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7280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45993FD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FA9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D.1.4.10.1 b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4E39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Hlasové výstražné zařízením (ER)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BDD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D8D7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0F916796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094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D.1.4.10.2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F33B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Požární větrání CHÚC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F87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06B7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66446ED2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957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VORN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19D9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Vedlejší a ostatní náklady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4EBB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3EEA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774F9B4B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C69F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 121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5B3134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Speciální zakládání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B825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stavební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507F8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41A23C1B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5832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 122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857990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Záporová stěna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54F9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stavební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B6297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335625F4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8BE6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SO 131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6DCA8FF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Bourání zpevněných ploch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BE79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stavební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1A650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58CF6B8D" w14:textId="77777777" w:rsidTr="001C31BD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FAC1C8" w14:textId="77777777" w:rsidR="001C31BD" w:rsidRPr="001C31BD" w:rsidRDefault="001C31BD" w:rsidP="00B23774">
            <w:pPr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0E8DBB7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INŽENÝRSKÉ OBJEKTY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41CEF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AD277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1C31BD" w:rsidRPr="001C31BD" w14:paraId="5EF690AB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DD4F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IO 203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2BFF248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Zpevněné plochy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BE72E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inženýrský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49B021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1B8FE2A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8D02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IO 221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6F7494E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Horkovodní přípojka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411F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inženýrský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15E3C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6430198A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B46FC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IO 222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DEEE17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Úprava přípojky kanalizace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B933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inženýrský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DE4D3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36C5C386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0A76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IO 223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327328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Úprava přípojky vodovodu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8987A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inženýrský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E5D16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60E16C59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ABDC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IO 225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7803E4F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Úprava (přeložka) stávající plynovodní přípojky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3388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inženýrský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DBA50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0D75BC8F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671A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IO 226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9427C37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Dešťová kanalizace, retenční, akumulační nádrž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4297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inženýrský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69743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619968A5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F7DE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IO 228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23D1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Oprava vodovodního řádu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0F08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inženýrský objekt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93314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45D18D56" w14:textId="77777777" w:rsidTr="001C31BD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506EBC" w14:textId="77777777" w:rsidR="001C31BD" w:rsidRPr="001C31BD" w:rsidRDefault="001C31BD" w:rsidP="00B23774">
            <w:pPr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9B5189D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PROVOZNÍ SOUBORY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7DEB3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B689CF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1C31BD" w:rsidRPr="001C31BD" w14:paraId="4CADD97B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7EC7E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PS 201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A865DA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Laboratorní technologie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8525C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C5822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F93783C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285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PJ 201.3 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5CBB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Rozvody stlačeného vzduchu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395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jednotka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9C6A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41E8BD75" w14:textId="77777777" w:rsidTr="001C31BD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5495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PJ 201.3 b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E09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Kompresní stanice stlačeného vzduchu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3867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jednotka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8875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192F492" w14:textId="77777777" w:rsidTr="001C31BD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F9E3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PJ 201.4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3EC7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Rozvody laboratorních plynů, lahvové stanice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0C7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jednotka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3513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2F2E3D3" w14:textId="77777777" w:rsidTr="001C31BD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3046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PJ 201.5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BFD9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Příprava a rozvody demineralizované vody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E08A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jednotka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FFF4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0CC673E6" w14:textId="77777777" w:rsidTr="001C31BD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AC14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PS 202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C74F63E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Technologická VZT zařízení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176644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soubor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B0BF4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2FE3F29C" w14:textId="77777777" w:rsidTr="001C31BD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8F388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PS 203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3836BFE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Zdroj technologické chlazené vody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2C2F7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soubor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E79CF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15661376" w14:textId="77777777" w:rsidTr="001C31BD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209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PJ 203.1 a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0DF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Výrobník chlazené vody 1 (141 kW)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6C6B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jednotka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FF9D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739D3F49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5F3A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PJ 203.1 b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E0E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Výrobník chlazené vody 2 (323 kW)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E30B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jednotka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E586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5BF03113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CC3A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PJ 203.2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BEE3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Chladivové rozvody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E101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jednotka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DBB3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3C18C700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9797F2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PS 204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AACE3EC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Vysokotlaké rozvody technologické chlazené vody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0B9BD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25BCE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1C31BD" w:rsidRPr="001C31BD" w14:paraId="4BED8228" w14:textId="77777777" w:rsidTr="001C31BD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72AB0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PS 205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4D53B1" w14:textId="77777777" w:rsidR="001C31BD" w:rsidRPr="001C31BD" w:rsidRDefault="001C31BD" w:rsidP="00B23774">
            <w:pP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Fotovoltaická elektrárna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07827" w14:textId="77777777" w:rsidR="001C31BD" w:rsidRPr="001C31BD" w:rsidRDefault="001C31BD" w:rsidP="00B23774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provozní soubor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E5B9D" w14:textId="77777777" w:rsidR="001C31BD" w:rsidRPr="001C31BD" w:rsidRDefault="001C31BD" w:rsidP="00B23774">
            <w:pPr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C31BD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</w:tbl>
    <w:p w14:paraId="71A71690" w14:textId="77777777" w:rsidR="001C31BD" w:rsidRPr="001C31BD" w:rsidRDefault="001C31BD" w:rsidP="001C31BD">
      <w:pPr>
        <w:rPr>
          <w:rFonts w:cs="Arial"/>
          <w:szCs w:val="20"/>
        </w:rPr>
      </w:pPr>
    </w:p>
    <w:p w14:paraId="015EF5C4" w14:textId="77777777" w:rsidR="001C31BD" w:rsidRPr="001C31BD" w:rsidRDefault="001C31BD" w:rsidP="001C31BD">
      <w:pPr>
        <w:tabs>
          <w:tab w:val="left" w:pos="2370"/>
        </w:tabs>
        <w:rPr>
          <w:rFonts w:cs="Arial"/>
          <w:szCs w:val="20"/>
        </w:rPr>
      </w:pPr>
    </w:p>
    <w:sectPr w:rsidR="001C31BD" w:rsidRPr="001C31BD" w:rsidSect="00DC209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CA2E" w14:textId="77777777" w:rsidR="00DC2095" w:rsidRDefault="00DC2095" w:rsidP="00324D78">
      <w:pPr>
        <w:spacing w:after="0" w:line="240" w:lineRule="auto"/>
      </w:pPr>
      <w:r>
        <w:separator/>
      </w:r>
    </w:p>
  </w:endnote>
  <w:endnote w:type="continuationSeparator" w:id="0">
    <w:p w14:paraId="46875074" w14:textId="77777777" w:rsidR="00DC2095" w:rsidRDefault="00DC2095" w:rsidP="00324D78">
      <w:pPr>
        <w:spacing w:after="0" w:line="240" w:lineRule="auto"/>
      </w:pPr>
      <w:r>
        <w:continuationSeparator/>
      </w:r>
    </w:p>
  </w:endnote>
  <w:endnote w:type="continuationNotice" w:id="1">
    <w:p w14:paraId="68F5A594" w14:textId="77777777" w:rsidR="00DC2095" w:rsidRDefault="00DC2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B62A" w14:textId="490C9264" w:rsidR="00C50D92" w:rsidRDefault="00C8193C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0823" w14:textId="77777777" w:rsidR="00DC2095" w:rsidRDefault="00DC2095" w:rsidP="00324D78">
      <w:pPr>
        <w:spacing w:after="0" w:line="240" w:lineRule="auto"/>
      </w:pPr>
      <w:r>
        <w:separator/>
      </w:r>
    </w:p>
  </w:footnote>
  <w:footnote w:type="continuationSeparator" w:id="0">
    <w:p w14:paraId="2317A93D" w14:textId="77777777" w:rsidR="00DC2095" w:rsidRDefault="00DC2095" w:rsidP="00324D78">
      <w:pPr>
        <w:spacing w:after="0" w:line="240" w:lineRule="auto"/>
      </w:pPr>
      <w:r>
        <w:continuationSeparator/>
      </w:r>
    </w:p>
  </w:footnote>
  <w:footnote w:type="continuationNotice" w:id="1">
    <w:p w14:paraId="512DF326" w14:textId="77777777" w:rsidR="00DC2095" w:rsidRDefault="00DC2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4E71" w14:textId="4B8FAF9B" w:rsidR="0068398E" w:rsidRPr="0068398E" w:rsidRDefault="0068398E" w:rsidP="0068398E">
    <w:pPr>
      <w:pStyle w:val="Zhlav"/>
      <w:jc w:val="right"/>
      <w:rPr>
        <w:b/>
        <w:bCs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B600277"/>
    <w:multiLevelType w:val="hybridMultilevel"/>
    <w:tmpl w:val="FFFFFFFF"/>
    <w:lvl w:ilvl="0" w:tplc="1EFE7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A5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8EA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2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02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0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68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B0300"/>
    <w:multiLevelType w:val="hybridMultilevel"/>
    <w:tmpl w:val="AF12EA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440832670">
    <w:abstractNumId w:val="1"/>
  </w:num>
  <w:num w:numId="2" w16cid:durableId="279915523">
    <w:abstractNumId w:val="3"/>
  </w:num>
  <w:num w:numId="3" w16cid:durableId="1243832320">
    <w:abstractNumId w:val="5"/>
  </w:num>
  <w:num w:numId="4" w16cid:durableId="1074282447">
    <w:abstractNumId w:val="3"/>
  </w:num>
  <w:num w:numId="5" w16cid:durableId="859273447">
    <w:abstractNumId w:val="3"/>
  </w:num>
  <w:num w:numId="6" w16cid:durableId="1652439213">
    <w:abstractNumId w:val="3"/>
  </w:num>
  <w:num w:numId="7" w16cid:durableId="208496710">
    <w:abstractNumId w:val="3"/>
  </w:num>
  <w:num w:numId="8" w16cid:durableId="1283415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882910">
    <w:abstractNumId w:val="3"/>
  </w:num>
  <w:num w:numId="10" w16cid:durableId="893388174">
    <w:abstractNumId w:val="3"/>
  </w:num>
  <w:num w:numId="11" w16cid:durableId="1147865542">
    <w:abstractNumId w:val="3"/>
  </w:num>
  <w:num w:numId="12" w16cid:durableId="729504788">
    <w:abstractNumId w:val="3"/>
  </w:num>
  <w:num w:numId="13" w16cid:durableId="935401017">
    <w:abstractNumId w:val="0"/>
  </w:num>
  <w:num w:numId="14" w16cid:durableId="1347169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 w16cid:durableId="720445007">
    <w:abstractNumId w:val="4"/>
  </w:num>
  <w:num w:numId="16" w16cid:durableId="1201554225">
    <w:abstractNumId w:val="3"/>
  </w:num>
  <w:num w:numId="17" w16cid:durableId="2007593563">
    <w:abstractNumId w:val="3"/>
  </w:num>
  <w:num w:numId="18" w16cid:durableId="1191799708">
    <w:abstractNumId w:val="3"/>
  </w:num>
  <w:num w:numId="19" w16cid:durableId="755633766">
    <w:abstractNumId w:val="3"/>
  </w:num>
  <w:num w:numId="20" w16cid:durableId="882712320">
    <w:abstractNumId w:val="3"/>
  </w:num>
  <w:num w:numId="21" w16cid:durableId="1133401091">
    <w:abstractNumId w:val="3"/>
  </w:num>
  <w:num w:numId="22" w16cid:durableId="885220734">
    <w:abstractNumId w:val="3"/>
  </w:num>
  <w:num w:numId="23" w16cid:durableId="1568881944">
    <w:abstractNumId w:val="3"/>
  </w:num>
  <w:num w:numId="24" w16cid:durableId="1721057526">
    <w:abstractNumId w:val="3"/>
  </w:num>
  <w:num w:numId="25" w16cid:durableId="566186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4C85"/>
    <w:rsid w:val="00006709"/>
    <w:rsid w:val="00006ECE"/>
    <w:rsid w:val="000132A3"/>
    <w:rsid w:val="00013EEE"/>
    <w:rsid w:val="000228C3"/>
    <w:rsid w:val="0003487A"/>
    <w:rsid w:val="0004104E"/>
    <w:rsid w:val="000417D8"/>
    <w:rsid w:val="000449D8"/>
    <w:rsid w:val="0005319A"/>
    <w:rsid w:val="0005501A"/>
    <w:rsid w:val="00055E5A"/>
    <w:rsid w:val="0006774F"/>
    <w:rsid w:val="00074C2E"/>
    <w:rsid w:val="00077168"/>
    <w:rsid w:val="00083923"/>
    <w:rsid w:val="00090713"/>
    <w:rsid w:val="00095DF0"/>
    <w:rsid w:val="00096D13"/>
    <w:rsid w:val="000A6E68"/>
    <w:rsid w:val="000B0AC2"/>
    <w:rsid w:val="000B11E0"/>
    <w:rsid w:val="000B7FE5"/>
    <w:rsid w:val="000C5740"/>
    <w:rsid w:val="000C67D0"/>
    <w:rsid w:val="000D31A2"/>
    <w:rsid w:val="000D4C11"/>
    <w:rsid w:val="000E7D0E"/>
    <w:rsid w:val="000F686B"/>
    <w:rsid w:val="00114376"/>
    <w:rsid w:val="00116E6A"/>
    <w:rsid w:val="0012227A"/>
    <w:rsid w:val="00123AD3"/>
    <w:rsid w:val="001252CD"/>
    <w:rsid w:val="00126170"/>
    <w:rsid w:val="00132558"/>
    <w:rsid w:val="001364BB"/>
    <w:rsid w:val="00140C19"/>
    <w:rsid w:val="00141F9B"/>
    <w:rsid w:val="001422DD"/>
    <w:rsid w:val="0014635F"/>
    <w:rsid w:val="00155EF6"/>
    <w:rsid w:val="001575B6"/>
    <w:rsid w:val="001633E8"/>
    <w:rsid w:val="00165E3A"/>
    <w:rsid w:val="00177093"/>
    <w:rsid w:val="00183071"/>
    <w:rsid w:val="00184001"/>
    <w:rsid w:val="00185D86"/>
    <w:rsid w:val="00185DE1"/>
    <w:rsid w:val="00186F11"/>
    <w:rsid w:val="00194FFA"/>
    <w:rsid w:val="001B03F0"/>
    <w:rsid w:val="001B067A"/>
    <w:rsid w:val="001B6081"/>
    <w:rsid w:val="001C31BD"/>
    <w:rsid w:val="001C4D9E"/>
    <w:rsid w:val="001C6112"/>
    <w:rsid w:val="001D0EA2"/>
    <w:rsid w:val="001D6E79"/>
    <w:rsid w:val="001E0AED"/>
    <w:rsid w:val="001E11F1"/>
    <w:rsid w:val="001E22BF"/>
    <w:rsid w:val="001E5A62"/>
    <w:rsid w:val="002025B2"/>
    <w:rsid w:val="002031A5"/>
    <w:rsid w:val="002065FF"/>
    <w:rsid w:val="00210559"/>
    <w:rsid w:val="00211237"/>
    <w:rsid w:val="00214E04"/>
    <w:rsid w:val="00216BC4"/>
    <w:rsid w:val="00220F80"/>
    <w:rsid w:val="00222CBA"/>
    <w:rsid w:val="00223423"/>
    <w:rsid w:val="002322B2"/>
    <w:rsid w:val="002354AD"/>
    <w:rsid w:val="00240EF2"/>
    <w:rsid w:val="00251801"/>
    <w:rsid w:val="00253134"/>
    <w:rsid w:val="00254F2A"/>
    <w:rsid w:val="002563AC"/>
    <w:rsid w:val="00267561"/>
    <w:rsid w:val="00281988"/>
    <w:rsid w:val="002827BA"/>
    <w:rsid w:val="00282F08"/>
    <w:rsid w:val="00287043"/>
    <w:rsid w:val="002942C3"/>
    <w:rsid w:val="002951B7"/>
    <w:rsid w:val="002A0530"/>
    <w:rsid w:val="002A45AC"/>
    <w:rsid w:val="002A56F2"/>
    <w:rsid w:val="002A5716"/>
    <w:rsid w:val="002B1861"/>
    <w:rsid w:val="002B1A10"/>
    <w:rsid w:val="002B4723"/>
    <w:rsid w:val="002C00E2"/>
    <w:rsid w:val="002C32AC"/>
    <w:rsid w:val="002C3364"/>
    <w:rsid w:val="002C5090"/>
    <w:rsid w:val="002D215A"/>
    <w:rsid w:val="002D4DF8"/>
    <w:rsid w:val="002E018F"/>
    <w:rsid w:val="002E32EC"/>
    <w:rsid w:val="002E624A"/>
    <w:rsid w:val="002F1FE4"/>
    <w:rsid w:val="002F2275"/>
    <w:rsid w:val="003042E9"/>
    <w:rsid w:val="00306C0D"/>
    <w:rsid w:val="00306FC1"/>
    <w:rsid w:val="0030743E"/>
    <w:rsid w:val="00313590"/>
    <w:rsid w:val="003209DD"/>
    <w:rsid w:val="00324D78"/>
    <w:rsid w:val="00332CE9"/>
    <w:rsid w:val="00340702"/>
    <w:rsid w:val="00340B35"/>
    <w:rsid w:val="003421D1"/>
    <w:rsid w:val="00346DF3"/>
    <w:rsid w:val="00351BA6"/>
    <w:rsid w:val="0035536C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46CC"/>
    <w:rsid w:val="003C4D8A"/>
    <w:rsid w:val="003D40FC"/>
    <w:rsid w:val="003D4418"/>
    <w:rsid w:val="003D6684"/>
    <w:rsid w:val="003D6A1A"/>
    <w:rsid w:val="003D7EC4"/>
    <w:rsid w:val="003E2F35"/>
    <w:rsid w:val="003E3BE0"/>
    <w:rsid w:val="003E3DF1"/>
    <w:rsid w:val="003E3FE7"/>
    <w:rsid w:val="003E67CF"/>
    <w:rsid w:val="003F1035"/>
    <w:rsid w:val="004054E1"/>
    <w:rsid w:val="00412219"/>
    <w:rsid w:val="00415855"/>
    <w:rsid w:val="00417DD1"/>
    <w:rsid w:val="004272E4"/>
    <w:rsid w:val="00430948"/>
    <w:rsid w:val="00432A5A"/>
    <w:rsid w:val="004340C5"/>
    <w:rsid w:val="00444289"/>
    <w:rsid w:val="00463B49"/>
    <w:rsid w:val="00463EEE"/>
    <w:rsid w:val="00477791"/>
    <w:rsid w:val="00485683"/>
    <w:rsid w:val="004872A7"/>
    <w:rsid w:val="004942FC"/>
    <w:rsid w:val="00496893"/>
    <w:rsid w:val="004A3A15"/>
    <w:rsid w:val="004B6331"/>
    <w:rsid w:val="004C3F28"/>
    <w:rsid w:val="004C67F5"/>
    <w:rsid w:val="004D3B35"/>
    <w:rsid w:val="004D67D0"/>
    <w:rsid w:val="004D7E38"/>
    <w:rsid w:val="004E4E47"/>
    <w:rsid w:val="004F068F"/>
    <w:rsid w:val="004F1656"/>
    <w:rsid w:val="004F4915"/>
    <w:rsid w:val="004F78C1"/>
    <w:rsid w:val="00501F8C"/>
    <w:rsid w:val="00504796"/>
    <w:rsid w:val="00506961"/>
    <w:rsid w:val="00506DC6"/>
    <w:rsid w:val="005143BA"/>
    <w:rsid w:val="00514750"/>
    <w:rsid w:val="005160EE"/>
    <w:rsid w:val="00516C51"/>
    <w:rsid w:val="00525C5F"/>
    <w:rsid w:val="005269E1"/>
    <w:rsid w:val="00530395"/>
    <w:rsid w:val="00530D1A"/>
    <w:rsid w:val="00535F16"/>
    <w:rsid w:val="005405D6"/>
    <w:rsid w:val="005487DE"/>
    <w:rsid w:val="00552A30"/>
    <w:rsid w:val="00556BD0"/>
    <w:rsid w:val="0056114B"/>
    <w:rsid w:val="005651A6"/>
    <w:rsid w:val="00567CAC"/>
    <w:rsid w:val="00572414"/>
    <w:rsid w:val="00575ED9"/>
    <w:rsid w:val="005803A9"/>
    <w:rsid w:val="0058284A"/>
    <w:rsid w:val="00584FAF"/>
    <w:rsid w:val="00586C8E"/>
    <w:rsid w:val="00592774"/>
    <w:rsid w:val="00595EDB"/>
    <w:rsid w:val="005A3060"/>
    <w:rsid w:val="005A708D"/>
    <w:rsid w:val="005B1088"/>
    <w:rsid w:val="005B3156"/>
    <w:rsid w:val="005B3FE5"/>
    <w:rsid w:val="005C0FC8"/>
    <w:rsid w:val="005C19DC"/>
    <w:rsid w:val="005C3F37"/>
    <w:rsid w:val="005C5366"/>
    <w:rsid w:val="005F5EF1"/>
    <w:rsid w:val="006033A0"/>
    <w:rsid w:val="00610168"/>
    <w:rsid w:val="006120A4"/>
    <w:rsid w:val="006125E2"/>
    <w:rsid w:val="006137BD"/>
    <w:rsid w:val="00621960"/>
    <w:rsid w:val="006239F6"/>
    <w:rsid w:val="00624DD4"/>
    <w:rsid w:val="00626FA3"/>
    <w:rsid w:val="00627156"/>
    <w:rsid w:val="006420FB"/>
    <w:rsid w:val="00651C43"/>
    <w:rsid w:val="006535D6"/>
    <w:rsid w:val="00663A3B"/>
    <w:rsid w:val="00664E5A"/>
    <w:rsid w:val="00666C75"/>
    <w:rsid w:val="00673A97"/>
    <w:rsid w:val="00674C5D"/>
    <w:rsid w:val="00681518"/>
    <w:rsid w:val="0068398E"/>
    <w:rsid w:val="006A3349"/>
    <w:rsid w:val="006A4FA0"/>
    <w:rsid w:val="006B0A76"/>
    <w:rsid w:val="006C7E6C"/>
    <w:rsid w:val="006D3ED1"/>
    <w:rsid w:val="006D4939"/>
    <w:rsid w:val="006E3B58"/>
    <w:rsid w:val="006E48D9"/>
    <w:rsid w:val="006F13D9"/>
    <w:rsid w:val="006F1C4F"/>
    <w:rsid w:val="006F7DB1"/>
    <w:rsid w:val="0070076B"/>
    <w:rsid w:val="0070346F"/>
    <w:rsid w:val="00703656"/>
    <w:rsid w:val="00704E7E"/>
    <w:rsid w:val="00707725"/>
    <w:rsid w:val="0071018E"/>
    <w:rsid w:val="00717ECA"/>
    <w:rsid w:val="007244D8"/>
    <w:rsid w:val="007345D1"/>
    <w:rsid w:val="00737846"/>
    <w:rsid w:val="00746511"/>
    <w:rsid w:val="00747C54"/>
    <w:rsid w:val="007551EA"/>
    <w:rsid w:val="007572FA"/>
    <w:rsid w:val="00760945"/>
    <w:rsid w:val="0076293F"/>
    <w:rsid w:val="00765E8A"/>
    <w:rsid w:val="00766DAA"/>
    <w:rsid w:val="0077026D"/>
    <w:rsid w:val="00774B8A"/>
    <w:rsid w:val="00786DD3"/>
    <w:rsid w:val="00790F95"/>
    <w:rsid w:val="00794512"/>
    <w:rsid w:val="00795970"/>
    <w:rsid w:val="007A3EEB"/>
    <w:rsid w:val="007B1390"/>
    <w:rsid w:val="007B16C0"/>
    <w:rsid w:val="007B258A"/>
    <w:rsid w:val="007B5A58"/>
    <w:rsid w:val="007C01EB"/>
    <w:rsid w:val="007C1859"/>
    <w:rsid w:val="007C2258"/>
    <w:rsid w:val="007D4198"/>
    <w:rsid w:val="007D786E"/>
    <w:rsid w:val="007E1791"/>
    <w:rsid w:val="007E3144"/>
    <w:rsid w:val="007E4CE9"/>
    <w:rsid w:val="007F7E4D"/>
    <w:rsid w:val="008024B4"/>
    <w:rsid w:val="0080581B"/>
    <w:rsid w:val="008102B7"/>
    <w:rsid w:val="0081665B"/>
    <w:rsid w:val="008217A9"/>
    <w:rsid w:val="00826193"/>
    <w:rsid w:val="00836085"/>
    <w:rsid w:val="008366B8"/>
    <w:rsid w:val="00844899"/>
    <w:rsid w:val="00844EFD"/>
    <w:rsid w:val="00846F07"/>
    <w:rsid w:val="00860737"/>
    <w:rsid w:val="00863C83"/>
    <w:rsid w:val="00866816"/>
    <w:rsid w:val="00867936"/>
    <w:rsid w:val="00870EEC"/>
    <w:rsid w:val="008746E8"/>
    <w:rsid w:val="008779FB"/>
    <w:rsid w:val="00881F76"/>
    <w:rsid w:val="008861B6"/>
    <w:rsid w:val="00887BFA"/>
    <w:rsid w:val="0089035D"/>
    <w:rsid w:val="00890E4B"/>
    <w:rsid w:val="00896A67"/>
    <w:rsid w:val="008971F6"/>
    <w:rsid w:val="008A5D70"/>
    <w:rsid w:val="008A6407"/>
    <w:rsid w:val="008B0A69"/>
    <w:rsid w:val="008B3CAE"/>
    <w:rsid w:val="008B3EEC"/>
    <w:rsid w:val="008B4EDC"/>
    <w:rsid w:val="008C431E"/>
    <w:rsid w:val="008C55EA"/>
    <w:rsid w:val="008D0B91"/>
    <w:rsid w:val="008D1EBC"/>
    <w:rsid w:val="008D2631"/>
    <w:rsid w:val="008D374D"/>
    <w:rsid w:val="008E03AA"/>
    <w:rsid w:val="008E5BB6"/>
    <w:rsid w:val="008E5CCA"/>
    <w:rsid w:val="008E75C2"/>
    <w:rsid w:val="008E7B6E"/>
    <w:rsid w:val="009021DC"/>
    <w:rsid w:val="00905322"/>
    <w:rsid w:val="009105BD"/>
    <w:rsid w:val="009139D6"/>
    <w:rsid w:val="0091624D"/>
    <w:rsid w:val="00927879"/>
    <w:rsid w:val="00930026"/>
    <w:rsid w:val="00934762"/>
    <w:rsid w:val="00936E48"/>
    <w:rsid w:val="00944ED8"/>
    <w:rsid w:val="009465C0"/>
    <w:rsid w:val="009514A5"/>
    <w:rsid w:val="009609DE"/>
    <w:rsid w:val="009631A7"/>
    <w:rsid w:val="00971B6C"/>
    <w:rsid w:val="009726C2"/>
    <w:rsid w:val="00977F77"/>
    <w:rsid w:val="009806CB"/>
    <w:rsid w:val="00983080"/>
    <w:rsid w:val="00985F87"/>
    <w:rsid w:val="00990D91"/>
    <w:rsid w:val="0099201B"/>
    <w:rsid w:val="00994345"/>
    <w:rsid w:val="009954FF"/>
    <w:rsid w:val="009968D7"/>
    <w:rsid w:val="00997359"/>
    <w:rsid w:val="009A021D"/>
    <w:rsid w:val="009A3617"/>
    <w:rsid w:val="009A7B68"/>
    <w:rsid w:val="009B0DAE"/>
    <w:rsid w:val="009B7C70"/>
    <w:rsid w:val="009C158D"/>
    <w:rsid w:val="009C62B9"/>
    <w:rsid w:val="009D424A"/>
    <w:rsid w:val="009D4EB6"/>
    <w:rsid w:val="009D5FF1"/>
    <w:rsid w:val="009D6548"/>
    <w:rsid w:val="009E1DBD"/>
    <w:rsid w:val="009E67EA"/>
    <w:rsid w:val="009F626F"/>
    <w:rsid w:val="00A04406"/>
    <w:rsid w:val="00A20D53"/>
    <w:rsid w:val="00A233FD"/>
    <w:rsid w:val="00A239B2"/>
    <w:rsid w:val="00A25E1D"/>
    <w:rsid w:val="00A2646B"/>
    <w:rsid w:val="00A35199"/>
    <w:rsid w:val="00A35B90"/>
    <w:rsid w:val="00A439DD"/>
    <w:rsid w:val="00A517D6"/>
    <w:rsid w:val="00A60925"/>
    <w:rsid w:val="00A64BF2"/>
    <w:rsid w:val="00A64E56"/>
    <w:rsid w:val="00A66CDB"/>
    <w:rsid w:val="00A75A68"/>
    <w:rsid w:val="00A87504"/>
    <w:rsid w:val="00A954DB"/>
    <w:rsid w:val="00A96CAC"/>
    <w:rsid w:val="00AB0C43"/>
    <w:rsid w:val="00AB2AFF"/>
    <w:rsid w:val="00AB4AFB"/>
    <w:rsid w:val="00AB7406"/>
    <w:rsid w:val="00AC6058"/>
    <w:rsid w:val="00AC606C"/>
    <w:rsid w:val="00AC6E7E"/>
    <w:rsid w:val="00AD41BD"/>
    <w:rsid w:val="00AD453E"/>
    <w:rsid w:val="00AD62DD"/>
    <w:rsid w:val="00AE0A03"/>
    <w:rsid w:val="00AF403C"/>
    <w:rsid w:val="00B007CA"/>
    <w:rsid w:val="00B036EE"/>
    <w:rsid w:val="00B06852"/>
    <w:rsid w:val="00B1056A"/>
    <w:rsid w:val="00B21DB2"/>
    <w:rsid w:val="00B24D28"/>
    <w:rsid w:val="00B353EA"/>
    <w:rsid w:val="00B356F6"/>
    <w:rsid w:val="00B4088C"/>
    <w:rsid w:val="00B43670"/>
    <w:rsid w:val="00B445E4"/>
    <w:rsid w:val="00B51211"/>
    <w:rsid w:val="00B56AC2"/>
    <w:rsid w:val="00B57038"/>
    <w:rsid w:val="00B572AA"/>
    <w:rsid w:val="00B60582"/>
    <w:rsid w:val="00B64E1E"/>
    <w:rsid w:val="00B71AF2"/>
    <w:rsid w:val="00B7467E"/>
    <w:rsid w:val="00B779C7"/>
    <w:rsid w:val="00B80EA5"/>
    <w:rsid w:val="00BA0AB9"/>
    <w:rsid w:val="00BA27C0"/>
    <w:rsid w:val="00BA31D0"/>
    <w:rsid w:val="00BA5238"/>
    <w:rsid w:val="00BA6521"/>
    <w:rsid w:val="00BC3D93"/>
    <w:rsid w:val="00BD13B2"/>
    <w:rsid w:val="00BD1A8B"/>
    <w:rsid w:val="00BD2867"/>
    <w:rsid w:val="00BD4449"/>
    <w:rsid w:val="00BD4927"/>
    <w:rsid w:val="00BDFB68"/>
    <w:rsid w:val="00BE049C"/>
    <w:rsid w:val="00BE1FEE"/>
    <w:rsid w:val="00BE2430"/>
    <w:rsid w:val="00BE451E"/>
    <w:rsid w:val="00BF1703"/>
    <w:rsid w:val="00BF1BAB"/>
    <w:rsid w:val="00BF4F5D"/>
    <w:rsid w:val="00C069A0"/>
    <w:rsid w:val="00C201D2"/>
    <w:rsid w:val="00C23019"/>
    <w:rsid w:val="00C23F57"/>
    <w:rsid w:val="00C276DF"/>
    <w:rsid w:val="00C3703E"/>
    <w:rsid w:val="00C4101E"/>
    <w:rsid w:val="00C41132"/>
    <w:rsid w:val="00C50D92"/>
    <w:rsid w:val="00C64D04"/>
    <w:rsid w:val="00C6601E"/>
    <w:rsid w:val="00C70342"/>
    <w:rsid w:val="00C736EB"/>
    <w:rsid w:val="00C80F8C"/>
    <w:rsid w:val="00C81F2E"/>
    <w:rsid w:val="00C82B2A"/>
    <w:rsid w:val="00C92705"/>
    <w:rsid w:val="00C93792"/>
    <w:rsid w:val="00C94BBA"/>
    <w:rsid w:val="00C9772B"/>
    <w:rsid w:val="00CA33D8"/>
    <w:rsid w:val="00CA6054"/>
    <w:rsid w:val="00CA6CC5"/>
    <w:rsid w:val="00CA7158"/>
    <w:rsid w:val="00CB1B5B"/>
    <w:rsid w:val="00CB40FE"/>
    <w:rsid w:val="00CB78A2"/>
    <w:rsid w:val="00CC42F9"/>
    <w:rsid w:val="00CC6CBC"/>
    <w:rsid w:val="00CD15CD"/>
    <w:rsid w:val="00CD2022"/>
    <w:rsid w:val="00CD2C76"/>
    <w:rsid w:val="00CD5D7B"/>
    <w:rsid w:val="00CD6632"/>
    <w:rsid w:val="00CD6741"/>
    <w:rsid w:val="00CE0C4E"/>
    <w:rsid w:val="00CE1DC5"/>
    <w:rsid w:val="00CF3AEF"/>
    <w:rsid w:val="00D02914"/>
    <w:rsid w:val="00D0470B"/>
    <w:rsid w:val="00D067FC"/>
    <w:rsid w:val="00D06BDB"/>
    <w:rsid w:val="00D11E31"/>
    <w:rsid w:val="00D143CD"/>
    <w:rsid w:val="00D24B65"/>
    <w:rsid w:val="00D24F40"/>
    <w:rsid w:val="00D427C0"/>
    <w:rsid w:val="00D4DA11"/>
    <w:rsid w:val="00D53684"/>
    <w:rsid w:val="00D577B7"/>
    <w:rsid w:val="00D62E0E"/>
    <w:rsid w:val="00D62FDD"/>
    <w:rsid w:val="00D64AB1"/>
    <w:rsid w:val="00D65F4F"/>
    <w:rsid w:val="00D77279"/>
    <w:rsid w:val="00D81271"/>
    <w:rsid w:val="00D81E06"/>
    <w:rsid w:val="00D87383"/>
    <w:rsid w:val="00D9597D"/>
    <w:rsid w:val="00DA02E2"/>
    <w:rsid w:val="00DA3937"/>
    <w:rsid w:val="00DB2509"/>
    <w:rsid w:val="00DC2095"/>
    <w:rsid w:val="00DC297B"/>
    <w:rsid w:val="00DD3865"/>
    <w:rsid w:val="00DD47CA"/>
    <w:rsid w:val="00DE1A8D"/>
    <w:rsid w:val="00DE5507"/>
    <w:rsid w:val="00DE64D6"/>
    <w:rsid w:val="00DE6C50"/>
    <w:rsid w:val="00DE6C8A"/>
    <w:rsid w:val="00DF0960"/>
    <w:rsid w:val="00DF2B2E"/>
    <w:rsid w:val="00E00200"/>
    <w:rsid w:val="00E04A92"/>
    <w:rsid w:val="00E054F7"/>
    <w:rsid w:val="00E11474"/>
    <w:rsid w:val="00E14143"/>
    <w:rsid w:val="00E24859"/>
    <w:rsid w:val="00E2743A"/>
    <w:rsid w:val="00E35B80"/>
    <w:rsid w:val="00E52928"/>
    <w:rsid w:val="00E54746"/>
    <w:rsid w:val="00E57322"/>
    <w:rsid w:val="00E62D77"/>
    <w:rsid w:val="00E63CFE"/>
    <w:rsid w:val="00E735A1"/>
    <w:rsid w:val="00E81330"/>
    <w:rsid w:val="00E82920"/>
    <w:rsid w:val="00E84126"/>
    <w:rsid w:val="00E8594B"/>
    <w:rsid w:val="00E86D26"/>
    <w:rsid w:val="00E86E1B"/>
    <w:rsid w:val="00E917D9"/>
    <w:rsid w:val="00E931FA"/>
    <w:rsid w:val="00E9569E"/>
    <w:rsid w:val="00E95FBD"/>
    <w:rsid w:val="00EA1D72"/>
    <w:rsid w:val="00EA26E7"/>
    <w:rsid w:val="00EA63B6"/>
    <w:rsid w:val="00EB1154"/>
    <w:rsid w:val="00EC2A00"/>
    <w:rsid w:val="00EC3D01"/>
    <w:rsid w:val="00EC4D55"/>
    <w:rsid w:val="00EC5183"/>
    <w:rsid w:val="00EE1FAD"/>
    <w:rsid w:val="00EE2E03"/>
    <w:rsid w:val="00EE3182"/>
    <w:rsid w:val="00EE3E17"/>
    <w:rsid w:val="00EE5BA0"/>
    <w:rsid w:val="00EF0397"/>
    <w:rsid w:val="00EF20B4"/>
    <w:rsid w:val="00EF3631"/>
    <w:rsid w:val="00EF4D59"/>
    <w:rsid w:val="00EF570B"/>
    <w:rsid w:val="00F03FF4"/>
    <w:rsid w:val="00F0758E"/>
    <w:rsid w:val="00F120BA"/>
    <w:rsid w:val="00F13C74"/>
    <w:rsid w:val="00F20D5B"/>
    <w:rsid w:val="00F26435"/>
    <w:rsid w:val="00F26AF6"/>
    <w:rsid w:val="00F34A6B"/>
    <w:rsid w:val="00F35B9B"/>
    <w:rsid w:val="00F3780D"/>
    <w:rsid w:val="00F37BC6"/>
    <w:rsid w:val="00F37F74"/>
    <w:rsid w:val="00F40D13"/>
    <w:rsid w:val="00F43D0C"/>
    <w:rsid w:val="00F50470"/>
    <w:rsid w:val="00F54213"/>
    <w:rsid w:val="00F575F2"/>
    <w:rsid w:val="00F63FD3"/>
    <w:rsid w:val="00F7092C"/>
    <w:rsid w:val="00F71A22"/>
    <w:rsid w:val="00F721EA"/>
    <w:rsid w:val="00F75253"/>
    <w:rsid w:val="00F81856"/>
    <w:rsid w:val="00F8398D"/>
    <w:rsid w:val="00F853F6"/>
    <w:rsid w:val="00F90976"/>
    <w:rsid w:val="00F90F16"/>
    <w:rsid w:val="00F97DE1"/>
    <w:rsid w:val="00FB0E5C"/>
    <w:rsid w:val="00FB265A"/>
    <w:rsid w:val="00FC1D25"/>
    <w:rsid w:val="00FC2E44"/>
    <w:rsid w:val="00FC3B4B"/>
    <w:rsid w:val="00FD4695"/>
    <w:rsid w:val="00FE4470"/>
    <w:rsid w:val="00FE51BA"/>
    <w:rsid w:val="00FE5892"/>
    <w:rsid w:val="00FE69B7"/>
    <w:rsid w:val="00FF0072"/>
    <w:rsid w:val="00FF1FD0"/>
    <w:rsid w:val="00FF2C88"/>
    <w:rsid w:val="018AE2DF"/>
    <w:rsid w:val="02ECB829"/>
    <w:rsid w:val="034929E9"/>
    <w:rsid w:val="04C283A1"/>
    <w:rsid w:val="080FDD91"/>
    <w:rsid w:val="097EC756"/>
    <w:rsid w:val="0A6E1C4A"/>
    <w:rsid w:val="0C150259"/>
    <w:rsid w:val="0C339BC1"/>
    <w:rsid w:val="0DBBBAD9"/>
    <w:rsid w:val="0E06239A"/>
    <w:rsid w:val="10003382"/>
    <w:rsid w:val="129E17E8"/>
    <w:rsid w:val="1395BE81"/>
    <w:rsid w:val="139DF1B4"/>
    <w:rsid w:val="13AFC895"/>
    <w:rsid w:val="1439E849"/>
    <w:rsid w:val="154AC038"/>
    <w:rsid w:val="15D5B8AA"/>
    <w:rsid w:val="160FC13F"/>
    <w:rsid w:val="182183FF"/>
    <w:rsid w:val="18B15FF7"/>
    <w:rsid w:val="18CAE193"/>
    <w:rsid w:val="19573EE3"/>
    <w:rsid w:val="1C94B99D"/>
    <w:rsid w:val="1CA52495"/>
    <w:rsid w:val="1DCD2BE1"/>
    <w:rsid w:val="1DFEACB6"/>
    <w:rsid w:val="1E1FC783"/>
    <w:rsid w:val="21D0891F"/>
    <w:rsid w:val="2421A238"/>
    <w:rsid w:val="2543CF06"/>
    <w:rsid w:val="26D5E0E1"/>
    <w:rsid w:val="270244F2"/>
    <w:rsid w:val="277DD38C"/>
    <w:rsid w:val="28E0FC86"/>
    <w:rsid w:val="2AB086DF"/>
    <w:rsid w:val="2AC1D550"/>
    <w:rsid w:val="30E9E067"/>
    <w:rsid w:val="311405F8"/>
    <w:rsid w:val="320929B1"/>
    <w:rsid w:val="33CE75BB"/>
    <w:rsid w:val="3433B41D"/>
    <w:rsid w:val="3850BEB4"/>
    <w:rsid w:val="38E1115A"/>
    <w:rsid w:val="39A95A16"/>
    <w:rsid w:val="39C35F32"/>
    <w:rsid w:val="39E4A518"/>
    <w:rsid w:val="3B81A21C"/>
    <w:rsid w:val="43A7B0BC"/>
    <w:rsid w:val="45551D3D"/>
    <w:rsid w:val="466829C6"/>
    <w:rsid w:val="498B41AA"/>
    <w:rsid w:val="4AA3C1F3"/>
    <w:rsid w:val="4AD9B3AF"/>
    <w:rsid w:val="4B8D51C2"/>
    <w:rsid w:val="4BCE1D47"/>
    <w:rsid w:val="4BD10CFE"/>
    <w:rsid w:val="4C1B5EDD"/>
    <w:rsid w:val="4CE340F7"/>
    <w:rsid w:val="4E0DECD7"/>
    <w:rsid w:val="4F3ADAE7"/>
    <w:rsid w:val="4F657A89"/>
    <w:rsid w:val="50C376C4"/>
    <w:rsid w:val="51FD1DC6"/>
    <w:rsid w:val="53100BDB"/>
    <w:rsid w:val="535C9DEA"/>
    <w:rsid w:val="579748AC"/>
    <w:rsid w:val="5810B86C"/>
    <w:rsid w:val="5ABF8B5E"/>
    <w:rsid w:val="5BBE5B39"/>
    <w:rsid w:val="5D5A2B9A"/>
    <w:rsid w:val="5D739BF8"/>
    <w:rsid w:val="5DEFD46B"/>
    <w:rsid w:val="5EC24AEA"/>
    <w:rsid w:val="60C532CB"/>
    <w:rsid w:val="614033B9"/>
    <w:rsid w:val="61924CCA"/>
    <w:rsid w:val="61DC4E60"/>
    <w:rsid w:val="622DE4BE"/>
    <w:rsid w:val="62EED5AC"/>
    <w:rsid w:val="6665BDED"/>
    <w:rsid w:val="67A3DF25"/>
    <w:rsid w:val="6854E3DA"/>
    <w:rsid w:val="6EBB7A3E"/>
    <w:rsid w:val="6F9E318F"/>
    <w:rsid w:val="700CFA39"/>
    <w:rsid w:val="7180F725"/>
    <w:rsid w:val="719BFB1A"/>
    <w:rsid w:val="74D39BDC"/>
    <w:rsid w:val="77F1CC40"/>
    <w:rsid w:val="7A2C3E68"/>
    <w:rsid w:val="7B0DC082"/>
    <w:rsid w:val="7BE41DE7"/>
    <w:rsid w:val="7BE4C4AB"/>
    <w:rsid w:val="7D7F661C"/>
    <w:rsid w:val="7E23A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E0650F2B-F6B4-4BFE-BCC8-2172E34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2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2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6816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D4E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linskykraj.cz/logo-zlinskeho-kraj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04E41-AED5-468E-A0FF-08D745FFCF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11</Pages>
  <Words>4237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Kubernátová Barbora</cp:lastModifiedBy>
  <cp:revision>2</cp:revision>
  <cp:lastPrinted>2024-05-10T09:06:00Z</cp:lastPrinted>
  <dcterms:created xsi:type="dcterms:W3CDTF">2024-05-23T05:25:00Z</dcterms:created>
  <dcterms:modified xsi:type="dcterms:W3CDTF">2024-05-23T05:25:00Z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