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117222A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 xml:space="preserve">Evidenční číslo smlouvy: </w:t>
      </w:r>
      <w:r w:rsidR="008F6C79" w:rsidRPr="008F6C79">
        <w:rPr>
          <w:rFonts w:eastAsia="Times New Roman"/>
          <w:color w:val="0D0D0D" w:themeColor="text1" w:themeTint="F2"/>
          <w:lang w:eastAsia="cs-CZ"/>
        </w:rPr>
        <w:t>XXXXX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4B6DE03D" w14:textId="265AB454" w:rsidR="00CC11A9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00C4B15E" w14:textId="77777777" w:rsidR="00853CB4" w:rsidRPr="00C81072" w:rsidRDefault="00853CB4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604C08E8" w:rsidR="00CC11A9" w:rsidRPr="007D6A19" w:rsidRDefault="00CC11A9" w:rsidP="00CC11A9">
      <w:pPr>
        <w:spacing w:after="0" w:line="240" w:lineRule="auto"/>
        <w:rPr>
          <w:rFonts w:eastAsia="Times New Roman"/>
          <w:color w:val="171717" w:themeColor="background2" w:themeShade="1A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7D6A19" w:rsidRPr="007D6A19">
        <w:rPr>
          <w:rFonts w:eastAsia="Times New Roman"/>
          <w:color w:val="171717" w:themeColor="background2" w:themeShade="1A"/>
          <w:lang w:eastAsia="cs-CZ"/>
        </w:rPr>
        <w:t>Ing. Kar</w:t>
      </w:r>
      <w:r w:rsidR="00F108C3">
        <w:rPr>
          <w:rFonts w:eastAsia="Times New Roman"/>
          <w:color w:val="171717" w:themeColor="background2" w:themeShade="1A"/>
          <w:lang w:eastAsia="cs-CZ"/>
        </w:rPr>
        <w:t>el Jakobec, náměstek hejtmana</w:t>
      </w:r>
    </w:p>
    <w:p w14:paraId="3ED31F7F" w14:textId="358A1B63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</w:p>
    <w:p w14:paraId="765BC0C8" w14:textId="2338D6A4" w:rsidR="00CC11A9" w:rsidRPr="00C81072" w:rsidRDefault="008F6C79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8F6C79">
        <w:rPr>
          <w:color w:val="000000"/>
        </w:rPr>
        <w:t>XXXXX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178F2" w:rsidRPr="00C81072">
        <w:rPr>
          <w:color w:val="000000"/>
        </w:rPr>
        <w:tab/>
      </w:r>
      <w:r w:rsidR="00CC11A9"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 w:rsidRPr="008F6C79">
        <w:rPr>
          <w:color w:val="000000"/>
        </w:rPr>
        <w:t>XXXXX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1359481D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Pr="007D6A19">
        <w:rPr>
          <w:rFonts w:eastAsia="Times New Roman"/>
          <w:color w:val="171717" w:themeColor="background2" w:themeShade="1A"/>
          <w:lang w:eastAsia="cs-CZ"/>
        </w:rPr>
        <w:t>odbor</w:t>
      </w:r>
      <w:r w:rsidR="007D6A19" w:rsidRPr="007D6A19">
        <w:rPr>
          <w:rFonts w:eastAsia="Times New Roman"/>
          <w:color w:val="171717" w:themeColor="background2" w:themeShade="1A"/>
          <w:lang w:eastAsia="cs-CZ"/>
        </w:rPr>
        <w:t xml:space="preserve"> 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853CB4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6E1B8E49" w14:textId="77777777" w:rsidR="007806DF" w:rsidRDefault="007806D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7806DF">
        <w:rPr>
          <w:rFonts w:eastAsia="Times New Roman"/>
          <w:b/>
          <w:bCs/>
          <w:color w:val="0D0D0D" w:themeColor="text1" w:themeTint="F2"/>
          <w:lang w:eastAsia="cs-CZ"/>
        </w:rPr>
        <w:t>ZO ČSOP 30/02 Chodov</w:t>
      </w:r>
    </w:p>
    <w:p w14:paraId="7152572C" w14:textId="61DEE032" w:rsidR="00CC11A9" w:rsidRPr="00853CB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853CB4">
        <w:rPr>
          <w:rFonts w:eastAsia="Times New Roman"/>
          <w:bCs/>
          <w:color w:val="0D0D0D" w:themeColor="text1" w:themeTint="F2"/>
          <w:lang w:eastAsia="cs-CZ"/>
        </w:rPr>
        <w:t>Adresa sídla:</w:t>
      </w:r>
      <w:r w:rsidRPr="00853CB4">
        <w:rPr>
          <w:rFonts w:eastAsia="Times New Roman"/>
          <w:bCs/>
          <w:color w:val="0D0D0D" w:themeColor="text1" w:themeTint="F2"/>
          <w:lang w:eastAsia="cs-CZ"/>
        </w:rPr>
        <w:tab/>
      </w:r>
      <w:r w:rsidR="007806DF" w:rsidRPr="007806DF">
        <w:rPr>
          <w:rFonts w:eastAsia="Times New Roman"/>
          <w:bCs/>
          <w:color w:val="0D0D0D" w:themeColor="text1" w:themeTint="F2"/>
          <w:lang w:eastAsia="cs-CZ"/>
        </w:rPr>
        <w:t>Říjnová 632, 357 35 Chodov</w:t>
      </w:r>
    </w:p>
    <w:p w14:paraId="7EE718E2" w14:textId="5D4C3285" w:rsidR="00CC11A9" w:rsidRPr="00853CB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853CB4">
        <w:rPr>
          <w:rFonts w:eastAsia="Times New Roman"/>
          <w:bCs/>
          <w:color w:val="0D0D0D" w:themeColor="text1" w:themeTint="F2"/>
          <w:lang w:eastAsia="cs-CZ"/>
        </w:rPr>
        <w:t>Identifikační číslo:</w:t>
      </w:r>
      <w:r w:rsidRPr="00853CB4">
        <w:rPr>
          <w:rFonts w:eastAsia="Times New Roman"/>
          <w:bCs/>
          <w:color w:val="0D0D0D" w:themeColor="text1" w:themeTint="F2"/>
          <w:lang w:eastAsia="cs-CZ"/>
        </w:rPr>
        <w:tab/>
      </w:r>
      <w:r w:rsidR="007D5CB3" w:rsidRPr="007D5CB3">
        <w:rPr>
          <w:rFonts w:eastAsia="Times New Roman"/>
          <w:bCs/>
          <w:color w:val="0D0D0D" w:themeColor="text1" w:themeTint="F2"/>
          <w:lang w:eastAsia="cs-CZ"/>
        </w:rPr>
        <w:t>66359112</w:t>
      </w:r>
    </w:p>
    <w:p w14:paraId="5B9FA43D" w14:textId="1B67A409" w:rsidR="00CC11A9" w:rsidRPr="00853CB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Zastoupený:</w:t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="007D5CB3" w:rsidRPr="007D5CB3">
        <w:rPr>
          <w:rFonts w:eastAsia="Times New Roman"/>
          <w:color w:val="0D0D0D" w:themeColor="text1" w:themeTint="F2"/>
          <w:lang w:eastAsia="cs-CZ"/>
        </w:rPr>
        <w:t>Jan Svoboda, předseda</w:t>
      </w:r>
    </w:p>
    <w:p w14:paraId="166C9F44" w14:textId="6B4C912E" w:rsidR="00F40594" w:rsidRPr="00853CB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Bankovní spojení:</w:t>
      </w:r>
    </w:p>
    <w:p w14:paraId="6026A4C8" w14:textId="7B2993EF" w:rsidR="00CC11A9" w:rsidRPr="00853CB4" w:rsidRDefault="008F6C79" w:rsidP="005178F2">
      <w:pPr>
        <w:spacing w:after="0" w:line="240" w:lineRule="auto"/>
        <w:ind w:firstLine="708"/>
        <w:rPr>
          <w:rFonts w:eastAsia="Times New Roman"/>
          <w:color w:val="0D0D0D" w:themeColor="text1" w:themeTint="F2"/>
          <w:lang w:eastAsia="cs-CZ"/>
        </w:rPr>
      </w:pPr>
      <w:r w:rsidRPr="008F6C79">
        <w:rPr>
          <w:rFonts w:eastAsia="Times New Roman"/>
          <w:color w:val="0D0D0D" w:themeColor="text1" w:themeTint="F2"/>
          <w:lang w:eastAsia="cs-CZ"/>
        </w:rPr>
        <w:t>XXXXX</w:t>
      </w:r>
      <w:r w:rsidR="00CC11A9" w:rsidRPr="00853CB4">
        <w:rPr>
          <w:rFonts w:eastAsia="Times New Roman"/>
          <w:color w:val="0D0D0D" w:themeColor="text1" w:themeTint="F2"/>
          <w:lang w:eastAsia="cs-CZ"/>
        </w:rPr>
        <w:tab/>
      </w:r>
      <w:r w:rsidR="00CC11A9" w:rsidRPr="00853CB4">
        <w:rPr>
          <w:rFonts w:eastAsia="Times New Roman"/>
          <w:color w:val="0D0D0D" w:themeColor="text1" w:themeTint="F2"/>
          <w:lang w:eastAsia="cs-CZ"/>
        </w:rPr>
        <w:tab/>
      </w:r>
      <w:r w:rsidR="00CC11A9" w:rsidRPr="00853CB4">
        <w:rPr>
          <w:rFonts w:eastAsia="Times New Roman"/>
          <w:color w:val="0D0D0D" w:themeColor="text1" w:themeTint="F2"/>
          <w:lang w:eastAsia="cs-CZ"/>
        </w:rPr>
        <w:tab/>
      </w:r>
      <w:r w:rsidR="00CC11A9" w:rsidRPr="00853CB4">
        <w:rPr>
          <w:rFonts w:eastAsia="Times New Roman"/>
          <w:color w:val="0D0D0D" w:themeColor="text1" w:themeTint="F2"/>
          <w:lang w:eastAsia="cs-CZ"/>
        </w:rPr>
        <w:tab/>
      </w:r>
      <w:r w:rsidR="005178F2" w:rsidRPr="00853CB4">
        <w:rPr>
          <w:rFonts w:eastAsia="Times New Roman"/>
          <w:color w:val="0D0D0D" w:themeColor="text1" w:themeTint="F2"/>
          <w:lang w:eastAsia="cs-CZ"/>
        </w:rPr>
        <w:tab/>
      </w:r>
      <w:r>
        <w:rPr>
          <w:rFonts w:eastAsia="Times New Roman"/>
          <w:color w:val="0D0D0D" w:themeColor="text1" w:themeTint="F2"/>
          <w:lang w:eastAsia="cs-CZ"/>
        </w:rPr>
        <w:tab/>
      </w:r>
      <w:r w:rsidR="00CC11A9" w:rsidRPr="00853CB4">
        <w:rPr>
          <w:rFonts w:eastAsia="Times New Roman"/>
          <w:color w:val="0D0D0D" w:themeColor="text1" w:themeTint="F2"/>
          <w:lang w:eastAsia="cs-CZ"/>
        </w:rPr>
        <w:t>číslo účtu:</w:t>
      </w:r>
      <w:r w:rsidR="00CC11A9" w:rsidRPr="00853CB4">
        <w:rPr>
          <w:rFonts w:eastAsia="Times New Roman"/>
          <w:color w:val="0D0D0D" w:themeColor="text1" w:themeTint="F2"/>
          <w:lang w:eastAsia="cs-CZ"/>
        </w:rPr>
        <w:tab/>
      </w:r>
      <w:r w:rsidRPr="008F6C79">
        <w:rPr>
          <w:rFonts w:eastAsia="Times New Roman"/>
          <w:color w:val="0D0D0D" w:themeColor="text1" w:themeTint="F2"/>
          <w:lang w:eastAsia="cs-CZ"/>
        </w:rPr>
        <w:t>XXXXX</w:t>
      </w:r>
    </w:p>
    <w:p w14:paraId="5BAD28A4" w14:textId="227A0A9B" w:rsidR="00853CB4" w:rsidRPr="00853CB4" w:rsidRDefault="00CC11A9" w:rsidP="00853CB4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E-mail:</w:t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="008F6C79" w:rsidRPr="008F6C79">
        <w:rPr>
          <w:rFonts w:eastAsia="Times New Roman"/>
          <w:color w:val="0D0D0D" w:themeColor="text1" w:themeTint="F2"/>
          <w:lang w:eastAsia="cs-CZ"/>
        </w:rPr>
        <w:t>XXXXX</w:t>
      </w:r>
    </w:p>
    <w:p w14:paraId="361F897E" w14:textId="6C7366FE" w:rsidR="00560154" w:rsidRPr="00853CB4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Datová schránka:</w:t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="007D5CB3" w:rsidRPr="007D5CB3">
        <w:rPr>
          <w:rFonts w:eastAsia="Times New Roman"/>
          <w:color w:val="0D0D0D" w:themeColor="text1" w:themeTint="F2"/>
          <w:lang w:eastAsia="cs-CZ"/>
        </w:rPr>
        <w:t>n9e7g29</w:t>
      </w:r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2B7E0514" w14:textId="404C8A4B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3B470646" w14:textId="4597DF04" w:rsidR="00CC11A9" w:rsidRPr="00C8107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8B338E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8B338E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</w:t>
      </w:r>
      <w:r w:rsidR="003D3C79">
        <w:rPr>
          <w:rFonts w:eastAsia="Arial Unicode MS"/>
          <w:lang w:eastAsia="cs-CZ"/>
        </w:rPr>
        <w:t>jen</w:t>
      </w:r>
      <w:r w:rsidRPr="00C81072">
        <w:rPr>
          <w:rFonts w:eastAsia="Arial Unicode MS"/>
          <w:lang w:eastAsia="cs-CZ"/>
        </w:rPr>
        <w:t xml:space="preserve"> „RPÚR“) a v souladu s </w:t>
      </w:r>
      <w:r w:rsidR="008B338E">
        <w:t xml:space="preserve">Programem na podporu ochrany životního prostředí </w:t>
      </w:r>
      <w:r w:rsidR="008B338E">
        <w:br/>
        <w:t xml:space="preserve">a environmentální výchovy, vzdělávání a osvěty </w:t>
      </w:r>
      <w:r w:rsidRPr="007D6A19">
        <w:rPr>
          <w:rFonts w:eastAsia="Arial Unicode MS"/>
          <w:color w:val="171717" w:themeColor="background2" w:themeShade="1A"/>
          <w:lang w:eastAsia="cs-CZ"/>
        </w:rPr>
        <w:t>(</w:t>
      </w:r>
      <w:r w:rsidRPr="007D6A19">
        <w:rPr>
          <w:rFonts w:eastAsia="Arial Unicode MS"/>
          <w:lang w:eastAsia="cs-CZ"/>
        </w:rPr>
        <w:t>dále jen „dotační program“) poskytovatel poskytuje příjemci dotaci na</w:t>
      </w:r>
      <w:r w:rsidR="00393659" w:rsidRPr="007D6A19">
        <w:rPr>
          <w:rFonts w:eastAsia="Arial Unicode MS"/>
          <w:lang w:eastAsia="cs-CZ"/>
        </w:rPr>
        <w:t> </w:t>
      </w:r>
      <w:r w:rsidRPr="007D6A19">
        <w:rPr>
          <w:rFonts w:eastAsia="Arial Unicode MS"/>
          <w:lang w:eastAsia="cs-CZ"/>
        </w:rPr>
        <w:t>účel uvedený v čl</w:t>
      </w:r>
      <w:r w:rsidR="003829B7" w:rsidRPr="007D6A19">
        <w:rPr>
          <w:rFonts w:eastAsia="Arial Unicode MS"/>
          <w:lang w:eastAsia="cs-CZ"/>
        </w:rPr>
        <w:t>.</w:t>
      </w:r>
      <w:r w:rsidRPr="007D6A19">
        <w:rPr>
          <w:rFonts w:eastAsia="Arial Unicode MS"/>
          <w:lang w:eastAsia="cs-CZ"/>
        </w:rPr>
        <w:t xml:space="preserve"> II</w:t>
      </w:r>
      <w:r w:rsidR="003829B7" w:rsidRPr="007D6A19">
        <w:rPr>
          <w:rFonts w:eastAsia="Arial Unicode MS"/>
          <w:lang w:eastAsia="cs-CZ"/>
        </w:rPr>
        <w:t xml:space="preserve"> odst. 2</w:t>
      </w:r>
      <w:r w:rsidRPr="007D6A19">
        <w:rPr>
          <w:rFonts w:eastAsia="Arial Unicode MS"/>
          <w:lang w:eastAsia="cs-CZ"/>
        </w:rPr>
        <w:t> smlouvy a příjemce tuto dotaci přijímá</w:t>
      </w:r>
      <w:r w:rsidRPr="00C81072">
        <w:rPr>
          <w:rFonts w:eastAsia="Arial Unicode MS"/>
          <w:lang w:eastAsia="cs-CZ"/>
        </w:rPr>
        <w:t>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5A14974E" w14:textId="010C3882" w:rsidR="00CC11A9" w:rsidRPr="00D7751D" w:rsidRDefault="00CC11A9" w:rsidP="00D7751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7D6A19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7D6A19">
        <w:rPr>
          <w:sz w:val="22"/>
          <w:szCs w:val="22"/>
        </w:rPr>
        <w:t>Poskytovatel poskytuje příjemci dotaci z rozpočtu poskytovatele v kalendářním roce, ve výši a </w:t>
      </w:r>
      <w:r w:rsidRPr="007D6A19">
        <w:rPr>
          <w:snapToGrid w:val="0"/>
          <w:sz w:val="22"/>
          <w:szCs w:val="22"/>
        </w:rPr>
        <w:t xml:space="preserve">na účel </w:t>
      </w:r>
      <w:r w:rsidRPr="007D6A19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</w:p>
    <w:p w14:paraId="2D788886" w14:textId="724A58E8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7D6A19" w:rsidRPr="007D6A19">
        <w:rPr>
          <w:b/>
          <w:color w:val="171717" w:themeColor="background2" w:themeShade="1A"/>
          <w:sz w:val="22"/>
          <w:szCs w:val="22"/>
        </w:rPr>
        <w:t>2024</w:t>
      </w:r>
    </w:p>
    <w:p w14:paraId="041A388D" w14:textId="4FE07AE3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7D5CB3" w:rsidRPr="007D5CB3">
        <w:rPr>
          <w:b/>
          <w:color w:val="0D0D0D" w:themeColor="text1" w:themeTint="F2"/>
          <w:sz w:val="22"/>
          <w:szCs w:val="22"/>
        </w:rPr>
        <w:t>70 065,45 Kč</w:t>
      </w:r>
    </w:p>
    <w:p w14:paraId="7CF831B7" w14:textId="16F4EC2A" w:rsidR="00CC11A9" w:rsidRPr="00853CB4" w:rsidRDefault="00CC11A9" w:rsidP="00CC11A9">
      <w:pPr>
        <w:pStyle w:val="Normlnweb"/>
        <w:ind w:left="426"/>
        <w:rPr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853CB4" w:rsidRPr="00853CB4">
        <w:rPr>
          <w:color w:val="0D0D0D" w:themeColor="text1" w:themeTint="F2"/>
          <w:sz w:val="22"/>
          <w:szCs w:val="22"/>
        </w:rPr>
        <w:t>sedmdesát tisíc šedesát pět korun českých čtyřicet pět haléřů</w:t>
      </w:r>
      <w:r w:rsidRPr="00853CB4">
        <w:rPr>
          <w:color w:val="0D0D0D" w:themeColor="text1" w:themeTint="F2"/>
          <w:sz w:val="22"/>
          <w:szCs w:val="22"/>
        </w:rPr>
        <w:t>)</w:t>
      </w:r>
    </w:p>
    <w:p w14:paraId="58983808" w14:textId="0E0C593B" w:rsidR="00CC11A9" w:rsidRPr="00853CB4" w:rsidRDefault="00CC11A9" w:rsidP="007D5CB3">
      <w:pPr>
        <w:pStyle w:val="Normlnweb"/>
        <w:ind w:left="5664" w:hanging="5238"/>
        <w:rPr>
          <w:b/>
          <w:bCs/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="00853CB4" w:rsidRPr="00853CB4">
        <w:rPr>
          <w:b/>
          <w:color w:val="0D0D0D" w:themeColor="text1" w:themeTint="F2"/>
          <w:sz w:val="22"/>
          <w:szCs w:val="22"/>
        </w:rPr>
        <w:t xml:space="preserve">celoroční </w:t>
      </w:r>
      <w:r w:rsidR="007D5CB3">
        <w:rPr>
          <w:b/>
          <w:color w:val="0D0D0D" w:themeColor="text1" w:themeTint="F2"/>
          <w:sz w:val="22"/>
          <w:szCs w:val="22"/>
        </w:rPr>
        <w:t xml:space="preserve">provoz </w:t>
      </w:r>
      <w:r w:rsidR="007D5CB3" w:rsidRPr="007D5CB3">
        <w:rPr>
          <w:b/>
          <w:color w:val="0D0D0D" w:themeColor="text1" w:themeTint="F2"/>
          <w:sz w:val="22"/>
          <w:szCs w:val="22"/>
        </w:rPr>
        <w:t>Ekocentr</w:t>
      </w:r>
      <w:r w:rsidR="007D5CB3">
        <w:rPr>
          <w:b/>
          <w:color w:val="0D0D0D" w:themeColor="text1" w:themeTint="F2"/>
          <w:sz w:val="22"/>
          <w:szCs w:val="22"/>
        </w:rPr>
        <w:t xml:space="preserve">a </w:t>
      </w:r>
      <w:proofErr w:type="spellStart"/>
      <w:r w:rsidR="007D5CB3" w:rsidRPr="007D5CB3">
        <w:rPr>
          <w:b/>
          <w:color w:val="0D0D0D" w:themeColor="text1" w:themeTint="F2"/>
          <w:sz w:val="22"/>
          <w:szCs w:val="22"/>
        </w:rPr>
        <w:t>Chodováček</w:t>
      </w:r>
      <w:proofErr w:type="spellEnd"/>
    </w:p>
    <w:p w14:paraId="62AA832A" w14:textId="2F69C75B" w:rsidR="00CC11A9" w:rsidRPr="00853CB4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853CB4">
        <w:rPr>
          <w:color w:val="0D0D0D" w:themeColor="text1" w:themeTint="F2"/>
          <w:sz w:val="22"/>
          <w:szCs w:val="22"/>
        </w:rPr>
        <w:lastRenderedPageBreak/>
        <w:t>Platba dotace bude opatřena variabilním symbolem:</w:t>
      </w:r>
      <w:r w:rsidRPr="00853CB4">
        <w:rPr>
          <w:b/>
          <w:color w:val="0D0D0D" w:themeColor="text1" w:themeTint="F2"/>
          <w:sz w:val="22"/>
          <w:szCs w:val="22"/>
        </w:rPr>
        <w:tab/>
      </w:r>
      <w:r w:rsidR="008F6C79" w:rsidRPr="008F6C79">
        <w:rPr>
          <w:b/>
          <w:color w:val="0D0D0D" w:themeColor="text1" w:themeTint="F2"/>
          <w:sz w:val="22"/>
          <w:szCs w:val="22"/>
        </w:rPr>
        <w:t>XXXXX</w:t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</w:t>
      </w:r>
      <w:r w:rsidRPr="007D6A19">
        <w:rPr>
          <w:rFonts w:eastAsia="Arial Unicode MS"/>
          <w:lang w:eastAsia="cs-CZ"/>
        </w:rPr>
        <w:t xml:space="preserve">poukázána jednorázově </w:t>
      </w:r>
      <w:r w:rsidR="009C4702" w:rsidRPr="007D6A19">
        <w:rPr>
          <w:rFonts w:eastAsia="Arial Unicode MS"/>
          <w:lang w:eastAsia="cs-CZ"/>
        </w:rPr>
        <w:t xml:space="preserve">zpravidla </w:t>
      </w:r>
      <w:r w:rsidRPr="007D6A19">
        <w:rPr>
          <w:rFonts w:eastAsia="Arial Unicode MS"/>
          <w:lang w:eastAsia="cs-CZ"/>
        </w:rPr>
        <w:t>do</w:t>
      </w:r>
      <w:r w:rsidRPr="007D6A19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="00063C82" w:rsidRPr="007D6A19">
        <w:rPr>
          <w:rFonts w:eastAsia="Arial Unicode MS"/>
          <w:color w:val="171717" w:themeColor="background2" w:themeShade="1A"/>
          <w:lang w:eastAsia="cs-CZ"/>
        </w:rPr>
        <w:t xml:space="preserve">20 </w:t>
      </w:r>
      <w:r w:rsidRPr="007D6A19">
        <w:rPr>
          <w:rFonts w:eastAsia="Arial Unicode MS"/>
          <w:color w:val="171717" w:themeColor="background2" w:themeShade="1A"/>
          <w:lang w:eastAsia="cs-CZ"/>
        </w:rPr>
        <w:t>pracovních dnů od uzavření smlouvy</w:t>
      </w:r>
      <w:r w:rsidR="005075F5" w:rsidRPr="007D6A19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Pr="007D6A19">
        <w:rPr>
          <w:rFonts w:eastAsia="Arial Unicode MS"/>
          <w:color w:val="171717" w:themeColor="background2" w:themeShade="1A"/>
          <w:lang w:eastAsia="cs-CZ"/>
        </w:rPr>
        <w:t xml:space="preserve">formou bezhotovostního převodu na bankovní účet příjemce </w:t>
      </w:r>
      <w:r w:rsidR="009929D2" w:rsidRPr="007D6A19">
        <w:rPr>
          <w:rFonts w:eastAsia="Arial Unicode MS"/>
          <w:lang w:eastAsia="cs-CZ"/>
        </w:rPr>
        <w:t>uvedený v</w:t>
      </w:r>
      <w:r w:rsidR="004F5509" w:rsidRPr="007D6A19">
        <w:rPr>
          <w:rFonts w:eastAsia="Arial Unicode MS"/>
          <w:lang w:eastAsia="cs-CZ"/>
        </w:rPr>
        <w:t xml:space="preserve"> záhlaví smlouvy</w:t>
      </w:r>
      <w:r w:rsidRPr="007D6A19">
        <w:rPr>
          <w:rFonts w:eastAsia="Arial Unicode MS"/>
          <w:lang w:eastAsia="cs-CZ"/>
        </w:rPr>
        <w:t>. Platba bude opatřena variabilním symbolem uvedeným v </w:t>
      </w:r>
      <w:r w:rsidR="00BF512D" w:rsidRPr="007D6A19">
        <w:rPr>
          <w:rFonts w:eastAsia="Arial Unicode MS"/>
          <w:lang w:eastAsia="cs-CZ"/>
        </w:rPr>
        <w:t xml:space="preserve">čl. II. </w:t>
      </w:r>
      <w:r w:rsidRPr="007D6A19">
        <w:rPr>
          <w:rFonts w:eastAsia="Arial Unicode MS"/>
          <w:lang w:eastAsia="cs-CZ"/>
        </w:rPr>
        <w:t>odst</w:t>
      </w:r>
      <w:r w:rsidR="003829B7" w:rsidRPr="007D6A19">
        <w:rPr>
          <w:rFonts w:eastAsia="Arial Unicode MS"/>
          <w:lang w:eastAsia="cs-CZ"/>
        </w:rPr>
        <w:t>.</w:t>
      </w:r>
      <w:r w:rsidRPr="007D6A19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B80343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3743AE23" w:rsidR="00D733D2" w:rsidRPr="00C8107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povinen vyčerpat poskytnuté finanční prostředky </w:t>
      </w:r>
      <w:r w:rsidRPr="0004364E">
        <w:rPr>
          <w:rFonts w:eastAsia="Arial Unicode MS"/>
          <w:color w:val="171717" w:themeColor="background2" w:themeShade="1A"/>
          <w:lang w:eastAsia="cs-CZ"/>
        </w:rPr>
        <w:t>nejpozději do </w:t>
      </w:r>
      <w:r w:rsidR="0004364E" w:rsidRPr="0004364E">
        <w:rPr>
          <w:rFonts w:eastAsia="Arial Unicode MS"/>
          <w:color w:val="171717" w:themeColor="background2" w:themeShade="1A"/>
          <w:lang w:eastAsia="cs-CZ"/>
        </w:rPr>
        <w:t>termínu</w:t>
      </w:r>
      <w:r w:rsidRPr="0004364E">
        <w:rPr>
          <w:rFonts w:eastAsia="Arial Unicode MS"/>
          <w:color w:val="171717" w:themeColor="background2" w:themeShade="1A"/>
          <w:lang w:eastAsia="cs-CZ"/>
        </w:rPr>
        <w:t xml:space="preserve"> doručení finančního vypořádání dotace.</w:t>
      </w:r>
      <w:r w:rsidR="00DF7ECE" w:rsidRPr="0004364E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="00DF7ECE" w:rsidRPr="00C81072">
        <w:rPr>
          <w:rFonts w:eastAsia="Arial Unicode MS"/>
          <w:lang w:eastAsia="cs-CZ"/>
        </w:rPr>
        <w:t>Vyčerpáním se rozumí datum ode</w:t>
      </w:r>
      <w:r w:rsidR="0015202A" w:rsidRPr="00C81072">
        <w:rPr>
          <w:rFonts w:eastAsia="Arial Unicode MS"/>
          <w:lang w:eastAsia="cs-CZ"/>
        </w:rPr>
        <w:t>ps</w:t>
      </w:r>
      <w:r w:rsidR="00DF7ECE" w:rsidRPr="00C81072">
        <w:rPr>
          <w:rFonts w:eastAsia="Arial Unicode MS"/>
          <w:lang w:eastAsia="cs-CZ"/>
        </w:rPr>
        <w:t>ání finančních prostředků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1C58564" w14:textId="029D53F6" w:rsidR="008B338E" w:rsidRPr="00853CB4" w:rsidRDefault="00D733D2" w:rsidP="00D7751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D0D0D" w:themeColor="text1" w:themeTint="F2"/>
          <w:lang w:eastAsia="cs-CZ"/>
        </w:rPr>
      </w:pPr>
      <w:r w:rsidRPr="00853CB4">
        <w:rPr>
          <w:rFonts w:eastAsia="Times New Roman"/>
          <w:bCs/>
          <w:color w:val="0D0D0D" w:themeColor="text1" w:themeTint="F2"/>
          <w:lang w:eastAsia="cs-CZ"/>
        </w:rPr>
        <w:t>Dotace je neinvestičního charakteru a</w:t>
      </w:r>
      <w:r w:rsidR="00BD446B" w:rsidRPr="00853CB4">
        <w:rPr>
          <w:rFonts w:eastAsia="Times New Roman"/>
          <w:bCs/>
          <w:color w:val="0D0D0D" w:themeColor="text1" w:themeTint="F2"/>
          <w:lang w:eastAsia="cs-CZ"/>
        </w:rPr>
        <w:t> </w:t>
      </w:r>
      <w:r w:rsidRPr="00853CB4">
        <w:rPr>
          <w:rFonts w:eastAsia="Times New Roman"/>
          <w:bCs/>
          <w:color w:val="0D0D0D" w:themeColor="text1" w:themeTint="F2"/>
          <w:lang w:eastAsia="cs-CZ"/>
        </w:rPr>
        <w:t xml:space="preserve">příjemce je povinen ji použít výhradně </w:t>
      </w:r>
      <w:r w:rsidR="00853CB4" w:rsidRPr="00853CB4">
        <w:rPr>
          <w:rFonts w:eastAsia="Times New Roman"/>
          <w:bCs/>
          <w:color w:val="0D0D0D" w:themeColor="text1" w:themeTint="F2"/>
          <w:lang w:eastAsia="cs-CZ"/>
        </w:rPr>
        <w:t>na náklady spojené s</w:t>
      </w:r>
      <w:r w:rsidR="007D5CB3">
        <w:rPr>
          <w:rFonts w:eastAsia="Times New Roman"/>
          <w:bCs/>
          <w:color w:val="0D0D0D" w:themeColor="text1" w:themeTint="F2"/>
          <w:lang w:eastAsia="cs-CZ"/>
        </w:rPr>
        <w:t xml:space="preserve"> celoročním provozem ekocentra </w:t>
      </w:r>
      <w:proofErr w:type="spellStart"/>
      <w:r w:rsidR="007D5CB3">
        <w:rPr>
          <w:rFonts w:eastAsia="Times New Roman"/>
          <w:bCs/>
          <w:color w:val="0D0D0D" w:themeColor="text1" w:themeTint="F2"/>
          <w:lang w:eastAsia="cs-CZ"/>
        </w:rPr>
        <w:t>Chodováček</w:t>
      </w:r>
      <w:proofErr w:type="spellEnd"/>
      <w:r w:rsidR="007D5CB3">
        <w:rPr>
          <w:rFonts w:eastAsia="Times New Roman"/>
          <w:bCs/>
          <w:color w:val="0D0D0D" w:themeColor="text1" w:themeTint="F2"/>
          <w:lang w:eastAsia="cs-CZ"/>
        </w:rPr>
        <w:t>.</w:t>
      </w:r>
    </w:p>
    <w:p w14:paraId="0FFFFE35" w14:textId="77777777" w:rsidR="00D7751D" w:rsidRPr="00D7751D" w:rsidRDefault="00D7751D" w:rsidP="00D7751D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44823203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7CB23BDD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 xml:space="preserve">Příjemce je povinen řídit </w:t>
      </w:r>
      <w:r w:rsidRPr="0004364E">
        <w:rPr>
          <w:lang w:eastAsia="cs-CZ"/>
        </w:rPr>
        <w:t>s</w:t>
      </w:r>
      <w:r w:rsidRPr="0004364E">
        <w:rPr>
          <w:color w:val="0D0D0D" w:themeColor="text1" w:themeTint="F2"/>
          <w:lang w:eastAsia="cs-CZ"/>
        </w:rPr>
        <w:t>e</w:t>
      </w:r>
      <w:r w:rsidR="003D28B6" w:rsidRPr="0004364E">
        <w:rPr>
          <w:color w:val="0D0D0D" w:themeColor="text1" w:themeTint="F2"/>
          <w:lang w:eastAsia="cs-CZ"/>
        </w:rPr>
        <w:t xml:space="preserve"> </w:t>
      </w:r>
      <w:r w:rsidR="00866C55" w:rsidRPr="0004364E">
        <w:rPr>
          <w:color w:val="0D0D0D" w:themeColor="text1" w:themeTint="F2"/>
          <w:lang w:eastAsia="cs-CZ"/>
        </w:rPr>
        <w:t>Programem</w:t>
      </w:r>
      <w:r w:rsidR="00820862" w:rsidRPr="0004364E">
        <w:rPr>
          <w:color w:val="0D0D0D" w:themeColor="text1" w:themeTint="F2"/>
          <w:lang w:eastAsia="cs-CZ"/>
        </w:rPr>
        <w:t xml:space="preserve"> </w:t>
      </w:r>
      <w:r w:rsidR="0004364E" w:rsidRPr="0004364E">
        <w:rPr>
          <w:color w:val="0D0D0D" w:themeColor="text1" w:themeTint="F2"/>
          <w:lang w:eastAsia="cs-CZ"/>
        </w:rPr>
        <w:t xml:space="preserve">na podporu ochrany životního prostředí a environmentální výchovy, vzdělávání a osvěty </w:t>
      </w:r>
      <w:r w:rsidR="00820862" w:rsidRPr="0004364E">
        <w:rPr>
          <w:lang w:eastAsia="cs-CZ"/>
        </w:rPr>
        <w:t>schváleným</w:t>
      </w:r>
      <w:r w:rsidR="00820862" w:rsidRPr="00C81072">
        <w:rPr>
          <w:lang w:eastAsia="cs-CZ"/>
        </w:rPr>
        <w:t xml:space="preserve"> Zastupitelstvem </w:t>
      </w:r>
      <w:r w:rsidRPr="00C81072">
        <w:rPr>
          <w:lang w:eastAsia="cs-CZ"/>
        </w:rPr>
        <w:t xml:space="preserve">Karlovarského kraje usnesením číslo </w:t>
      </w:r>
      <w:r w:rsidR="0004364E" w:rsidRPr="0004364E">
        <w:rPr>
          <w:color w:val="0D0D0D" w:themeColor="text1" w:themeTint="F2"/>
          <w:lang w:eastAsia="cs-CZ"/>
        </w:rPr>
        <w:t xml:space="preserve">ZK 568/12/23 </w:t>
      </w:r>
      <w:r w:rsidRPr="0004364E">
        <w:rPr>
          <w:color w:val="0D0D0D" w:themeColor="text1" w:themeTint="F2"/>
          <w:lang w:eastAsia="cs-CZ"/>
        </w:rPr>
        <w:t xml:space="preserve">ze dne </w:t>
      </w:r>
      <w:r w:rsidR="0004364E" w:rsidRPr="0004364E">
        <w:rPr>
          <w:color w:val="0D0D0D" w:themeColor="text1" w:themeTint="F2"/>
          <w:lang w:eastAsia="cs-CZ"/>
        </w:rPr>
        <w:t>11. 12. 2023</w:t>
      </w:r>
      <w:r w:rsidRPr="00C81072">
        <w:rPr>
          <w:lang w:eastAsia="cs-CZ"/>
        </w:rPr>
        <w:t>, zveřejněnými na</w:t>
      </w:r>
      <w:r w:rsidR="00063C82" w:rsidRPr="00C81072">
        <w:rPr>
          <w:lang w:eastAsia="cs-CZ"/>
        </w:rPr>
        <w:t> </w:t>
      </w:r>
      <w:r w:rsidRPr="00C81072">
        <w:rPr>
          <w:lang w:eastAsia="cs-CZ"/>
        </w:rPr>
        <w:t>úřední desce poskytovatele a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touto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 xml:space="preserve">výhradně k účelu uvedenému </w:t>
      </w:r>
      <w:r w:rsidRPr="0004364E">
        <w:rPr>
          <w:rFonts w:eastAsia="Arial Unicode MS"/>
          <w:lang w:eastAsia="cs-CZ"/>
        </w:rPr>
        <w:t>v</w:t>
      </w:r>
      <w:r w:rsidR="003829B7" w:rsidRPr="0004364E">
        <w:rPr>
          <w:rFonts w:eastAsia="Arial Unicode MS"/>
          <w:lang w:eastAsia="cs-CZ"/>
        </w:rPr>
        <w:t> </w:t>
      </w:r>
      <w:r w:rsidRPr="0004364E">
        <w:rPr>
          <w:rFonts w:eastAsia="Arial Unicode MS"/>
          <w:lang w:eastAsia="cs-CZ"/>
        </w:rPr>
        <w:t>čl</w:t>
      </w:r>
      <w:r w:rsidR="003829B7" w:rsidRPr="0004364E">
        <w:rPr>
          <w:rFonts w:eastAsia="Arial Unicode MS"/>
          <w:lang w:eastAsia="cs-CZ"/>
        </w:rPr>
        <w:t>.</w:t>
      </w:r>
      <w:r w:rsidRPr="0004364E">
        <w:rPr>
          <w:rFonts w:eastAsia="Arial Unicode MS"/>
          <w:lang w:eastAsia="cs-CZ"/>
        </w:rPr>
        <w:t xml:space="preserve"> II.</w:t>
      </w:r>
      <w:r w:rsidR="003829B7" w:rsidRPr="0004364E">
        <w:rPr>
          <w:rFonts w:eastAsia="Arial Unicode MS"/>
          <w:lang w:eastAsia="cs-CZ"/>
        </w:rPr>
        <w:t xml:space="preserve"> odst. 2</w:t>
      </w:r>
      <w:r w:rsidRPr="0004364E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 xml:space="preserve">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2A991C04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prostředky nesmí použít na </w:t>
      </w:r>
      <w:r w:rsidRPr="0004364E">
        <w:rPr>
          <w:rFonts w:eastAsia="Arial Unicode MS"/>
          <w:color w:val="0D0D0D" w:themeColor="text1" w:themeTint="F2"/>
          <w:lang w:eastAsia="cs-CZ"/>
        </w:rPr>
        <w:t>dary, pohoštění, mzdy pracovníků nebo funkcionářů příjemce či</w:t>
      </w:r>
      <w:r w:rsidR="00CF660D" w:rsidRPr="0004364E">
        <w:rPr>
          <w:rFonts w:eastAsia="Arial Unicode MS"/>
          <w:color w:val="0D0D0D" w:themeColor="text1" w:themeTint="F2"/>
          <w:lang w:eastAsia="cs-CZ"/>
        </w:rPr>
        <w:t> </w:t>
      </w:r>
      <w:r w:rsidRPr="0004364E">
        <w:rPr>
          <w:rFonts w:eastAsia="Arial Unicode MS"/>
          <w:color w:val="0D0D0D" w:themeColor="text1" w:themeTint="F2"/>
          <w:lang w:eastAsia="cs-CZ"/>
        </w:rPr>
        <w:t>příjemce samotného, penále, úroky z úvěrů, náhrady škod, pojistné, pokuty, úhrady dluhu apod</w:t>
      </w:r>
      <w:r w:rsidRPr="00C81072">
        <w:rPr>
          <w:rFonts w:eastAsia="Arial Unicode MS"/>
          <w:lang w:eastAsia="cs-CZ"/>
        </w:rPr>
        <w:t>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5DAFD2B9" w14:textId="6FB44885" w:rsidR="008F0B23" w:rsidRPr="00B80343" w:rsidRDefault="008F0B23" w:rsidP="00FB17A9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p w14:paraId="3D33DED8" w14:textId="3F41480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příjemce opatří svým podpisem, a to nejpozději </w:t>
      </w:r>
      <w:r w:rsidRPr="0004364E">
        <w:rPr>
          <w:rFonts w:eastAsia="Arial Unicode MS"/>
          <w:lang w:eastAsia="cs-CZ"/>
        </w:rPr>
        <w:t xml:space="preserve">do </w:t>
      </w:r>
      <w:r w:rsidR="0004364E" w:rsidRPr="0004364E">
        <w:rPr>
          <w:rFonts w:eastAsia="Arial Unicode MS"/>
          <w:b/>
          <w:color w:val="0D0D0D" w:themeColor="text1" w:themeTint="F2"/>
          <w:lang w:eastAsia="cs-CZ"/>
        </w:rPr>
        <w:t xml:space="preserve">31. 12. 2024 </w:t>
      </w:r>
      <w:r w:rsidRPr="00C81072">
        <w:rPr>
          <w:rFonts w:eastAsia="Arial Unicode MS"/>
          <w:lang w:eastAsia="cs-CZ"/>
        </w:rPr>
        <w:t>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</w:t>
      </w:r>
      <w:r w:rsidRPr="00C81072">
        <w:rPr>
          <w:rFonts w:eastAsia="Arial Unicode MS"/>
          <w:lang w:eastAsia="cs-CZ"/>
        </w:rPr>
        <w:lastRenderedPageBreak/>
        <w:t>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</w:t>
      </w:r>
      <w:r w:rsidR="004F5509" w:rsidRPr="00C81072">
        <w:rPr>
          <w:rFonts w:eastAsia="Arial Unicode MS"/>
          <w:lang w:eastAsia="cs-CZ"/>
        </w:rPr>
        <w:t>:</w:t>
      </w:r>
    </w:p>
    <w:p w14:paraId="3AAB6220" w14:textId="0801916E" w:rsidR="004F5509" w:rsidRPr="00B055D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 xml:space="preserve">průkaznou fotodokumentaci </w:t>
      </w:r>
      <w:r w:rsidR="004F3493" w:rsidRPr="00B055D9">
        <w:rPr>
          <w:rFonts w:eastAsia="Arial Unicode MS"/>
          <w:color w:val="0D0D0D" w:themeColor="text1" w:themeTint="F2"/>
          <w:lang w:eastAsia="cs-CZ"/>
        </w:rPr>
        <w:t xml:space="preserve">k </w:t>
      </w:r>
      <w:r w:rsidRPr="00B055D9">
        <w:rPr>
          <w:rFonts w:eastAsia="Arial Unicode MS"/>
          <w:color w:val="0D0D0D" w:themeColor="text1" w:themeTint="F2"/>
          <w:lang w:eastAsia="cs-CZ"/>
        </w:rPr>
        <w:t>předmětu dotace</w:t>
      </w:r>
      <w:r w:rsidR="00B055D9">
        <w:rPr>
          <w:rFonts w:eastAsia="Arial Unicode MS"/>
          <w:color w:val="0D0D0D" w:themeColor="text1" w:themeTint="F2"/>
          <w:lang w:eastAsia="cs-CZ"/>
        </w:rPr>
        <w:t>, pokud to charakter projektu umožňuje</w:t>
      </w:r>
      <w:r w:rsidRPr="00B055D9">
        <w:rPr>
          <w:rFonts w:eastAsia="Arial Unicode MS"/>
          <w:color w:val="0D0D0D" w:themeColor="text1" w:themeTint="F2"/>
          <w:lang w:eastAsia="cs-CZ"/>
        </w:rPr>
        <w:t>;</w:t>
      </w:r>
    </w:p>
    <w:p w14:paraId="0201FB96" w14:textId="3A99AA48" w:rsidR="005A3162" w:rsidRPr="00B055D9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 xml:space="preserve">dokumentaci o propagaci </w:t>
      </w:r>
      <w:r w:rsidR="00EB02D6" w:rsidRPr="00B055D9">
        <w:rPr>
          <w:rFonts w:eastAsia="Arial Unicode MS"/>
          <w:color w:val="0D0D0D" w:themeColor="text1" w:themeTint="F2"/>
          <w:lang w:eastAsia="cs-CZ"/>
        </w:rPr>
        <w:t>poskytovatele dotace</w:t>
      </w:r>
      <w:r w:rsidR="00303E56" w:rsidRPr="00B055D9">
        <w:rPr>
          <w:rFonts w:eastAsia="Arial Unicode MS"/>
          <w:color w:val="0D0D0D" w:themeColor="text1" w:themeTint="F2"/>
          <w:lang w:eastAsia="cs-CZ"/>
        </w:rPr>
        <w:t xml:space="preserve"> </w:t>
      </w:r>
      <w:r w:rsidR="00303E56" w:rsidRPr="00B055D9">
        <w:rPr>
          <w:color w:val="0D0D0D" w:themeColor="text1" w:themeTint="F2"/>
        </w:rPr>
        <w:t>(např. audio/video záznam, fotografie, materiály)</w:t>
      </w:r>
      <w:r w:rsidR="00EB02D6" w:rsidRPr="00B055D9">
        <w:rPr>
          <w:rFonts w:eastAsia="Arial Unicode MS"/>
          <w:color w:val="0D0D0D" w:themeColor="text1" w:themeTint="F2"/>
          <w:lang w:val="de-DE" w:eastAsia="cs-CZ"/>
        </w:rPr>
        <w:t>;</w:t>
      </w:r>
    </w:p>
    <w:p w14:paraId="5BE0398B" w14:textId="569AC60D" w:rsidR="004F5509" w:rsidRPr="00B055D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>doklad o zaúčtování majetku do účetnictví organizace</w:t>
      </w:r>
      <w:r w:rsidR="008B338E">
        <w:rPr>
          <w:rFonts w:eastAsia="Arial Unicode MS"/>
          <w:color w:val="0D0D0D" w:themeColor="text1" w:themeTint="F2"/>
          <w:lang w:eastAsia="cs-CZ"/>
        </w:rPr>
        <w:t>.</w:t>
      </w:r>
    </w:p>
    <w:p w14:paraId="504E1F98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4D208FB6" w:rsidR="00476C23" w:rsidRPr="00B055D9" w:rsidRDefault="008F0B23" w:rsidP="00B055D9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B055D9">
        <w:rPr>
          <w:rFonts w:eastAsia="Arial Unicode MS"/>
          <w:lang w:eastAsia="cs-CZ"/>
        </w:rPr>
        <w:t>Příjemce</w:t>
      </w:r>
      <w:r w:rsidR="00476C23" w:rsidRPr="00B055D9">
        <w:rPr>
          <w:rFonts w:eastAsia="Arial Unicode MS"/>
          <w:lang w:eastAsia="cs-CZ"/>
        </w:rPr>
        <w:t xml:space="preserve"> je povinen zajistit propagaci poskytovatele dotace</w:t>
      </w:r>
      <w:r w:rsidR="00AF07DC" w:rsidRPr="00B055D9">
        <w:rPr>
          <w:rFonts w:eastAsia="Arial Unicode MS"/>
          <w:lang w:eastAsia="cs-CZ"/>
        </w:rPr>
        <w:t xml:space="preserve"> </w:t>
      </w:r>
      <w:r w:rsidR="00476C23" w:rsidRPr="00B055D9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B055D9">
        <w:rPr>
          <w:rFonts w:eastAsia="Arial Unicode MS"/>
          <w:lang w:eastAsia="cs-CZ"/>
        </w:rPr>
        <w:br/>
      </w:r>
      <w:r w:rsidR="00476C23" w:rsidRPr="00B055D9">
        <w:rPr>
          <w:rFonts w:eastAsia="Arial Unicode MS"/>
          <w:lang w:eastAsia="cs-CZ"/>
        </w:rPr>
        <w:t xml:space="preserve">v bodě </w:t>
      </w:r>
      <w:r w:rsidR="00CF660D" w:rsidRPr="00B055D9">
        <w:rPr>
          <w:rFonts w:eastAsia="Arial Unicode MS"/>
          <w:lang w:eastAsia="cs-CZ"/>
        </w:rPr>
        <w:t>6</w:t>
      </w:r>
      <w:r w:rsidR="00476C23" w:rsidRPr="00B055D9">
        <w:rPr>
          <w:rFonts w:eastAsia="Arial Unicode MS"/>
          <w:lang w:eastAsia="cs-CZ"/>
        </w:rPr>
        <w:t xml:space="preserve"> formuláře žádosti o dotaci</w:t>
      </w:r>
      <w:r w:rsidR="00FB6890" w:rsidRPr="00B055D9">
        <w:rPr>
          <w:rFonts w:eastAsia="Arial Unicode MS"/>
          <w:color w:val="0D0D0D" w:themeColor="text1" w:themeTint="F2"/>
          <w:lang w:eastAsia="cs-CZ"/>
        </w:rPr>
        <w:t>. P</w:t>
      </w:r>
      <w:r w:rsidR="00476C23" w:rsidRPr="00B055D9">
        <w:rPr>
          <w:rFonts w:eastAsia="Arial Unicode MS"/>
          <w:color w:val="0D0D0D" w:themeColor="text1" w:themeTint="F2"/>
          <w:lang w:eastAsia="cs-CZ"/>
        </w:rPr>
        <w:t xml:space="preserve">ovinnost publicity je splněna, pokud příjemce úspěšně provede alespoň jednu zvolenou formu propagace. V </w:t>
      </w:r>
      <w:r w:rsidR="00476C23" w:rsidRPr="00B055D9">
        <w:rPr>
          <w:rFonts w:eastAsia="Arial Unicode MS"/>
          <w:lang w:eastAsia="cs-CZ"/>
        </w:rPr>
        <w:t xml:space="preserve">případě propagace prostřednictvím webových stránek umístí příjemce na web </w:t>
      </w:r>
      <w:r w:rsidR="00CF660D" w:rsidRPr="00B055D9">
        <w:rPr>
          <w:rFonts w:eastAsia="Arial Unicode MS"/>
          <w:lang w:eastAsia="cs-CZ"/>
        </w:rPr>
        <w:t xml:space="preserve">aktivní </w:t>
      </w:r>
      <w:r w:rsidR="00476C23" w:rsidRPr="00B055D9">
        <w:rPr>
          <w:rFonts w:eastAsia="Arial Unicode MS"/>
          <w:lang w:eastAsia="cs-CZ"/>
        </w:rPr>
        <w:t xml:space="preserve">odkaz </w:t>
      </w:r>
      <w:r w:rsidR="00063C82" w:rsidRPr="00B055D9">
        <w:rPr>
          <w:rFonts w:eastAsia="Arial Unicode MS"/>
          <w:lang w:eastAsia="cs-CZ"/>
        </w:rPr>
        <w:t>na</w:t>
      </w:r>
      <w:r w:rsidR="00476C23" w:rsidRPr="00B055D9">
        <w:rPr>
          <w:rFonts w:eastAsia="Arial Unicode MS"/>
          <w:lang w:eastAsia="cs-CZ"/>
        </w:rPr>
        <w:t xml:space="preserve"> </w:t>
      </w:r>
      <w:hyperlink r:id="rId12" w:history="1">
        <w:r w:rsidR="00972169" w:rsidRPr="00C81072">
          <w:rPr>
            <w:rStyle w:val="Hypertextovodkaz"/>
          </w:rPr>
          <w:t>https://www.kr-karlovarsky.cz</w:t>
        </w:r>
      </w:hyperlink>
      <w:r w:rsidR="00476C23" w:rsidRPr="00B055D9">
        <w:rPr>
          <w:rFonts w:eastAsia="Arial Unicode MS"/>
          <w:lang w:eastAsia="cs-CZ"/>
        </w:rPr>
        <w:t>.</w:t>
      </w:r>
    </w:p>
    <w:p w14:paraId="1D4AD7AC" w14:textId="77777777" w:rsidR="00476C23" w:rsidRPr="00C81072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CC2D85D" w:rsidR="00476C23" w:rsidRPr="00C81072" w:rsidRDefault="00476C23" w:rsidP="00B055D9">
      <w:pPr>
        <w:numPr>
          <w:ilvl w:val="0"/>
          <w:numId w:val="11"/>
        </w:numPr>
        <w:spacing w:after="0" w:line="240" w:lineRule="auto"/>
      </w:pPr>
      <w:bookmarkStart w:id="0" w:name="_Hlk157150467"/>
      <w:r w:rsidRPr="00C81072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C81072">
        <w:rPr>
          <w:rFonts w:eastAsia="Arial Unicode MS"/>
          <w:lang w:eastAsia="cs-CZ"/>
        </w:rPr>
        <w:t xml:space="preserve">viz </w:t>
      </w:r>
      <w:r w:rsidRPr="00C81072">
        <w:rPr>
          <w:rFonts w:eastAsia="Arial Unicode MS"/>
          <w:lang w:eastAsia="cs-CZ"/>
        </w:rPr>
        <w:t>pravidla pro užití loga poskytovatele</w:t>
      </w:r>
      <w:r w:rsidR="00B055D9">
        <w:rPr>
          <w:rFonts w:eastAsia="Arial Unicode MS"/>
          <w:lang w:eastAsia="cs-CZ"/>
        </w:rPr>
        <w:t xml:space="preserve"> </w:t>
      </w:r>
      <w:hyperlink r:id="rId13" w:history="1">
        <w:r w:rsidR="00B055D9" w:rsidRPr="00F93EB0">
          <w:rPr>
            <w:rStyle w:val="Hypertextovodkaz"/>
          </w:rPr>
          <w:t>http://www.kr-karlovarsky.cz/samosprava/Stranky/poskyt.aspx</w:t>
        </w:r>
      </w:hyperlink>
      <w:bookmarkEnd w:id="0"/>
      <w:r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B055D9" w:rsidRDefault="00190D24" w:rsidP="00B055D9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bookmarkStart w:id="1" w:name="_Hlk157150545"/>
      <w:r w:rsidRPr="00B055D9">
        <w:t>Pokud</w:t>
      </w:r>
      <w:r w:rsidR="008F0B23" w:rsidRPr="00B055D9">
        <w:t xml:space="preserve"> má </w:t>
      </w:r>
      <w:r w:rsidRPr="00B055D9">
        <w:t xml:space="preserve">příjemce </w:t>
      </w:r>
      <w:r w:rsidR="008F0B23" w:rsidRPr="00B055D9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1"/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C81072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rovněž povinen vrátit poskytnuté </w:t>
      </w:r>
      <w:r w:rsidRPr="00B055D9">
        <w:rPr>
          <w:rFonts w:eastAsia="Arial Unicode MS"/>
          <w:color w:val="0D0D0D" w:themeColor="text1" w:themeTint="F2"/>
          <w:lang w:eastAsia="cs-CZ"/>
        </w:rPr>
        <w:t>finanční prostředky na účet uvedený v </w:t>
      </w:r>
      <w:r w:rsidR="00DB55D3" w:rsidRPr="00B055D9">
        <w:rPr>
          <w:rFonts w:eastAsia="Arial Unicode MS"/>
          <w:color w:val="0D0D0D" w:themeColor="text1" w:themeTint="F2"/>
          <w:lang w:eastAsia="cs-CZ"/>
        </w:rPr>
        <w:t>záhlaví smlouvy</w:t>
      </w:r>
      <w:r w:rsidRPr="00B055D9">
        <w:rPr>
          <w:rFonts w:eastAsia="Arial Unicode MS"/>
          <w:color w:val="0D0D0D" w:themeColor="text1" w:themeTint="F2"/>
          <w:lang w:eastAsia="cs-CZ"/>
        </w:rPr>
        <w:t>, jestliže odpadne účel, na který je dotace poskytována</w:t>
      </w:r>
      <w:r w:rsidR="004F1637" w:rsidRPr="00B055D9">
        <w:rPr>
          <w:rFonts w:eastAsia="Arial Unicode MS"/>
          <w:color w:val="0D0D0D" w:themeColor="text1" w:themeTint="F2"/>
          <w:lang w:eastAsia="cs-CZ"/>
        </w:rPr>
        <w:t>,</w:t>
      </w:r>
      <w:r w:rsidR="00014FB6" w:rsidRPr="00B055D9">
        <w:rPr>
          <w:rFonts w:eastAsia="Arial Unicode MS"/>
          <w:color w:val="0D0D0D" w:themeColor="text1" w:themeTint="F2"/>
          <w:lang w:eastAsia="cs-CZ"/>
        </w:rPr>
        <w:t xml:space="preserve"> nebo nemůže </w:t>
      </w:r>
      <w:r w:rsidR="00EF4C48" w:rsidRPr="00B055D9">
        <w:rPr>
          <w:rFonts w:eastAsia="Arial Unicode MS"/>
          <w:color w:val="0D0D0D" w:themeColor="text1" w:themeTint="F2"/>
          <w:lang w:eastAsia="cs-CZ"/>
        </w:rPr>
        <w:t xml:space="preserve">dodržet </w:t>
      </w:r>
      <w:r w:rsidR="00686ECC" w:rsidRPr="00B055D9">
        <w:rPr>
          <w:rFonts w:eastAsia="Arial Unicode MS"/>
          <w:color w:val="0D0D0D" w:themeColor="text1" w:themeTint="F2"/>
          <w:lang w:eastAsia="cs-CZ"/>
        </w:rPr>
        <w:t>termín pro vyčerpání poskytnutých finančních prostředků uvedený v čl. IV</w:t>
      </w:r>
      <w:r w:rsidR="008211C7" w:rsidRPr="00B055D9">
        <w:rPr>
          <w:rFonts w:eastAsia="Arial Unicode MS"/>
          <w:color w:val="0D0D0D" w:themeColor="text1" w:themeTint="F2"/>
          <w:lang w:eastAsia="cs-CZ"/>
        </w:rPr>
        <w:t>.</w:t>
      </w:r>
      <w:r w:rsidR="00686ECC" w:rsidRPr="00B055D9">
        <w:rPr>
          <w:rFonts w:eastAsia="Arial Unicode MS"/>
          <w:color w:val="0D0D0D" w:themeColor="text1" w:themeTint="F2"/>
          <w:lang w:eastAsia="cs-CZ"/>
        </w:rPr>
        <w:t xml:space="preserve"> odst. 1</w:t>
      </w:r>
      <w:r w:rsidR="004F1637" w:rsidRPr="00B055D9">
        <w:rPr>
          <w:rFonts w:eastAsia="Arial Unicode MS"/>
          <w:color w:val="0D0D0D" w:themeColor="text1" w:themeTint="F2"/>
          <w:lang w:eastAsia="cs-CZ"/>
        </w:rPr>
        <w:t>,</w:t>
      </w:r>
      <w:r w:rsidRPr="00B055D9">
        <w:rPr>
          <w:rFonts w:eastAsia="Arial Unicode MS"/>
          <w:color w:val="0D0D0D" w:themeColor="text1" w:themeTint="F2"/>
          <w:lang w:eastAsia="cs-CZ"/>
        </w:rPr>
        <w:t xml:space="preserve"> do 10 pracovních dnů ode dne, kdy se příjemce o této skutečnosti dozví. Platba </w:t>
      </w:r>
      <w:r w:rsidRPr="00C81072">
        <w:rPr>
          <w:rFonts w:eastAsia="Arial Unicode MS"/>
          <w:lang w:eastAsia="cs-CZ"/>
        </w:rPr>
        <w:t>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zejména povinen oznámit poskytovateli do</w:t>
      </w:r>
      <w:r w:rsidRPr="00B055D9">
        <w:rPr>
          <w:rFonts w:eastAsia="Arial Unicode MS"/>
          <w:color w:val="0D0D0D" w:themeColor="text1" w:themeTint="F2"/>
          <w:lang w:eastAsia="cs-CZ"/>
        </w:rPr>
        <w:t xml:space="preserve"> 10 pracovních dnů ode dne, kdy došlo k události, skutečnosti, které mají nebo mohou mít za následek </w:t>
      </w:r>
      <w:r w:rsidRPr="00C81072">
        <w:rPr>
          <w:rFonts w:eastAsia="Arial Unicode MS"/>
          <w:lang w:eastAsia="cs-CZ"/>
        </w:rPr>
        <w:t xml:space="preserve">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BF94237" w14:textId="1A47628E" w:rsidR="008F0B23" w:rsidRPr="004B12C2" w:rsidRDefault="008F0B23" w:rsidP="008F0B2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lastRenderedPageBreak/>
        <w:t>Článek</w:t>
      </w:r>
      <w:bookmarkStart w:id="2" w:name="_GoBack"/>
      <w:bookmarkEnd w:id="2"/>
      <w:r w:rsidRPr="00C81072">
        <w:rPr>
          <w:rFonts w:eastAsia="Arial Unicode MS"/>
          <w:b/>
          <w:bCs/>
          <w:lang w:eastAsia="cs-CZ"/>
        </w:rPr>
        <w:t xml:space="preserve">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5EA4F562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8B338E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8B338E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</w:t>
      </w:r>
      <w:r w:rsidRPr="00CB2146">
        <w:rPr>
          <w:rFonts w:eastAsia="Times New Roman"/>
          <w:bCs/>
          <w:lang w:eastAsia="cs-CZ"/>
        </w:rPr>
        <w:t>případě, že příjemce nesplní některou ze svých povinností stanovených v </w:t>
      </w:r>
      <w:r w:rsidR="00D80E8F" w:rsidRPr="00CB2146">
        <w:rPr>
          <w:rFonts w:eastAsia="Times New Roman"/>
          <w:bCs/>
          <w:lang w:eastAsia="cs-CZ"/>
        </w:rPr>
        <w:t>č</w:t>
      </w:r>
      <w:r w:rsidRPr="00CB2146">
        <w:rPr>
          <w:rFonts w:eastAsia="Times New Roman"/>
          <w:bCs/>
          <w:lang w:eastAsia="cs-CZ"/>
        </w:rPr>
        <w:t>l. IV.</w:t>
      </w:r>
      <w:r w:rsidR="00D80E8F" w:rsidRPr="00CB2146">
        <w:rPr>
          <w:rFonts w:eastAsia="Times New Roman"/>
          <w:bCs/>
          <w:lang w:eastAsia="cs-CZ"/>
        </w:rPr>
        <w:t xml:space="preserve"> odst. 1</w:t>
      </w:r>
      <w:r w:rsidR="0029215C" w:rsidRPr="00CB2146">
        <w:rPr>
          <w:rFonts w:eastAsia="Times New Roman"/>
          <w:bCs/>
          <w:lang w:eastAsia="cs-CZ"/>
        </w:rPr>
        <w:t xml:space="preserve">, </w:t>
      </w:r>
      <w:r w:rsidR="00031E45" w:rsidRPr="00CB2146">
        <w:rPr>
          <w:rFonts w:eastAsia="Times New Roman"/>
          <w:bCs/>
          <w:lang w:eastAsia="cs-CZ"/>
        </w:rPr>
        <w:br/>
      </w:r>
      <w:r w:rsidR="0029215C" w:rsidRPr="00CB2146">
        <w:rPr>
          <w:rFonts w:eastAsia="Times New Roman"/>
          <w:bCs/>
          <w:lang w:eastAsia="cs-CZ"/>
        </w:rPr>
        <w:t>čl. V</w:t>
      </w:r>
      <w:r w:rsidR="00D80E8F" w:rsidRPr="00CB2146">
        <w:rPr>
          <w:rFonts w:eastAsia="Times New Roman"/>
          <w:bCs/>
          <w:lang w:eastAsia="cs-CZ"/>
        </w:rPr>
        <w:t xml:space="preserve">. odst. </w:t>
      </w:r>
      <w:r w:rsidR="00664E7F" w:rsidRPr="00CB2146">
        <w:rPr>
          <w:rFonts w:eastAsia="Times New Roman"/>
          <w:bCs/>
          <w:lang w:eastAsia="cs-CZ"/>
        </w:rPr>
        <w:t>4</w:t>
      </w:r>
      <w:r w:rsidR="00D80E8F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5</w:t>
      </w:r>
      <w:r w:rsidR="003733B0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8</w:t>
      </w:r>
      <w:r w:rsidR="0029215C" w:rsidRPr="00CB2146">
        <w:rPr>
          <w:rFonts w:eastAsia="Times New Roman"/>
          <w:bCs/>
          <w:lang w:eastAsia="cs-CZ"/>
        </w:rPr>
        <w:t>,</w:t>
      </w:r>
      <w:r w:rsidR="003733B0" w:rsidRPr="00CB2146">
        <w:rPr>
          <w:rFonts w:eastAsia="Times New Roman"/>
          <w:bCs/>
          <w:lang w:eastAsia="cs-CZ"/>
        </w:rPr>
        <w:t xml:space="preserve"> </w:t>
      </w:r>
      <w:r w:rsidR="00664E7F" w:rsidRPr="00CB2146">
        <w:rPr>
          <w:rFonts w:eastAsia="Times New Roman"/>
          <w:bCs/>
          <w:lang w:eastAsia="cs-CZ"/>
        </w:rPr>
        <w:t>9</w:t>
      </w:r>
      <w:r w:rsidR="00AA4091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10</w:t>
      </w:r>
      <w:r w:rsidR="00AA4091" w:rsidRPr="00CB2146">
        <w:rPr>
          <w:rFonts w:eastAsia="Times New Roman"/>
          <w:bCs/>
          <w:lang w:eastAsia="cs-CZ"/>
        </w:rPr>
        <w:t>,</w:t>
      </w:r>
      <w:r w:rsidR="0029215C" w:rsidRPr="00CB2146">
        <w:rPr>
          <w:rFonts w:eastAsia="Times New Roman"/>
          <w:bCs/>
          <w:lang w:eastAsia="cs-CZ"/>
        </w:rPr>
        <w:t xml:space="preserve"> </w:t>
      </w:r>
      <w:r w:rsidR="00B80343" w:rsidRPr="00CB2146">
        <w:rPr>
          <w:rFonts w:eastAsia="Times New Roman"/>
          <w:bCs/>
          <w:lang w:eastAsia="cs-CZ"/>
        </w:rPr>
        <w:t xml:space="preserve">11 </w:t>
      </w:r>
      <w:r w:rsidR="0029215C" w:rsidRPr="00CB2146">
        <w:rPr>
          <w:rFonts w:eastAsia="Times New Roman"/>
          <w:bCs/>
          <w:lang w:eastAsia="cs-CZ"/>
        </w:rPr>
        <w:t>čl. VI</w:t>
      </w:r>
      <w:r w:rsidR="00B766F2" w:rsidRPr="00CB2146">
        <w:rPr>
          <w:rFonts w:eastAsia="Times New Roman"/>
          <w:bCs/>
          <w:lang w:eastAsia="cs-CZ"/>
        </w:rPr>
        <w:t>.</w:t>
      </w:r>
      <w:r w:rsidR="00D80E8F" w:rsidRPr="00CB2146">
        <w:rPr>
          <w:rFonts w:eastAsia="Times New Roman"/>
          <w:bCs/>
          <w:lang w:eastAsia="cs-CZ"/>
        </w:rPr>
        <w:t xml:space="preserve"> odst. 3, 4, 5, 6</w:t>
      </w:r>
      <w:r w:rsidRPr="00CB2146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B2146">
        <w:rPr>
          <w:rFonts w:eastAsia="Times New Roman"/>
          <w:bCs/>
          <w:lang w:eastAsia="cs-CZ"/>
        </w:rPr>
        <w:t> </w:t>
      </w:r>
      <w:r w:rsidRPr="00CB2146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</w:t>
      </w:r>
      <w:r w:rsidRPr="00C81072">
        <w:rPr>
          <w:rFonts w:eastAsia="Times New Roman"/>
          <w:bCs/>
          <w:lang w:eastAsia="cs-CZ"/>
        </w:rPr>
        <w:t xml:space="preserve">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6</w:t>
      </w:r>
      <w:r w:rsidR="00184E2C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C81072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E47773B" w14:textId="1A95AF72" w:rsidR="008F0B23" w:rsidRPr="007D5CB3" w:rsidRDefault="008F0B23" w:rsidP="008F0B23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</w:t>
      </w:r>
      <w:r w:rsidR="007D5CB3">
        <w:rPr>
          <w:rFonts w:eastAsia="Times New Roman"/>
          <w:bCs/>
          <w:lang w:eastAsia="cs-CZ"/>
        </w:rPr>
        <w:t>.</w:t>
      </w:r>
    </w:p>
    <w:p w14:paraId="4FE288BB" w14:textId="4D14D243" w:rsidR="007D5CB3" w:rsidRDefault="007D5CB3">
      <w:pPr>
        <w:spacing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66B5C023" w14:textId="3FEF06BE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nezakládající </w:t>
      </w:r>
      <w:r w:rsidRPr="00CB2146">
        <w:rPr>
          <w:rFonts w:eastAsia="Times New Roman"/>
          <w:lang w:eastAsia="cs-CZ"/>
        </w:rPr>
        <w:t>veřejnou podporu podle čl</w:t>
      </w:r>
      <w:r w:rsidR="003829B7" w:rsidRPr="00CB2146">
        <w:rPr>
          <w:rFonts w:eastAsia="Times New Roman"/>
          <w:lang w:eastAsia="cs-CZ"/>
        </w:rPr>
        <w:t>ánku</w:t>
      </w:r>
      <w:r w:rsidRPr="00CB2146">
        <w:rPr>
          <w:rFonts w:eastAsia="Times New Roman"/>
          <w:lang w:eastAsia="cs-CZ"/>
        </w:rPr>
        <w:t xml:space="preserve"> 107 odst. 1 Smlouvy o fungování </w:t>
      </w:r>
      <w:r w:rsidR="00634CE5" w:rsidRPr="00CB2146">
        <w:rPr>
          <w:rFonts w:eastAsia="Times New Roman"/>
          <w:lang w:eastAsia="cs-CZ"/>
        </w:rPr>
        <w:t xml:space="preserve">Evropské </w:t>
      </w:r>
      <w:r w:rsidRPr="00CB2146">
        <w:rPr>
          <w:rFonts w:eastAsia="Times New Roman"/>
          <w:lang w:eastAsia="cs-CZ"/>
        </w:rPr>
        <w:t>unie (dříve čl</w:t>
      </w:r>
      <w:r w:rsidR="003829B7" w:rsidRPr="00CB2146">
        <w:rPr>
          <w:rFonts w:eastAsia="Times New Roman"/>
          <w:lang w:eastAsia="cs-CZ"/>
        </w:rPr>
        <w:t>ánek</w:t>
      </w:r>
      <w:r w:rsidR="003B6DE9" w:rsidRPr="00CB2146">
        <w:rPr>
          <w:rFonts w:eastAsia="Times New Roman"/>
          <w:lang w:eastAsia="cs-CZ"/>
        </w:rPr>
        <w:t> </w:t>
      </w:r>
      <w:r w:rsidRPr="00CB2146">
        <w:rPr>
          <w:rFonts w:eastAsia="Times New Roman"/>
          <w:lang w:eastAsia="cs-CZ"/>
        </w:rPr>
        <w:t>87 odst. 1 Smlouvy o založení Evropského společenství</w:t>
      </w:r>
      <w:r w:rsidR="00A77221" w:rsidRPr="00CB2146">
        <w:rPr>
          <w:rFonts w:eastAsia="Times New Roman"/>
          <w:lang w:eastAsia="cs-CZ"/>
        </w:rPr>
        <w:t>)</w:t>
      </w:r>
      <w:r w:rsidRPr="00CB2146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 w:rsidRPr="00CB2146">
        <w:rPr>
          <w:rFonts w:eastAsia="Times New Roman"/>
          <w:lang w:eastAsia="cs-CZ"/>
        </w:rPr>
        <w:t> </w:t>
      </w:r>
      <w:r w:rsidRPr="00CB2146">
        <w:rPr>
          <w:rFonts w:eastAsia="Times New Roman"/>
          <w:lang w:eastAsia="cs-CZ"/>
        </w:rPr>
        <w:t>společným trhem v případě, že by se jednalo o veřejnou podporu, je</w:t>
      </w:r>
      <w:r w:rsidRPr="00C81072">
        <w:rPr>
          <w:rFonts w:eastAsia="Times New Roman"/>
          <w:lang w:eastAsia="cs-CZ"/>
        </w:rPr>
        <w:t xml:space="preserve"> toliko Komise (ES). Komise </w:t>
      </w:r>
      <w:r w:rsidRPr="00C81072">
        <w:rPr>
          <w:rFonts w:eastAsia="Times New Roman"/>
          <w:lang w:eastAsia="cs-CZ"/>
        </w:rPr>
        <w:lastRenderedPageBreak/>
        <w:t>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21D3307" w14:textId="35405BBD" w:rsidR="008F0B23" w:rsidRPr="00D7751D" w:rsidRDefault="008F0B23" w:rsidP="00D7751D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1798AEA" w:rsidR="008F0B2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8B338E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8B338E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3ED30E92" w14:textId="77777777" w:rsidR="00D7751D" w:rsidRPr="00C81072" w:rsidRDefault="00D7751D" w:rsidP="00D7751D">
      <w:pPr>
        <w:spacing w:after="0" w:line="240" w:lineRule="auto"/>
        <w:rPr>
          <w:rFonts w:eastAsia="Times New Roman"/>
          <w:lang w:eastAsia="cs-CZ"/>
        </w:rPr>
      </w:pPr>
    </w:p>
    <w:p w14:paraId="50F7475B" w14:textId="7C9441B2" w:rsidR="008F0B23" w:rsidRPr="009D60AF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9D60AF">
        <w:rPr>
          <w:rFonts w:eastAsia="Times New Roman"/>
          <w:color w:val="0D0D0D" w:themeColor="text1" w:themeTint="F2"/>
          <w:lang w:eastAsia="cs-CZ"/>
        </w:rPr>
        <w:t xml:space="preserve">Smlouva je vyhotovena ve </w:t>
      </w:r>
      <w:r w:rsidR="009D60AF">
        <w:rPr>
          <w:rFonts w:eastAsia="Times New Roman"/>
          <w:color w:val="0D0D0D" w:themeColor="text1" w:themeTint="F2"/>
          <w:lang w:eastAsia="cs-CZ"/>
        </w:rPr>
        <w:t>4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vyhotoveních, z nichž </w:t>
      </w:r>
      <w:r w:rsidR="009D60AF">
        <w:rPr>
          <w:rFonts w:eastAsia="Times New Roman"/>
          <w:color w:val="0D0D0D" w:themeColor="text1" w:themeTint="F2"/>
          <w:lang w:eastAsia="cs-CZ"/>
        </w:rPr>
        <w:t>3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obdrží poskytovatel a 1 příjemce.</w:t>
      </w:r>
    </w:p>
    <w:p w14:paraId="0082694B" w14:textId="77777777" w:rsidR="008F0B23" w:rsidRPr="009D60AF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3137B014" w14:textId="6EA3E8D8" w:rsidR="00BD446B" w:rsidRPr="009D60A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9D60AF">
        <w:rPr>
          <w:rFonts w:eastAsia="Times New Roman"/>
          <w:color w:val="0D0D0D" w:themeColor="text1" w:themeTint="F2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B338E">
        <w:rPr>
          <w:rFonts w:eastAsia="Times New Roman"/>
          <w:color w:val="0D0D0D" w:themeColor="text1" w:themeTint="F2"/>
          <w:lang w:eastAsia="cs-CZ"/>
        </w:rPr>
        <w:t>,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ve znění pozdějších předpisů. Smluvní strany se dohodly, že </w:t>
      </w:r>
      <w:r w:rsidR="001817D7" w:rsidRPr="009D60AF">
        <w:rPr>
          <w:rFonts w:eastAsia="Times New Roman"/>
          <w:color w:val="0D0D0D" w:themeColor="text1" w:themeTint="F2"/>
          <w:lang w:eastAsia="cs-CZ"/>
        </w:rPr>
        <w:t xml:space="preserve">zveřejnění </w:t>
      </w:r>
      <w:r w:rsidRPr="009D60AF">
        <w:rPr>
          <w:rFonts w:eastAsia="Times New Roman"/>
          <w:color w:val="0D0D0D" w:themeColor="text1" w:themeTint="F2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132C9531" w:rsidR="002C2F41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 </w:t>
      </w:r>
      <w:r w:rsidR="00853CB4" w:rsidRPr="00853CB4">
        <w:rPr>
          <w:rFonts w:eastAsia="Times New Roman"/>
          <w:color w:val="0D0D0D" w:themeColor="text1" w:themeTint="F2"/>
          <w:lang w:eastAsia="cs-CZ"/>
        </w:rPr>
        <w:t>416/04/24</w:t>
      </w:r>
      <w:r w:rsidRPr="00853CB4">
        <w:rPr>
          <w:rFonts w:eastAsia="Times New Roman"/>
          <w:color w:val="0D0D0D" w:themeColor="text1" w:themeTint="F2"/>
          <w:lang w:eastAsia="cs-CZ"/>
        </w:rPr>
        <w:t xml:space="preserve"> </w:t>
      </w:r>
      <w:r w:rsidRPr="00C81072">
        <w:rPr>
          <w:rFonts w:eastAsia="Times New Roman"/>
          <w:lang w:eastAsia="cs-CZ"/>
        </w:rPr>
        <w:t xml:space="preserve">ze dne </w:t>
      </w:r>
      <w:r w:rsidR="00853CB4">
        <w:rPr>
          <w:rFonts w:eastAsia="Times New Roman"/>
          <w:lang w:eastAsia="cs-CZ"/>
        </w:rPr>
        <w:t>08.04.2024</w:t>
      </w:r>
      <w:r w:rsidRPr="00C81072">
        <w:rPr>
          <w:rFonts w:eastAsia="Times New Roman"/>
          <w:lang w:eastAsia="cs-CZ"/>
        </w:rPr>
        <w:t>.</w:t>
      </w:r>
    </w:p>
    <w:p w14:paraId="30643379" w14:textId="32D3275D" w:rsidR="002C2F41" w:rsidRDefault="002C2F41">
      <w:pPr>
        <w:spacing w:after="0" w:line="240" w:lineRule="auto"/>
        <w:jc w:val="left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2C2F41">
        <w:trPr>
          <w:trHeight w:val="644"/>
        </w:trPr>
        <w:tc>
          <w:tcPr>
            <w:tcW w:w="2264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7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2C2F41">
        <w:trPr>
          <w:trHeight w:val="1536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499543B9" w14:textId="72D99074" w:rsidR="008B338E" w:rsidRPr="00853CB4" w:rsidRDefault="008B338E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53CB4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6CDFB6A2" w14:textId="4AC7DA92" w:rsidR="008F0B23" w:rsidRPr="00853CB4" w:rsidRDefault="00853CB4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53CB4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7018F125" w14:textId="5694DFAA" w:rsidR="00853CB4" w:rsidRPr="00853CB4" w:rsidRDefault="00853CB4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53CB4">
              <w:rPr>
                <w:rFonts w:eastAsia="Times New Roman"/>
                <w:color w:val="0D0D0D" w:themeColor="text1" w:themeTint="F2"/>
                <w:lang w:eastAsia="cs-CZ"/>
              </w:rPr>
              <w:t>Náměstek hejtmana</w:t>
            </w:r>
          </w:p>
          <w:p w14:paraId="5D6E577E" w14:textId="23B3E77D" w:rsidR="008F0B23" w:rsidRPr="00B8034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2EC543A0" w14:textId="479BF322" w:rsidR="008B338E" w:rsidRDefault="008B338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příjemce</w:t>
            </w:r>
          </w:p>
          <w:p w14:paraId="4E4ECBD8" w14:textId="77777777" w:rsidR="007D5CB3" w:rsidRDefault="007D5CB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7D5CB3">
              <w:rPr>
                <w:rFonts w:eastAsia="Times New Roman"/>
                <w:color w:val="0D0D0D" w:themeColor="text1" w:themeTint="F2"/>
                <w:lang w:eastAsia="cs-CZ"/>
              </w:rPr>
              <w:t>Jan Svoboda</w:t>
            </w:r>
          </w:p>
          <w:p w14:paraId="4B83B585" w14:textId="4683EE03" w:rsidR="008F0B23" w:rsidRPr="00C81072" w:rsidRDefault="007D5CB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7D5CB3">
              <w:rPr>
                <w:rFonts w:eastAsia="Times New Roman"/>
                <w:color w:val="0D0D0D" w:themeColor="text1" w:themeTint="F2"/>
                <w:lang w:eastAsia="cs-CZ"/>
              </w:rPr>
              <w:t>předseda</w:t>
            </w:r>
          </w:p>
        </w:tc>
      </w:tr>
    </w:tbl>
    <w:p w14:paraId="7808369B" w14:textId="6AE57570" w:rsidR="008F0B23" w:rsidRPr="00C81072" w:rsidRDefault="008F0B23" w:rsidP="00D7751D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8F0B23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6A0E7" w14:textId="77777777" w:rsidR="002508BB" w:rsidRDefault="002508BB" w:rsidP="008F0B23">
      <w:pPr>
        <w:spacing w:after="0" w:line="240" w:lineRule="auto"/>
      </w:pPr>
      <w:r>
        <w:separator/>
      </w:r>
    </w:p>
  </w:endnote>
  <w:endnote w:type="continuationSeparator" w:id="0">
    <w:p w14:paraId="68EF78A0" w14:textId="77777777" w:rsidR="002508BB" w:rsidRDefault="002508B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384512"/>
      <w:docPartObj>
        <w:docPartGallery w:val="Page Numbers (Bottom of Page)"/>
        <w:docPartUnique/>
      </w:docPartObj>
    </w:sdtPr>
    <w:sdtEndPr/>
    <w:sdtContent>
      <w:p w14:paraId="5127C8F8" w14:textId="3627F337" w:rsidR="009D60AF" w:rsidRDefault="009D60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A1C0D" w14:textId="77777777" w:rsidR="002508BB" w:rsidRDefault="002508BB" w:rsidP="008F0B23">
      <w:pPr>
        <w:spacing w:after="0" w:line="240" w:lineRule="auto"/>
      </w:pPr>
      <w:r>
        <w:separator/>
      </w:r>
    </w:p>
  </w:footnote>
  <w:footnote w:type="continuationSeparator" w:id="0">
    <w:p w14:paraId="7442B5E8" w14:textId="77777777" w:rsidR="002508BB" w:rsidRDefault="002508B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4364E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5BD2"/>
    <w:rsid w:val="000C76F4"/>
    <w:rsid w:val="000D37F3"/>
    <w:rsid w:val="000E6D8B"/>
    <w:rsid w:val="000F73AF"/>
    <w:rsid w:val="00102C47"/>
    <w:rsid w:val="00117A22"/>
    <w:rsid w:val="0015202A"/>
    <w:rsid w:val="00154647"/>
    <w:rsid w:val="001817D7"/>
    <w:rsid w:val="00184E2C"/>
    <w:rsid w:val="00187D78"/>
    <w:rsid w:val="00190D24"/>
    <w:rsid w:val="00196DB2"/>
    <w:rsid w:val="001A3CCC"/>
    <w:rsid w:val="001F26E5"/>
    <w:rsid w:val="00235F86"/>
    <w:rsid w:val="00244366"/>
    <w:rsid w:val="00247572"/>
    <w:rsid w:val="002508BB"/>
    <w:rsid w:val="00251951"/>
    <w:rsid w:val="002525C2"/>
    <w:rsid w:val="0025503C"/>
    <w:rsid w:val="00266773"/>
    <w:rsid w:val="00281566"/>
    <w:rsid w:val="0029215C"/>
    <w:rsid w:val="00295B0C"/>
    <w:rsid w:val="002B3F52"/>
    <w:rsid w:val="002B67D8"/>
    <w:rsid w:val="002C2F41"/>
    <w:rsid w:val="002C3670"/>
    <w:rsid w:val="002E4E97"/>
    <w:rsid w:val="00300D1B"/>
    <w:rsid w:val="00303E56"/>
    <w:rsid w:val="00320C36"/>
    <w:rsid w:val="00325592"/>
    <w:rsid w:val="00350C2D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3C79"/>
    <w:rsid w:val="003D6BBB"/>
    <w:rsid w:val="003E2204"/>
    <w:rsid w:val="00401FF7"/>
    <w:rsid w:val="00404DE1"/>
    <w:rsid w:val="004335E2"/>
    <w:rsid w:val="0046096F"/>
    <w:rsid w:val="00474546"/>
    <w:rsid w:val="00476C23"/>
    <w:rsid w:val="00493E8A"/>
    <w:rsid w:val="004A5E69"/>
    <w:rsid w:val="004B12C2"/>
    <w:rsid w:val="004B7CA6"/>
    <w:rsid w:val="004C3CDF"/>
    <w:rsid w:val="004F1637"/>
    <w:rsid w:val="004F3493"/>
    <w:rsid w:val="004F5509"/>
    <w:rsid w:val="005022FF"/>
    <w:rsid w:val="005075F5"/>
    <w:rsid w:val="00513EE1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806DF"/>
    <w:rsid w:val="007A26B7"/>
    <w:rsid w:val="007C424F"/>
    <w:rsid w:val="007D5CB3"/>
    <w:rsid w:val="007D6A19"/>
    <w:rsid w:val="00800E6F"/>
    <w:rsid w:val="008076E0"/>
    <w:rsid w:val="00815C2F"/>
    <w:rsid w:val="00820862"/>
    <w:rsid w:val="008211C7"/>
    <w:rsid w:val="008348EA"/>
    <w:rsid w:val="008466C6"/>
    <w:rsid w:val="00853CB4"/>
    <w:rsid w:val="0086380E"/>
    <w:rsid w:val="00866C55"/>
    <w:rsid w:val="008721B5"/>
    <w:rsid w:val="00893799"/>
    <w:rsid w:val="008A4C02"/>
    <w:rsid w:val="008B338E"/>
    <w:rsid w:val="008C6878"/>
    <w:rsid w:val="008D4B53"/>
    <w:rsid w:val="008F0B23"/>
    <w:rsid w:val="008F6C79"/>
    <w:rsid w:val="0096233F"/>
    <w:rsid w:val="00972169"/>
    <w:rsid w:val="009929D2"/>
    <w:rsid w:val="00997E6C"/>
    <w:rsid w:val="009B4958"/>
    <w:rsid w:val="009C4702"/>
    <w:rsid w:val="009C6F84"/>
    <w:rsid w:val="009D60AF"/>
    <w:rsid w:val="00A22E47"/>
    <w:rsid w:val="00A43ABC"/>
    <w:rsid w:val="00A47F4B"/>
    <w:rsid w:val="00A562B2"/>
    <w:rsid w:val="00A77221"/>
    <w:rsid w:val="00A94054"/>
    <w:rsid w:val="00AA4091"/>
    <w:rsid w:val="00AF07DC"/>
    <w:rsid w:val="00B055D9"/>
    <w:rsid w:val="00B16D7B"/>
    <w:rsid w:val="00B766F2"/>
    <w:rsid w:val="00B80343"/>
    <w:rsid w:val="00BA0C3B"/>
    <w:rsid w:val="00BA5EA2"/>
    <w:rsid w:val="00BC1DA4"/>
    <w:rsid w:val="00BC216D"/>
    <w:rsid w:val="00BD446B"/>
    <w:rsid w:val="00BF512D"/>
    <w:rsid w:val="00C112CD"/>
    <w:rsid w:val="00C707E0"/>
    <w:rsid w:val="00C75871"/>
    <w:rsid w:val="00C81072"/>
    <w:rsid w:val="00C8481B"/>
    <w:rsid w:val="00C91027"/>
    <w:rsid w:val="00CB2146"/>
    <w:rsid w:val="00CC11A9"/>
    <w:rsid w:val="00CD7089"/>
    <w:rsid w:val="00CF660D"/>
    <w:rsid w:val="00D006DF"/>
    <w:rsid w:val="00D403A5"/>
    <w:rsid w:val="00D72289"/>
    <w:rsid w:val="00D733D2"/>
    <w:rsid w:val="00D7751D"/>
    <w:rsid w:val="00D80E8F"/>
    <w:rsid w:val="00D9536E"/>
    <w:rsid w:val="00D9675B"/>
    <w:rsid w:val="00DA5631"/>
    <w:rsid w:val="00DB55D3"/>
    <w:rsid w:val="00DF1E0C"/>
    <w:rsid w:val="00DF5E91"/>
    <w:rsid w:val="00DF7ECE"/>
    <w:rsid w:val="00E30593"/>
    <w:rsid w:val="00E35F29"/>
    <w:rsid w:val="00E51915"/>
    <w:rsid w:val="00E84768"/>
    <w:rsid w:val="00EB02D6"/>
    <w:rsid w:val="00ED40AD"/>
    <w:rsid w:val="00EE5502"/>
    <w:rsid w:val="00EE5F78"/>
    <w:rsid w:val="00EF4C48"/>
    <w:rsid w:val="00EF57A1"/>
    <w:rsid w:val="00F0440D"/>
    <w:rsid w:val="00F04A51"/>
    <w:rsid w:val="00F069E7"/>
    <w:rsid w:val="00F108C3"/>
    <w:rsid w:val="00F40594"/>
    <w:rsid w:val="00F42A10"/>
    <w:rsid w:val="00F54944"/>
    <w:rsid w:val="00F73C3E"/>
    <w:rsid w:val="00F73D78"/>
    <w:rsid w:val="00F8238C"/>
    <w:rsid w:val="00F858B5"/>
    <w:rsid w:val="00FA04D0"/>
    <w:rsid w:val="00FA63A9"/>
    <w:rsid w:val="00FB17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05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13EF0B6-18F3-4AC8-A101-0549E0EC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2146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2024-05-16T10:23:00Z</dcterms:created>
  <dcterms:modified xsi:type="dcterms:W3CDTF">2024-05-16T10:23:00Z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