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82F8" w14:textId="1AF5307B" w:rsidR="0033787B" w:rsidRPr="0025793B" w:rsidRDefault="0033787B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Pr="00EF49C4">
        <w:rPr>
          <w:rFonts w:ascii="Arial" w:hAnsi="Arial" w:cs="Arial"/>
          <w:sz w:val="22"/>
          <w:szCs w:val="22"/>
        </w:rPr>
        <w:t xml:space="preserve">   </w:t>
      </w:r>
      <w:r w:rsidRPr="0025793B">
        <w:rPr>
          <w:rFonts w:ascii="Arial" w:hAnsi="Arial" w:cs="Arial"/>
          <w:sz w:val="22"/>
          <w:szCs w:val="22"/>
        </w:rPr>
        <w:t xml:space="preserve">Č.j. </w:t>
      </w:r>
      <w:r w:rsidR="0025793B" w:rsidRPr="0025793B">
        <w:rPr>
          <w:rFonts w:ascii="Arial" w:hAnsi="Arial" w:cs="Arial"/>
          <w:sz w:val="22"/>
          <w:szCs w:val="22"/>
        </w:rPr>
        <w:t>SPU 151543/2024</w:t>
      </w:r>
    </w:p>
    <w:p w14:paraId="6D02F7D7" w14:textId="1980D8C3" w:rsidR="00EF49C4" w:rsidRPr="00EF49C4" w:rsidRDefault="00EF49C4" w:rsidP="005A7FD6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2579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25793B" w:rsidRPr="0025793B">
        <w:rPr>
          <w:rFonts w:ascii="Arial" w:hAnsi="Arial" w:cs="Arial"/>
          <w:sz w:val="22"/>
          <w:szCs w:val="22"/>
        </w:rPr>
        <w:t>spuess920a566a</w:t>
      </w:r>
    </w:p>
    <w:p w14:paraId="62E2C0FB" w14:textId="77777777" w:rsidR="0033787B" w:rsidRPr="00F5472B" w:rsidRDefault="0033787B" w:rsidP="005A7FD6">
      <w:pPr>
        <w:rPr>
          <w:rFonts w:ascii="Arial" w:hAnsi="Arial" w:cs="Arial"/>
          <w:b/>
          <w:bCs/>
          <w:sz w:val="18"/>
          <w:szCs w:val="18"/>
        </w:rPr>
      </w:pPr>
    </w:p>
    <w:p w14:paraId="6C44C951" w14:textId="4A420C68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EC07A9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6AEEB32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625B304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 01312774</w:t>
      </w:r>
    </w:p>
    <w:p w14:paraId="5F575F91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35FA26BA" w14:textId="77777777" w:rsidR="005A7FD6" w:rsidRPr="00BB6E07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58AC7A5F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BDF6F51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75BE6A56" w14:textId="77777777" w:rsidR="005A7FD6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25026572" w14:textId="61DE0A80" w:rsidR="008436C6" w:rsidRDefault="001F2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5A290BE3" w14:textId="77777777" w:rsidR="001F2397" w:rsidRPr="00B206A3" w:rsidRDefault="001F2397">
      <w:pPr>
        <w:jc w:val="both"/>
        <w:rPr>
          <w:rFonts w:ascii="Arial" w:hAnsi="Arial" w:cs="Arial"/>
          <w:sz w:val="16"/>
          <w:szCs w:val="16"/>
        </w:rPr>
      </w:pPr>
    </w:p>
    <w:p w14:paraId="67FA9829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13AC3D41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51B6B0B7" w14:textId="77777777" w:rsidR="008436C6" w:rsidRPr="00F5472B" w:rsidRDefault="008436C6">
      <w:pPr>
        <w:jc w:val="both"/>
        <w:rPr>
          <w:rFonts w:ascii="Arial" w:hAnsi="Arial" w:cs="Arial"/>
          <w:sz w:val="16"/>
          <w:szCs w:val="16"/>
        </w:rPr>
      </w:pPr>
    </w:p>
    <w:p w14:paraId="68A64EF8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4F306EE9" w14:textId="2F6C811C" w:rsidR="008436C6" w:rsidRPr="00F5472B" w:rsidRDefault="008436C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6"/>
          <w:szCs w:val="16"/>
          <w:lang w:eastAsia="cs-CZ"/>
        </w:rPr>
      </w:pPr>
    </w:p>
    <w:p w14:paraId="34E2F3A8" w14:textId="77777777" w:rsidR="003B09D6" w:rsidRPr="00BD265F" w:rsidRDefault="003B09D6" w:rsidP="003B09D6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BD265F">
        <w:rPr>
          <w:rFonts w:ascii="Arial" w:hAnsi="Arial" w:cs="Arial"/>
          <w:sz w:val="22"/>
          <w:szCs w:val="22"/>
        </w:rPr>
        <w:t xml:space="preserve">pan </w:t>
      </w:r>
      <w:r w:rsidRPr="00BD265F">
        <w:rPr>
          <w:rFonts w:ascii="Arial" w:hAnsi="Arial" w:cs="Arial"/>
          <w:b/>
          <w:bCs/>
          <w:sz w:val="22"/>
          <w:szCs w:val="22"/>
        </w:rPr>
        <w:t>Slavomír Chrást</w:t>
      </w:r>
    </w:p>
    <w:p w14:paraId="01AA4003" w14:textId="2C72B2C1" w:rsidR="003B09D6" w:rsidRPr="00BD265F" w:rsidRDefault="003B09D6" w:rsidP="003B09D6">
      <w:pPr>
        <w:jc w:val="both"/>
        <w:rPr>
          <w:rFonts w:ascii="Arial" w:hAnsi="Arial" w:cs="Arial"/>
          <w:color w:val="FF0000"/>
          <w:sz w:val="22"/>
          <w:szCs w:val="22"/>
        </w:rPr>
      </w:pPr>
      <w:proofErr w:type="spellStart"/>
      <w:r w:rsidRPr="00BD265F">
        <w:rPr>
          <w:rFonts w:ascii="Arial" w:hAnsi="Arial" w:cs="Arial"/>
          <w:sz w:val="22"/>
          <w:szCs w:val="22"/>
        </w:rPr>
        <w:t>r.č</w:t>
      </w:r>
      <w:proofErr w:type="spellEnd"/>
      <w:r w:rsidRPr="00BD265F">
        <w:rPr>
          <w:rFonts w:ascii="Arial" w:hAnsi="Arial" w:cs="Arial"/>
          <w:sz w:val="22"/>
          <w:szCs w:val="22"/>
        </w:rPr>
        <w:t xml:space="preserve">.  </w:t>
      </w:r>
      <w:r w:rsidR="00BB3212">
        <w:rPr>
          <w:rFonts w:ascii="Arial" w:hAnsi="Arial" w:cs="Arial"/>
          <w:sz w:val="22"/>
          <w:szCs w:val="22"/>
        </w:rPr>
        <w:t>XXXXXXXXXXX</w:t>
      </w:r>
    </w:p>
    <w:p w14:paraId="7B666D9B" w14:textId="0C5EC8F9" w:rsidR="003B09D6" w:rsidRPr="00C36479" w:rsidRDefault="003B09D6" w:rsidP="003B09D6">
      <w:pPr>
        <w:jc w:val="both"/>
        <w:rPr>
          <w:rFonts w:ascii="Arial" w:hAnsi="Arial" w:cs="Arial"/>
          <w:sz w:val="22"/>
          <w:szCs w:val="22"/>
        </w:rPr>
      </w:pPr>
      <w:r w:rsidRPr="00C36479">
        <w:rPr>
          <w:rFonts w:ascii="Arial" w:hAnsi="Arial" w:cs="Arial"/>
          <w:sz w:val="22"/>
          <w:szCs w:val="22"/>
        </w:rPr>
        <w:t xml:space="preserve">bytem Nové Bránice </w:t>
      </w:r>
      <w:r w:rsidR="00BB3212">
        <w:rPr>
          <w:rFonts w:ascii="Arial" w:hAnsi="Arial" w:cs="Arial"/>
          <w:sz w:val="22"/>
          <w:szCs w:val="22"/>
        </w:rPr>
        <w:t>X</w:t>
      </w:r>
      <w:r w:rsidRPr="00C36479">
        <w:rPr>
          <w:rFonts w:ascii="Arial" w:hAnsi="Arial" w:cs="Arial"/>
          <w:sz w:val="22"/>
          <w:szCs w:val="22"/>
        </w:rPr>
        <w:t>, PSČ 664 6</w:t>
      </w:r>
      <w:r w:rsidR="0025793B">
        <w:rPr>
          <w:rFonts w:ascii="Arial" w:hAnsi="Arial" w:cs="Arial"/>
          <w:sz w:val="22"/>
          <w:szCs w:val="22"/>
        </w:rPr>
        <w:t>4</w:t>
      </w:r>
      <w:r w:rsidRPr="00C36479">
        <w:rPr>
          <w:rFonts w:ascii="Arial" w:hAnsi="Arial" w:cs="Arial"/>
          <w:sz w:val="22"/>
          <w:szCs w:val="22"/>
        </w:rPr>
        <w:t xml:space="preserve"> </w:t>
      </w:r>
    </w:p>
    <w:p w14:paraId="2387CE32" w14:textId="77777777" w:rsidR="003B09D6" w:rsidRPr="00C36479" w:rsidRDefault="003B09D6" w:rsidP="003B09D6">
      <w:pPr>
        <w:jc w:val="both"/>
        <w:rPr>
          <w:rFonts w:ascii="Arial" w:hAnsi="Arial" w:cs="Arial"/>
          <w:sz w:val="22"/>
          <w:szCs w:val="22"/>
        </w:rPr>
      </w:pPr>
      <w:r w:rsidRPr="00C36479">
        <w:rPr>
          <w:rFonts w:ascii="Arial" w:hAnsi="Arial" w:cs="Arial"/>
          <w:sz w:val="22"/>
          <w:szCs w:val="22"/>
        </w:rPr>
        <w:t>IČ: 60396687, vedený v evidenci zemědělského podnikatele</w:t>
      </w:r>
    </w:p>
    <w:p w14:paraId="2BFE0EFC" w14:textId="3A6866E5" w:rsidR="003B09D6" w:rsidRPr="00C36479" w:rsidRDefault="003B09D6" w:rsidP="003B09D6">
      <w:pPr>
        <w:jc w:val="both"/>
        <w:rPr>
          <w:rFonts w:ascii="Arial" w:hAnsi="Arial" w:cs="Arial"/>
          <w:sz w:val="22"/>
          <w:szCs w:val="22"/>
        </w:rPr>
      </w:pPr>
      <w:r w:rsidRPr="00C36479">
        <w:rPr>
          <w:rFonts w:ascii="Arial" w:hAnsi="Arial" w:cs="Arial"/>
          <w:sz w:val="22"/>
          <w:szCs w:val="22"/>
        </w:rPr>
        <w:t xml:space="preserve">bankovní spojení: </w:t>
      </w:r>
      <w:r w:rsidR="00BB3212">
        <w:rPr>
          <w:rFonts w:ascii="Arial" w:hAnsi="Arial" w:cs="Arial"/>
          <w:sz w:val="22"/>
          <w:szCs w:val="22"/>
        </w:rPr>
        <w:t>XXXXXXXXXXXXXXXXXXX</w:t>
      </w:r>
    </w:p>
    <w:p w14:paraId="4C91A393" w14:textId="2BB6F605" w:rsidR="003B09D6" w:rsidRPr="00C36479" w:rsidRDefault="003B09D6" w:rsidP="003B09D6">
      <w:pPr>
        <w:jc w:val="both"/>
        <w:rPr>
          <w:rFonts w:ascii="Arial" w:hAnsi="Arial" w:cs="Arial"/>
          <w:sz w:val="22"/>
          <w:szCs w:val="22"/>
        </w:rPr>
      </w:pPr>
      <w:r w:rsidRPr="00C36479">
        <w:rPr>
          <w:rFonts w:ascii="Arial" w:hAnsi="Arial" w:cs="Arial"/>
          <w:sz w:val="22"/>
          <w:szCs w:val="22"/>
        </w:rPr>
        <w:t xml:space="preserve">číslo účtu: </w:t>
      </w:r>
      <w:r w:rsidR="00BB3212">
        <w:rPr>
          <w:rFonts w:ascii="Arial" w:hAnsi="Arial" w:cs="Arial"/>
          <w:sz w:val="22"/>
          <w:szCs w:val="22"/>
        </w:rPr>
        <w:t>XXXXXXXXXXXXX</w:t>
      </w:r>
    </w:p>
    <w:p w14:paraId="70A1E496" w14:textId="77777777" w:rsidR="008D5426" w:rsidRPr="00B206A3" w:rsidRDefault="008D542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6"/>
          <w:szCs w:val="16"/>
          <w:lang w:eastAsia="cs-CZ"/>
        </w:rPr>
      </w:pPr>
    </w:p>
    <w:p w14:paraId="5BE76495" w14:textId="77777777" w:rsidR="008436C6" w:rsidRDefault="008436C6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570A90BA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57257579" w14:textId="77777777" w:rsidR="005D4F22" w:rsidRPr="00F5472B" w:rsidRDefault="005D4F22">
      <w:pPr>
        <w:jc w:val="both"/>
        <w:rPr>
          <w:rFonts w:ascii="Arial" w:hAnsi="Arial" w:cs="Arial"/>
        </w:rPr>
      </w:pPr>
    </w:p>
    <w:p w14:paraId="1B402D0E" w14:textId="10EC5FD7" w:rsidR="008436C6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6AB5BC1E" w14:textId="77777777" w:rsidR="00F5472B" w:rsidRDefault="00F5472B">
      <w:pPr>
        <w:jc w:val="both"/>
      </w:pPr>
    </w:p>
    <w:p w14:paraId="7B66754E" w14:textId="77777777" w:rsidR="00B206A3" w:rsidRPr="00F5472B" w:rsidRDefault="00B206A3">
      <w:pPr>
        <w:jc w:val="both"/>
        <w:rPr>
          <w:rFonts w:ascii="Arial" w:hAnsi="Arial" w:cs="Arial"/>
        </w:rPr>
      </w:pPr>
    </w:p>
    <w:p w14:paraId="7EF8EDDB" w14:textId="53188FE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2EC9E42B" w14:textId="08E6225B" w:rsidR="00D0140B" w:rsidRPr="00D0140B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D0140B">
        <w:rPr>
          <w:rFonts w:ascii="Arial" w:hAnsi="Arial" w:cs="Arial"/>
          <w:b/>
          <w:sz w:val="32"/>
          <w:szCs w:val="32"/>
        </w:rPr>
        <w:t xml:space="preserve">č. </w:t>
      </w:r>
      <w:r w:rsidR="003B09D6">
        <w:rPr>
          <w:rFonts w:ascii="Arial" w:hAnsi="Arial" w:cs="Arial"/>
          <w:b/>
          <w:sz w:val="32"/>
          <w:szCs w:val="32"/>
        </w:rPr>
        <w:t>21</w:t>
      </w:r>
      <w:r w:rsidR="009D5166">
        <w:rPr>
          <w:rFonts w:ascii="Arial" w:hAnsi="Arial" w:cs="Arial"/>
          <w:b/>
          <w:sz w:val="32"/>
          <w:szCs w:val="32"/>
        </w:rPr>
        <w:t>N2</w:t>
      </w:r>
      <w:r w:rsidR="000E254F">
        <w:rPr>
          <w:rFonts w:ascii="Arial" w:hAnsi="Arial" w:cs="Arial"/>
          <w:b/>
          <w:sz w:val="32"/>
          <w:szCs w:val="32"/>
        </w:rPr>
        <w:t>4</w:t>
      </w:r>
      <w:r w:rsidRPr="00D0140B">
        <w:rPr>
          <w:rFonts w:ascii="Arial" w:hAnsi="Arial" w:cs="Arial"/>
          <w:b/>
          <w:sz w:val="32"/>
          <w:szCs w:val="32"/>
        </w:rPr>
        <w:t>/23</w:t>
      </w:r>
    </w:p>
    <w:p w14:paraId="124317F8" w14:textId="77777777" w:rsidR="008436C6" w:rsidRDefault="008436C6">
      <w:pPr>
        <w:jc w:val="center"/>
        <w:rPr>
          <w:rFonts w:ascii="Arial" w:hAnsi="Arial" w:cs="Arial"/>
          <w:b/>
          <w:sz w:val="22"/>
          <w:szCs w:val="22"/>
        </w:rPr>
      </w:pPr>
    </w:p>
    <w:p w14:paraId="6E4B0174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t>Čl. I</w:t>
      </w:r>
    </w:p>
    <w:p w14:paraId="4E83B4A1" w14:textId="77777777" w:rsidR="008436C6" w:rsidRPr="00F5472B" w:rsidRDefault="008436C6">
      <w:pPr>
        <w:tabs>
          <w:tab w:val="left" w:pos="568"/>
        </w:tabs>
        <w:jc w:val="both"/>
        <w:rPr>
          <w:rFonts w:ascii="Arial" w:hAnsi="Arial" w:cs="Arial"/>
          <w:sz w:val="16"/>
          <w:szCs w:val="16"/>
        </w:rPr>
      </w:pPr>
    </w:p>
    <w:p w14:paraId="1296402B" w14:textId="77777777" w:rsidR="005D4F22" w:rsidRDefault="005D4F22" w:rsidP="005D4F22">
      <w:pPr>
        <w:jc w:val="both"/>
        <w:rPr>
          <w:rFonts w:ascii="Arial" w:hAnsi="Arial" w:cs="Arial"/>
          <w:sz w:val="22"/>
          <w:szCs w:val="22"/>
        </w:rPr>
      </w:pPr>
      <w:r w:rsidRPr="00BE2E2E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 těmito pozemky ve vlastnictví státu vedenými u Katastrálního úřadu pro Jihomoravský kraj se sídlem v Brně, Katastrálního pracoviště Brno-venkov</w:t>
      </w:r>
    </w:p>
    <w:p w14:paraId="3FA32E8F" w14:textId="77777777" w:rsidR="00F5472B" w:rsidRDefault="00F5472B" w:rsidP="005D4F2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8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159"/>
        <w:gridCol w:w="2190"/>
        <w:gridCol w:w="993"/>
        <w:gridCol w:w="992"/>
        <w:gridCol w:w="1417"/>
        <w:gridCol w:w="1134"/>
      </w:tblGrid>
      <w:tr w:rsidR="000E254F" w:rsidRPr="00100343" w14:paraId="04636EA7" w14:textId="77777777" w:rsidTr="00D75612">
        <w:trPr>
          <w:trHeight w:val="465"/>
        </w:trPr>
        <w:tc>
          <w:tcPr>
            <w:tcW w:w="1102" w:type="dxa"/>
            <w:shd w:val="clear" w:color="auto" w:fill="auto"/>
            <w:vAlign w:val="center"/>
            <w:hideMark/>
          </w:tcPr>
          <w:p w14:paraId="102545F4" w14:textId="77777777" w:rsidR="005D4F22" w:rsidRPr="00100343" w:rsidRDefault="005D4F22" w:rsidP="00D75612">
            <w:pPr>
              <w:jc w:val="center"/>
              <w:rPr>
                <w:rFonts w:ascii="Arial" w:hAnsi="Arial" w:cs="Arial"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t>obec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00F95100" w14:textId="77777777" w:rsidR="005D4F22" w:rsidRPr="00100343" w:rsidRDefault="005D4F22" w:rsidP="00D75612">
            <w:pPr>
              <w:jc w:val="center"/>
              <w:rPr>
                <w:rFonts w:ascii="Arial" w:hAnsi="Arial" w:cs="Arial"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t>kat. území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14:paraId="77A518AE" w14:textId="77777777" w:rsidR="005D4F22" w:rsidRPr="00100343" w:rsidRDefault="005D4F22" w:rsidP="00D75612">
            <w:pPr>
              <w:jc w:val="center"/>
              <w:rPr>
                <w:rFonts w:ascii="Arial" w:hAnsi="Arial" w:cs="Arial"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t>druh evidence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B0C772" w14:textId="77777777" w:rsidR="005D4F22" w:rsidRPr="00100343" w:rsidRDefault="005D4F22" w:rsidP="00D7561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00343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100343">
              <w:rPr>
                <w:rFonts w:ascii="Arial" w:hAnsi="Arial" w:cs="Arial"/>
                <w:color w:val="000000"/>
              </w:rPr>
              <w:t>. č.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02592" w14:textId="77777777" w:rsidR="005D4F22" w:rsidRPr="00100343" w:rsidRDefault="005D4F22" w:rsidP="00D75612">
            <w:pPr>
              <w:jc w:val="center"/>
              <w:rPr>
                <w:rFonts w:ascii="Arial" w:hAnsi="Arial" w:cs="Arial"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t>výměra v m</w:t>
            </w:r>
            <w:r w:rsidRPr="00100343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0E44FA" w14:textId="77777777" w:rsidR="005D4F22" w:rsidRPr="00100343" w:rsidRDefault="005D4F22" w:rsidP="00D75612">
            <w:pPr>
              <w:jc w:val="center"/>
              <w:rPr>
                <w:rFonts w:ascii="Arial" w:hAnsi="Arial" w:cs="Arial"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t>druh pozemku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791D3D" w14:textId="77777777" w:rsidR="005D4F22" w:rsidRPr="00100343" w:rsidRDefault="005D4F22" w:rsidP="00D75612">
            <w:pPr>
              <w:jc w:val="center"/>
              <w:rPr>
                <w:rFonts w:ascii="Arial" w:hAnsi="Arial" w:cs="Arial"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t>poznámka</w:t>
            </w:r>
          </w:p>
        </w:tc>
      </w:tr>
      <w:tr w:rsidR="000E254F" w:rsidRPr="008E1E56" w14:paraId="45069342" w14:textId="77777777" w:rsidTr="00D75612">
        <w:trPr>
          <w:trHeight w:val="483"/>
        </w:trPr>
        <w:tc>
          <w:tcPr>
            <w:tcW w:w="1102" w:type="dxa"/>
            <w:shd w:val="clear" w:color="auto" w:fill="auto"/>
            <w:vAlign w:val="center"/>
          </w:tcPr>
          <w:p w14:paraId="3A3AEC13" w14:textId="64D679AE" w:rsidR="005D4F22" w:rsidRPr="008E1E56" w:rsidRDefault="000E254F" w:rsidP="00D75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17F6B00" w14:textId="791F210A" w:rsidR="005D4F22" w:rsidRPr="008E1E56" w:rsidRDefault="000E254F" w:rsidP="00D7561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038872A" w14:textId="77777777" w:rsidR="005D4F22" w:rsidRPr="008E1E56" w:rsidRDefault="005D4F22" w:rsidP="00D75612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katastr nemovitostí (KN)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61785" w14:textId="449721A5" w:rsidR="005D4F22" w:rsidRPr="008E1E56" w:rsidRDefault="005D4F22" w:rsidP="00D756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1</w:t>
            </w:r>
            <w:r w:rsidR="00243A81">
              <w:rPr>
                <w:rFonts w:ascii="Arial" w:hAnsi="Arial" w:cs="Arial"/>
                <w:bCs/>
                <w:color w:val="000000"/>
              </w:rPr>
              <w:t>426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136AC" w14:textId="2582445D" w:rsidR="005D4F22" w:rsidRPr="008E1E56" w:rsidRDefault="003B09D6" w:rsidP="00D756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487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B557A" w14:textId="77777777" w:rsidR="005D4F22" w:rsidRPr="008E1E56" w:rsidRDefault="005D4F22" w:rsidP="00D756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ostatní plocha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AFFDD" w14:textId="77777777" w:rsidR="005D4F22" w:rsidRPr="008E1E56" w:rsidRDefault="005D4F22" w:rsidP="00D75612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část v PB</w:t>
            </w:r>
          </w:p>
        </w:tc>
      </w:tr>
      <w:tr w:rsidR="00D03ADA" w:rsidRPr="008E1E56" w14:paraId="303F78D2" w14:textId="77777777" w:rsidTr="00D75612">
        <w:trPr>
          <w:trHeight w:val="483"/>
        </w:trPr>
        <w:tc>
          <w:tcPr>
            <w:tcW w:w="1102" w:type="dxa"/>
            <w:shd w:val="clear" w:color="auto" w:fill="auto"/>
            <w:vAlign w:val="center"/>
          </w:tcPr>
          <w:p w14:paraId="08A2926C" w14:textId="24E74E5E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FD7FD7E" w14:textId="58B6332E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C24B6D1" w14:textId="60D64D0B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katastr nemovitostí (KN)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66D48" w14:textId="5F516D48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563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B38A6" w14:textId="329C2206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591BD0" w14:textId="59B913A1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ostatní plocha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CB66F" w14:textId="2C32F2B6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část v PB</w:t>
            </w:r>
          </w:p>
        </w:tc>
      </w:tr>
      <w:tr w:rsidR="00D03ADA" w:rsidRPr="008E1E56" w14:paraId="4A4F612C" w14:textId="77777777" w:rsidTr="00D75612">
        <w:trPr>
          <w:trHeight w:val="483"/>
        </w:trPr>
        <w:tc>
          <w:tcPr>
            <w:tcW w:w="1102" w:type="dxa"/>
            <w:shd w:val="clear" w:color="auto" w:fill="auto"/>
            <w:vAlign w:val="center"/>
          </w:tcPr>
          <w:p w14:paraId="6CD7551A" w14:textId="05C9D239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BE8AF46" w14:textId="2A9297C5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898C867" w14:textId="54D529D8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katastr nemovitostí (KN)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CE532" w14:textId="4826498C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932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17779" w14:textId="50F8F8E9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3863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511B4C" w14:textId="3ECF62D2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ostatní plocha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1113F" w14:textId="350EE90F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část v PB</w:t>
            </w:r>
          </w:p>
        </w:tc>
      </w:tr>
      <w:tr w:rsidR="00D03ADA" w:rsidRPr="008E1E56" w14:paraId="559EF4B7" w14:textId="77777777" w:rsidTr="00D75612">
        <w:trPr>
          <w:trHeight w:val="483"/>
        </w:trPr>
        <w:tc>
          <w:tcPr>
            <w:tcW w:w="1102" w:type="dxa"/>
            <w:shd w:val="clear" w:color="auto" w:fill="auto"/>
            <w:vAlign w:val="center"/>
          </w:tcPr>
          <w:p w14:paraId="29524EED" w14:textId="4CD6AB14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5AA9CC8" w14:textId="626E08A9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D4D97D3" w14:textId="324F38E7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katastr nemovitostí (KN)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63418" w14:textId="29D2953E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970A1" w14:textId="267257CE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2D0B1" w14:textId="0CA8A64B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ostatní plocha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CE80C" w14:textId="3D003C53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část v PB</w:t>
            </w:r>
          </w:p>
        </w:tc>
      </w:tr>
      <w:tr w:rsidR="00D03ADA" w:rsidRPr="008E1E56" w14:paraId="3A1B12C7" w14:textId="77777777" w:rsidTr="00D75612">
        <w:trPr>
          <w:trHeight w:val="483"/>
        </w:trPr>
        <w:tc>
          <w:tcPr>
            <w:tcW w:w="1102" w:type="dxa"/>
            <w:shd w:val="clear" w:color="auto" w:fill="auto"/>
            <w:vAlign w:val="center"/>
          </w:tcPr>
          <w:p w14:paraId="284C19E1" w14:textId="7E05FDA1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A898A7C" w14:textId="46E0106F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9925DEF" w14:textId="1CE35169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katastr nemovitostí (KN)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A7E14" w14:textId="410AE7D6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2136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3A073" w14:textId="574B073C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3901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F5E27" w14:textId="1F9A769E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ostatní plocha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BDA1A" w14:textId="03C546D2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část v PB</w:t>
            </w:r>
          </w:p>
        </w:tc>
      </w:tr>
      <w:tr w:rsidR="00D03ADA" w:rsidRPr="008E1E56" w14:paraId="3E427ADA" w14:textId="77777777" w:rsidTr="00D75612">
        <w:trPr>
          <w:trHeight w:val="483"/>
        </w:trPr>
        <w:tc>
          <w:tcPr>
            <w:tcW w:w="1102" w:type="dxa"/>
            <w:shd w:val="clear" w:color="auto" w:fill="auto"/>
            <w:vAlign w:val="center"/>
          </w:tcPr>
          <w:p w14:paraId="6287B61C" w14:textId="4BBB5E76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B623D92" w14:textId="6E23BC7E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2E0C502" w14:textId="6C030FA1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katastr nemovitostí (KN)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2B5B2" w14:textId="32547B43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2164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12A94" w14:textId="42A86AA5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6851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B6375" w14:textId="300B4304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ostatní plocha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3445E" w14:textId="3B16BFA7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část v PB</w:t>
            </w:r>
          </w:p>
        </w:tc>
      </w:tr>
      <w:tr w:rsidR="00D03ADA" w:rsidRPr="008E1E56" w14:paraId="33C91AD0" w14:textId="77777777" w:rsidTr="00D75612">
        <w:trPr>
          <w:trHeight w:val="483"/>
        </w:trPr>
        <w:tc>
          <w:tcPr>
            <w:tcW w:w="1102" w:type="dxa"/>
            <w:shd w:val="clear" w:color="auto" w:fill="auto"/>
            <w:vAlign w:val="center"/>
          </w:tcPr>
          <w:p w14:paraId="11DD3D6E" w14:textId="443986A8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lastRenderedPageBreak/>
              <w:t>obec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F8A507E" w14:textId="6DEFC1FB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t>kat. území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83EE012" w14:textId="21F1AA0E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t>druh evidence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6D468" w14:textId="4F1595E7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100343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100343">
              <w:rPr>
                <w:rFonts w:ascii="Arial" w:hAnsi="Arial" w:cs="Arial"/>
                <w:color w:val="000000"/>
              </w:rPr>
              <w:t>. č.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F404B" w14:textId="0A24AF50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t>výměra v m</w:t>
            </w:r>
            <w:r w:rsidRPr="00100343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26505" w14:textId="3C665539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t>druh pozemku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A609C" w14:textId="3CE03849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100343">
              <w:rPr>
                <w:rFonts w:ascii="Arial" w:hAnsi="Arial" w:cs="Arial"/>
                <w:color w:val="000000"/>
              </w:rPr>
              <w:t>poznámka</w:t>
            </w:r>
          </w:p>
        </w:tc>
      </w:tr>
      <w:tr w:rsidR="00D03ADA" w:rsidRPr="008E1E56" w14:paraId="22C7D720" w14:textId="77777777" w:rsidTr="00D75612">
        <w:trPr>
          <w:trHeight w:val="483"/>
        </w:trPr>
        <w:tc>
          <w:tcPr>
            <w:tcW w:w="1102" w:type="dxa"/>
            <w:shd w:val="clear" w:color="auto" w:fill="auto"/>
            <w:vAlign w:val="center"/>
          </w:tcPr>
          <w:p w14:paraId="16B1657A" w14:textId="26BB9204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E8EC393" w14:textId="04DD7880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5F1B878" w14:textId="3F648032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katastr nemovitostí (KN)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E93CF" w14:textId="0D96D2C3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2187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9393A" w14:textId="5472A315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514</w:t>
            </w:r>
            <w:r w:rsidR="00E54424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5356C" w14:textId="653AEE50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ostatní plocha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F316B" w14:textId="20D54D81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část v PB</w:t>
            </w:r>
          </w:p>
        </w:tc>
      </w:tr>
      <w:tr w:rsidR="00D03ADA" w:rsidRPr="008E1E56" w14:paraId="3049C36E" w14:textId="77777777" w:rsidTr="00D75612">
        <w:trPr>
          <w:trHeight w:val="483"/>
        </w:trPr>
        <w:tc>
          <w:tcPr>
            <w:tcW w:w="1102" w:type="dxa"/>
            <w:shd w:val="clear" w:color="auto" w:fill="auto"/>
            <w:vAlign w:val="center"/>
          </w:tcPr>
          <w:p w14:paraId="347DBD1E" w14:textId="4556FD13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6CCFC0B" w14:textId="35379B71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0EE0B2A" w14:textId="31531A37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katastr nemovitostí (KN)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F0395" w14:textId="1FEC330A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91CE3" w14:textId="5AAF23B1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12824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5D4F4" w14:textId="7EA08956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ostatní plocha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78016" w14:textId="6FC1A046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část v PB</w:t>
            </w:r>
          </w:p>
        </w:tc>
      </w:tr>
      <w:tr w:rsidR="00D03ADA" w:rsidRPr="008E1E56" w14:paraId="73E930AE" w14:textId="77777777" w:rsidTr="00D75612">
        <w:trPr>
          <w:trHeight w:val="483"/>
        </w:trPr>
        <w:tc>
          <w:tcPr>
            <w:tcW w:w="1102" w:type="dxa"/>
            <w:shd w:val="clear" w:color="auto" w:fill="auto"/>
            <w:vAlign w:val="center"/>
          </w:tcPr>
          <w:p w14:paraId="4A5964FD" w14:textId="35CFF655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2842469" w14:textId="0629E270" w:rsidR="00D03ADA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Nové Bránice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275BC92" w14:textId="0FE0A813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katastr nemovitostí (KN)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FDA25" w14:textId="2046B2F7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0A49F" w14:textId="22CA292C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7450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E836CF" w14:textId="6BBDDAE1" w:rsidR="00D03ADA" w:rsidRPr="008E1E56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E1E56">
              <w:rPr>
                <w:rFonts w:ascii="Arial" w:hAnsi="Arial" w:cs="Arial"/>
                <w:bCs/>
                <w:color w:val="000000"/>
              </w:rPr>
              <w:t>ostatní plocha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B953D" w14:textId="6D82DE40" w:rsidR="00D03ADA" w:rsidRPr="008E1E56" w:rsidRDefault="00D03ADA" w:rsidP="00D03ADA">
            <w:pPr>
              <w:jc w:val="center"/>
              <w:rPr>
                <w:rFonts w:ascii="Arial" w:hAnsi="Arial" w:cs="Arial"/>
                <w:color w:val="000000"/>
              </w:rPr>
            </w:pPr>
            <w:r w:rsidRPr="008E1E56">
              <w:rPr>
                <w:rFonts w:ascii="Arial" w:hAnsi="Arial" w:cs="Arial"/>
                <w:color w:val="000000"/>
              </w:rPr>
              <w:t>část v PB</w:t>
            </w:r>
          </w:p>
        </w:tc>
      </w:tr>
    </w:tbl>
    <w:p w14:paraId="176FD996" w14:textId="77777777" w:rsidR="005D4F22" w:rsidRDefault="005D4F22" w:rsidP="005D4F22">
      <w:pPr>
        <w:jc w:val="both"/>
        <w:rPr>
          <w:rFonts w:ascii="Arial" w:hAnsi="Arial" w:cs="Arial"/>
          <w:sz w:val="22"/>
          <w:szCs w:val="22"/>
        </w:rPr>
      </w:pPr>
    </w:p>
    <w:p w14:paraId="7EDB95A0" w14:textId="77777777" w:rsidR="009E3913" w:rsidRDefault="009E3913" w:rsidP="009E3913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Nedílnou součástí této smlouvy je grafické zobrazení předmětu pachtu, které </w:t>
      </w:r>
      <w:proofErr w:type="gramStart"/>
      <w:r>
        <w:rPr>
          <w:rFonts w:ascii="Arial" w:hAnsi="Arial" w:cs="Arial"/>
          <w:i w:val="0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iCs/>
          <w:sz w:val="22"/>
          <w:szCs w:val="22"/>
        </w:rPr>
        <w:t xml:space="preserve"> přílohu č. 1 této smlouvy a soubor popisných informací katastru nemovitostí z databáze Státního pozemkového úřadu, který tvoří přílohu č. 2 této smlouvy. Přílohou č. 3 této smlouvy je výpočet pachtovného.</w:t>
      </w:r>
    </w:p>
    <w:p w14:paraId="43E91DAC" w14:textId="08BC5D80" w:rsidR="005D4F22" w:rsidRDefault="005D4F22" w:rsidP="005D4F2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D5BA907" w14:textId="77777777" w:rsidR="003D58AB" w:rsidRDefault="003D58AB" w:rsidP="005D4F2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241697" w14:textId="77777777" w:rsidR="005D4F22" w:rsidRDefault="005D4F22" w:rsidP="005D4F22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40838728" w14:textId="77777777" w:rsidR="005D4F22" w:rsidRDefault="005D4F22" w:rsidP="005D4F22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14:paraId="10E4DD61" w14:textId="1AB03679" w:rsidR="005D4F22" w:rsidRDefault="005D4F22" w:rsidP="005D4F22">
      <w:pPr>
        <w:pStyle w:val="NormlnS"/>
        <w:keepNext w:val="0"/>
        <w:widowControl w:val="0"/>
        <w:tabs>
          <w:tab w:val="left" w:pos="567"/>
        </w:tabs>
        <w:spacing w:after="0"/>
      </w:pPr>
      <w:r>
        <w:rPr>
          <w:iCs/>
          <w:sz w:val="22"/>
          <w:szCs w:val="22"/>
        </w:rPr>
        <w:t xml:space="preserve">Pachtýř bere na vědomí, že pozemky uvedené v čl. I jsou rozhodnutím </w:t>
      </w:r>
      <w:r>
        <w:rPr>
          <w:sz w:val="22"/>
          <w:szCs w:val="22"/>
        </w:rPr>
        <w:t>Státního pozemkového úřadu (dále jen „SPÚ“)</w:t>
      </w:r>
      <w:r>
        <w:rPr>
          <w:iCs/>
          <w:sz w:val="22"/>
          <w:szCs w:val="22"/>
        </w:rPr>
        <w:t xml:space="preserve"> č.j. SPU </w:t>
      </w:r>
      <w:r w:rsidR="000E254F">
        <w:rPr>
          <w:iCs/>
          <w:sz w:val="22"/>
          <w:szCs w:val="22"/>
        </w:rPr>
        <w:t>085566/2023</w:t>
      </w:r>
      <w:r>
        <w:rPr>
          <w:iCs/>
          <w:sz w:val="22"/>
          <w:szCs w:val="22"/>
        </w:rPr>
        <w:t xml:space="preserve">, které nabylo právní moci dne </w:t>
      </w:r>
      <w:r w:rsidR="000E254F">
        <w:rPr>
          <w:iCs/>
          <w:sz w:val="22"/>
          <w:szCs w:val="22"/>
        </w:rPr>
        <w:t>27. 4. 2023</w:t>
      </w:r>
      <w:r>
        <w:rPr>
          <w:sz w:val="22"/>
          <w:szCs w:val="22"/>
        </w:rPr>
        <w:t>,</w:t>
      </w:r>
      <w:r>
        <w:rPr>
          <w:iCs/>
          <w:sz w:val="22"/>
          <w:szCs w:val="22"/>
        </w:rPr>
        <w:t xml:space="preserve"> jímž byl schválen návrh </w:t>
      </w:r>
      <w:r w:rsidRPr="001A3FE5">
        <w:rPr>
          <w:iCs/>
          <w:color w:val="000000"/>
          <w:sz w:val="22"/>
          <w:szCs w:val="22"/>
        </w:rPr>
        <w:t>pozemkových ú</w:t>
      </w:r>
      <w:r>
        <w:rPr>
          <w:iCs/>
          <w:color w:val="000000"/>
          <w:sz w:val="22"/>
          <w:szCs w:val="22"/>
        </w:rPr>
        <w:t>p</w:t>
      </w:r>
      <w:r w:rsidRPr="001A3FE5">
        <w:rPr>
          <w:iCs/>
          <w:color w:val="000000"/>
          <w:sz w:val="22"/>
          <w:szCs w:val="22"/>
        </w:rPr>
        <w:t>rav</w:t>
      </w:r>
      <w:r>
        <w:rPr>
          <w:iCs/>
          <w:sz w:val="22"/>
          <w:szCs w:val="22"/>
        </w:rPr>
        <w:t xml:space="preserve">, a rozhodnutím </w:t>
      </w:r>
      <w:r>
        <w:rPr>
          <w:sz w:val="22"/>
          <w:szCs w:val="22"/>
        </w:rPr>
        <w:t xml:space="preserve">SPÚ o výměně nebo přechodu vlastnických práv </w:t>
      </w:r>
      <w:r>
        <w:rPr>
          <w:iCs/>
          <w:sz w:val="22"/>
          <w:szCs w:val="22"/>
        </w:rPr>
        <w:t>č.j.</w:t>
      </w:r>
      <w:r w:rsidRPr="00252EF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SPU </w:t>
      </w:r>
      <w:r w:rsidR="000E254F">
        <w:rPr>
          <w:iCs/>
          <w:sz w:val="22"/>
          <w:szCs w:val="22"/>
        </w:rPr>
        <w:t>216003/2023</w:t>
      </w:r>
      <w:r>
        <w:rPr>
          <w:iCs/>
          <w:sz w:val="22"/>
          <w:szCs w:val="22"/>
        </w:rPr>
        <w:t xml:space="preserve">, které nabylo právní moci dne </w:t>
      </w:r>
      <w:r w:rsidR="000E254F">
        <w:rPr>
          <w:iCs/>
          <w:sz w:val="22"/>
          <w:szCs w:val="22"/>
        </w:rPr>
        <w:t>19. 9. 2023</w:t>
      </w:r>
      <w:r>
        <w:rPr>
          <w:sz w:val="22"/>
          <w:szCs w:val="22"/>
        </w:rPr>
        <w:t xml:space="preserve"> (dále jen „rozhodnutí“)</w:t>
      </w:r>
      <w:r>
        <w:rPr>
          <w:iCs/>
          <w:sz w:val="22"/>
          <w:szCs w:val="22"/>
        </w:rPr>
        <w:t>, určeny pro budoucí realizaci prvků plánu společných zařízení.</w:t>
      </w:r>
    </w:p>
    <w:p w14:paraId="370D8F88" w14:textId="77777777" w:rsidR="005D4F22" w:rsidRDefault="005D4F22" w:rsidP="005D4F22">
      <w:pPr>
        <w:pStyle w:val="NormlnS"/>
        <w:keepNext w:val="0"/>
        <w:widowControl w:val="0"/>
        <w:tabs>
          <w:tab w:val="left" w:pos="567"/>
        </w:tabs>
        <w:spacing w:after="0"/>
        <w:rPr>
          <w:iCs/>
          <w:sz w:val="22"/>
          <w:szCs w:val="22"/>
        </w:rPr>
      </w:pPr>
    </w:p>
    <w:p w14:paraId="1E481E37" w14:textId="77777777" w:rsidR="005D4F22" w:rsidRDefault="005D4F22" w:rsidP="005D4F22">
      <w:pPr>
        <w:pStyle w:val="NormlnS"/>
        <w:keepNext w:val="0"/>
        <w:widowControl w:val="0"/>
        <w:tabs>
          <w:tab w:val="left" w:pos="567"/>
        </w:tabs>
        <w:spacing w:after="0"/>
      </w:pPr>
      <w:r>
        <w:rPr>
          <w:iCs/>
          <w:sz w:val="22"/>
          <w:szCs w:val="22"/>
        </w:rPr>
        <w:t>Pozemky jsou určeny k realizaci těchto prvků:</w:t>
      </w:r>
    </w:p>
    <w:p w14:paraId="4FBBD43C" w14:textId="77777777" w:rsidR="005D4F22" w:rsidRPr="0004774D" w:rsidRDefault="005D4F22" w:rsidP="005D4F22">
      <w:pPr>
        <w:pStyle w:val="NormlnS"/>
        <w:keepNext w:val="0"/>
        <w:widowControl w:val="0"/>
        <w:tabs>
          <w:tab w:val="left" w:pos="567"/>
        </w:tabs>
        <w:spacing w:after="0"/>
        <w:rPr>
          <w:i/>
          <w:iCs/>
          <w:sz w:val="22"/>
          <w:szCs w:val="22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572"/>
        <w:gridCol w:w="4663"/>
      </w:tblGrid>
      <w:tr w:rsidR="005D4F22" w14:paraId="5080DB17" w14:textId="77777777" w:rsidTr="00D75612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9DABC" w14:textId="77777777" w:rsidR="005D4F22" w:rsidRPr="00A717E3" w:rsidRDefault="005D4F22" w:rsidP="00D75612">
            <w:pPr>
              <w:tabs>
                <w:tab w:val="left" w:pos="568"/>
              </w:tabs>
              <w:jc w:val="center"/>
            </w:pPr>
            <w:r w:rsidRPr="00A717E3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94F71" w14:textId="77777777" w:rsidR="005D4F22" w:rsidRDefault="005D4F22" w:rsidP="00D75612">
            <w:pPr>
              <w:tabs>
                <w:tab w:val="left" w:pos="568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Označení prvku dle rozhodnutí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6051" w14:textId="77777777" w:rsidR="005D4F22" w:rsidRDefault="005D4F22" w:rsidP="00D75612">
            <w:pPr>
              <w:tabs>
                <w:tab w:val="left" w:pos="568"/>
              </w:tabs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Popis navrženého prvku</w:t>
            </w:r>
          </w:p>
        </w:tc>
      </w:tr>
      <w:tr w:rsidR="005D4F22" w14:paraId="2FE54421" w14:textId="77777777" w:rsidTr="00D75612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28AB" w14:textId="7393B299" w:rsidR="005D4F22" w:rsidRPr="00BE2E2E" w:rsidRDefault="00243A81" w:rsidP="00D7561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1426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1F68" w14:textId="51C23BD1" w:rsidR="005D4F22" w:rsidRDefault="00243A81" w:rsidP="00D75612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 10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B937" w14:textId="58427F7C" w:rsidR="005D4F22" w:rsidRDefault="00243A81" w:rsidP="00D75612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hlavní cesta</w:t>
            </w:r>
          </w:p>
        </w:tc>
      </w:tr>
      <w:tr w:rsidR="00D03ADA" w14:paraId="1CC4643F" w14:textId="77777777" w:rsidTr="00D75612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9302A" w14:textId="636F1363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1563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9C7E7" w14:textId="58363CC7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VC8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9A25" w14:textId="33C67E6D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vedlejší cesta</w:t>
            </w:r>
          </w:p>
        </w:tc>
      </w:tr>
      <w:tr w:rsidR="00D03ADA" w14:paraId="1633EB66" w14:textId="77777777" w:rsidTr="00D75612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38246" w14:textId="415A4EFD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1932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759F" w14:textId="3C9D015C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PO21 mez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2576" w14:textId="7D0ED20C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protierozní mez</w:t>
            </w:r>
          </w:p>
        </w:tc>
      </w:tr>
      <w:tr w:rsidR="00D03ADA" w14:paraId="2ECEED57" w14:textId="77777777" w:rsidTr="00D75612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74F7" w14:textId="2C3391DB" w:rsidR="00D03ADA" w:rsidRPr="00BE2E2E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1977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EC71" w14:textId="2FCB3809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IP12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742F" w14:textId="402CD355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doprovodná zeleň podél polní cesty VC 5</w:t>
            </w:r>
          </w:p>
        </w:tc>
      </w:tr>
      <w:tr w:rsidR="00D03ADA" w14:paraId="35EB0369" w14:textId="77777777" w:rsidTr="00D75612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AFFC" w14:textId="489DD29E" w:rsidR="00D03ADA" w:rsidRPr="00BE2E2E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2136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41EB4" w14:textId="1A6156F0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PEO22 mez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B629" w14:textId="7D480065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protierozní mez</w:t>
            </w:r>
          </w:p>
        </w:tc>
      </w:tr>
      <w:tr w:rsidR="00D03ADA" w14:paraId="1C092349" w14:textId="77777777" w:rsidTr="00D75612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D81F2" w14:textId="5EE19A2C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2164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EF55C" w14:textId="29F4AB7D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PEO23 mez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9918" w14:textId="4B7D2A26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protierozní mez</w:t>
            </w:r>
          </w:p>
        </w:tc>
      </w:tr>
      <w:tr w:rsidR="00D03ADA" w14:paraId="23D8818E" w14:textId="77777777" w:rsidTr="00D75612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ABF91" w14:textId="5CC016D8" w:rsidR="00D03ADA" w:rsidRPr="00BE2E2E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2187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3CA43" w14:textId="25401C45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 6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22BD" w14:textId="4E7B9406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hlavní cesta</w:t>
            </w:r>
          </w:p>
        </w:tc>
      </w:tr>
      <w:tr w:rsidR="00D03ADA" w14:paraId="36874287" w14:textId="77777777" w:rsidTr="00D75612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24277" w14:textId="1A2CCD0F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2232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CD73A" w14:textId="380F6648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PEO24 mez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999F" w14:textId="33AC4A29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protierozní mez</w:t>
            </w:r>
          </w:p>
        </w:tc>
      </w:tr>
      <w:tr w:rsidR="00D03ADA" w14:paraId="1F41BB38" w14:textId="77777777" w:rsidTr="00D75612">
        <w:trPr>
          <w:cantSplit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8DDF" w14:textId="114DCBB7" w:rsidR="00D03ADA" w:rsidRDefault="00D03ADA" w:rsidP="00D03AD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2337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8A11" w14:textId="13372FFC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LBK1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70CA" w14:textId="61971BB2" w:rsidR="00D03ADA" w:rsidRDefault="00D03ADA" w:rsidP="00D03ADA">
            <w:pPr>
              <w:tabs>
                <w:tab w:val="left" w:pos="568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lokální biokoridor</w:t>
            </w:r>
          </w:p>
        </w:tc>
      </w:tr>
    </w:tbl>
    <w:p w14:paraId="13EE95AF" w14:textId="77777777" w:rsidR="005D4F22" w:rsidRDefault="005D4F22" w:rsidP="005D4F22">
      <w:pPr>
        <w:tabs>
          <w:tab w:val="left" w:pos="568"/>
        </w:tabs>
      </w:pPr>
    </w:p>
    <w:p w14:paraId="42F11970" w14:textId="77777777" w:rsidR="005D4F22" w:rsidRPr="008563C7" w:rsidRDefault="005D4F22" w:rsidP="005D4F22">
      <w:pPr>
        <w:pStyle w:val="Zkladntext210"/>
        <w:rPr>
          <w:rFonts w:ascii="Arial" w:hAnsi="Arial" w:cs="Arial"/>
          <w:b w:val="0"/>
          <w:sz w:val="22"/>
          <w:szCs w:val="22"/>
        </w:rPr>
      </w:pPr>
      <w:r w:rsidRPr="008563C7">
        <w:rPr>
          <w:rFonts w:ascii="Arial" w:hAnsi="Arial" w:cs="Arial"/>
          <w:b w:val="0"/>
          <w:sz w:val="22"/>
          <w:szCs w:val="22"/>
        </w:rPr>
        <w:t>Propachtovatel přenechává pachtýři pozem</w:t>
      </w:r>
      <w:r>
        <w:rPr>
          <w:rFonts w:ascii="Arial" w:hAnsi="Arial" w:cs="Arial"/>
          <w:b w:val="0"/>
          <w:sz w:val="22"/>
          <w:szCs w:val="22"/>
        </w:rPr>
        <w:t>ky</w:t>
      </w:r>
      <w:r w:rsidRPr="008563C7">
        <w:rPr>
          <w:rFonts w:ascii="Arial" w:hAnsi="Arial" w:cs="Arial"/>
          <w:b w:val="0"/>
          <w:sz w:val="22"/>
          <w:szCs w:val="22"/>
        </w:rPr>
        <w:t xml:space="preserve"> uveden</w:t>
      </w:r>
      <w:r>
        <w:rPr>
          <w:rFonts w:ascii="Arial" w:hAnsi="Arial" w:cs="Arial"/>
          <w:b w:val="0"/>
          <w:sz w:val="22"/>
          <w:szCs w:val="22"/>
        </w:rPr>
        <w:t>é</w:t>
      </w:r>
      <w:r w:rsidRPr="008563C7">
        <w:rPr>
          <w:rFonts w:ascii="Arial" w:hAnsi="Arial" w:cs="Arial"/>
          <w:b w:val="0"/>
          <w:sz w:val="22"/>
          <w:szCs w:val="22"/>
        </w:rPr>
        <w:t xml:space="preserve"> v čl. I této smlouvy do užívání za účelem:</w:t>
      </w:r>
    </w:p>
    <w:p w14:paraId="3669C6BD" w14:textId="77777777" w:rsidR="005D4F22" w:rsidRPr="008563C7" w:rsidRDefault="005D4F22" w:rsidP="005D4F22">
      <w:pPr>
        <w:pStyle w:val="Zkladntext210"/>
        <w:rPr>
          <w:rFonts w:ascii="Arial" w:hAnsi="Arial" w:cs="Arial"/>
          <w:sz w:val="22"/>
          <w:szCs w:val="22"/>
        </w:rPr>
      </w:pPr>
    </w:p>
    <w:p w14:paraId="12FA0D77" w14:textId="77777777" w:rsidR="005D4F22" w:rsidRPr="008563C7" w:rsidRDefault="005D4F22" w:rsidP="005D4F22">
      <w:pPr>
        <w:numPr>
          <w:ilvl w:val="0"/>
          <w:numId w:val="7"/>
        </w:numPr>
        <w:tabs>
          <w:tab w:val="left" w:pos="568"/>
        </w:tabs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1DE348AD" w14:textId="6D53962B" w:rsidR="005D4F22" w:rsidRDefault="005D4F22" w:rsidP="005D4F22">
      <w:pPr>
        <w:tabs>
          <w:tab w:val="left" w:pos="568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AB4E629" w14:textId="77777777" w:rsidR="00EF49C4" w:rsidRDefault="00EF49C4" w:rsidP="005D4F22">
      <w:pPr>
        <w:tabs>
          <w:tab w:val="left" w:pos="568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367E266" w14:textId="77777777" w:rsidR="005D4F22" w:rsidRPr="0008253F" w:rsidRDefault="005D4F22" w:rsidP="005D4F22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III</w:t>
      </w:r>
    </w:p>
    <w:p w14:paraId="44789629" w14:textId="77777777" w:rsidR="003D58AB" w:rsidRDefault="003D58AB" w:rsidP="005D4F22">
      <w:pPr>
        <w:pStyle w:val="Zkladntext2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4DDB0EFE" w14:textId="6CDBB9EC" w:rsidR="005D4F22" w:rsidRDefault="005D4F22" w:rsidP="005D4F22">
      <w:pPr>
        <w:pStyle w:val="Zkladntext22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Pachtýř je povinen:</w:t>
      </w:r>
    </w:p>
    <w:p w14:paraId="67DB03C8" w14:textId="77777777" w:rsidR="005D4F22" w:rsidRDefault="005D4F22" w:rsidP="005D4F22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582D03DE" w14:textId="77777777" w:rsidR="005D4F22" w:rsidRPr="008F0B76" w:rsidRDefault="005D4F22" w:rsidP="005D4F22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 užívat pozemky řádně v souladu s touto smlouvou, hospodařit na nich způsobem založeným na střídání plodin a hnojení organickou hmotou ve dvou až čtyřletých cyklech podle fyzikálních vlastností půdy, způsobu hospodaření a nároků pěstovaných rostlin,</w:t>
      </w:r>
    </w:p>
    <w:p w14:paraId="51FA5149" w14:textId="77777777" w:rsidR="005D4F22" w:rsidRPr="008F0B76" w:rsidRDefault="005D4F22" w:rsidP="005D4F22">
      <w:pPr>
        <w:pStyle w:val="Odstavecseseznamem"/>
        <w:tabs>
          <w:tab w:val="left" w:pos="0"/>
        </w:tabs>
        <w:ind w:left="720"/>
        <w:jc w:val="both"/>
      </w:pPr>
    </w:p>
    <w:p w14:paraId="0B0D3E1B" w14:textId="77777777" w:rsidR="005D4F22" w:rsidRPr="008F0B76" w:rsidRDefault="005D4F22" w:rsidP="005D4F22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Pr="008F0B76">
        <w:rPr>
          <w:rFonts w:ascii="Arial" w:hAnsi="Arial" w:cs="Arial"/>
          <w:iCs w:val="0"/>
          <w:sz w:val="22"/>
          <w:szCs w:val="22"/>
        </w:rPr>
        <w:br/>
        <w:t>a o změně některých souvisejících zákonů, ve znění pozdějších předpisů,</w:t>
      </w:r>
    </w:p>
    <w:p w14:paraId="16144A75" w14:textId="77777777" w:rsidR="005D4F22" w:rsidRPr="008F0B76" w:rsidRDefault="005D4F22" w:rsidP="005D4F22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3792A45" w14:textId="77777777" w:rsidR="005D4F22" w:rsidRPr="008F0B76" w:rsidRDefault="005D4F22" w:rsidP="005D4F22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7A5762A5" w14:textId="77777777" w:rsidR="005D4F22" w:rsidRPr="008F0B76" w:rsidRDefault="005D4F22" w:rsidP="005D4F22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05703C05" w14:textId="77777777" w:rsidR="005D4F22" w:rsidRPr="008F0B76" w:rsidRDefault="005D4F22" w:rsidP="005D4F22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lastRenderedPageBreak/>
        <w:t>d) umožnit propachtovateli provádění kontroly k bodům a) až c) formou nahlédnutí do evidence rozborů a vstupem na pozemky,</w:t>
      </w:r>
    </w:p>
    <w:p w14:paraId="3DBB4AD5" w14:textId="77777777" w:rsidR="005D4F22" w:rsidRPr="008F0B76" w:rsidRDefault="005D4F22" w:rsidP="005D4F22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5329E00" w14:textId="77777777" w:rsidR="005D4F22" w:rsidRPr="008F0B76" w:rsidRDefault="005D4F22" w:rsidP="005D4F22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11E450ED" w14:textId="77777777" w:rsidR="005D4F22" w:rsidRPr="008F0B76" w:rsidRDefault="005D4F22" w:rsidP="005D4F22">
      <w:pPr>
        <w:pStyle w:val="Zkladntext22"/>
        <w:tabs>
          <w:tab w:val="clear" w:pos="284"/>
          <w:tab w:val="left" w:pos="0"/>
        </w:tabs>
      </w:pPr>
    </w:p>
    <w:p w14:paraId="7F014F4A" w14:textId="77777777" w:rsidR="005D4F22" w:rsidRPr="008F0B76" w:rsidRDefault="005D4F22" w:rsidP="005D4F22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704BB6C0" w14:textId="77777777" w:rsidR="005D4F22" w:rsidRPr="008F0B76" w:rsidRDefault="005D4F22" w:rsidP="005D4F22">
      <w:pPr>
        <w:tabs>
          <w:tab w:val="left" w:pos="284"/>
          <w:tab w:val="left" w:pos="568"/>
        </w:tabs>
        <w:jc w:val="both"/>
      </w:pPr>
    </w:p>
    <w:p w14:paraId="23AEE11B" w14:textId="77777777" w:rsidR="005D4F22" w:rsidRPr="008F0B76" w:rsidRDefault="005D4F22" w:rsidP="005D4F22">
      <w:pPr>
        <w:pStyle w:val="Zkladntext22"/>
        <w:tabs>
          <w:tab w:val="clear" w:pos="284"/>
          <w:tab w:val="clear" w:pos="568"/>
          <w:tab w:val="left" w:pos="567"/>
        </w:tabs>
      </w:pPr>
      <w:r w:rsidRPr="008F0B76">
        <w:rPr>
          <w:rFonts w:ascii="Arial" w:hAnsi="Arial" w:cs="Arial"/>
          <w:sz w:val="22"/>
          <w:szCs w:val="22"/>
        </w:rPr>
        <w:t>g) vyžádat si souhlas propachtovatele při realizaci zúrodňovacích opatření, zakládání trvalých porostů na pozemcích, při provádění obnovy travního porostu nebo změny druhu pozemku,</w:t>
      </w:r>
    </w:p>
    <w:p w14:paraId="06FE9E4E" w14:textId="77777777" w:rsidR="005D4F22" w:rsidRPr="008F0B76" w:rsidRDefault="005D4F22" w:rsidP="005D4F2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0BD37A" w14:textId="77777777" w:rsidR="005D4F22" w:rsidRPr="008F0B76" w:rsidRDefault="005D4F22" w:rsidP="005D4F22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h) trpět věcná břemena, resp. služebnosti spojené s pozemky, jež jsou předmětem pachtu,</w:t>
      </w:r>
    </w:p>
    <w:p w14:paraId="6DBCD18D" w14:textId="77777777" w:rsidR="005D4F22" w:rsidRPr="008F0B76" w:rsidRDefault="005D4F22" w:rsidP="005D4F22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7FBFED27" w14:textId="3EC7F7AF" w:rsidR="005D4F22" w:rsidRPr="008F0B76" w:rsidRDefault="00B316B8" w:rsidP="005D4F22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D4F22" w:rsidRPr="008F0B76">
        <w:rPr>
          <w:rFonts w:ascii="Arial" w:hAnsi="Arial" w:cs="Arial"/>
          <w:sz w:val="22"/>
          <w:szCs w:val="22"/>
        </w:rPr>
        <w:t>platit v souladu se zákonnou úpravou daň z nemovitých věcí za propachtované pozemky, jež jsou předmětem pachtu.</w:t>
      </w:r>
    </w:p>
    <w:p w14:paraId="39CF99F0" w14:textId="77777777" w:rsidR="00E02120" w:rsidRDefault="00E02120" w:rsidP="005D4F22">
      <w:pPr>
        <w:pStyle w:val="Nadpis4"/>
        <w:rPr>
          <w:rFonts w:ascii="Arial" w:hAnsi="Arial" w:cs="Arial"/>
          <w:sz w:val="22"/>
          <w:szCs w:val="22"/>
        </w:rPr>
      </w:pPr>
    </w:p>
    <w:p w14:paraId="107C91F3" w14:textId="3245C627" w:rsidR="005D4F22" w:rsidRPr="0008253F" w:rsidRDefault="005D4F22" w:rsidP="005D4F22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15F7DB77" w14:textId="77777777" w:rsidR="005D4F22" w:rsidRDefault="005D4F22" w:rsidP="005D4F2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0AB2E72" w14:textId="77777777" w:rsidR="005D4F22" w:rsidRDefault="005D4F22" w:rsidP="005D4F22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rPr>
          <w:rFonts w:ascii="Arial" w:hAnsi="Arial" w:cs="Arial"/>
          <w:sz w:val="22"/>
          <w:szCs w:val="22"/>
        </w:rPr>
        <w:t xml:space="preserve">Pachtýř si je vědom toho, že na předmětu pachtu je plánována realizace prvků plánu společných zařízení dle schváleného plánu společných zařízení s tím, že nelze reálně odhadnout, kdy bude nutné pro realizaci pozemky uvolnit, a přesto trvá na uzavření této smlouvy. </w:t>
      </w:r>
    </w:p>
    <w:p w14:paraId="2221B52D" w14:textId="77777777" w:rsidR="005D4F22" w:rsidRDefault="005D4F22" w:rsidP="005D4F2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23054C5" w14:textId="29185E12" w:rsidR="005D4F22" w:rsidRPr="008F0B76" w:rsidRDefault="005D4F22" w:rsidP="005D4F22">
      <w:pPr>
        <w:pStyle w:val="NormlnS"/>
        <w:keepNext w:val="0"/>
        <w:widowControl w:val="0"/>
        <w:numPr>
          <w:ilvl w:val="0"/>
          <w:numId w:val="4"/>
        </w:numPr>
        <w:tabs>
          <w:tab w:val="left" w:pos="284"/>
        </w:tabs>
        <w:spacing w:after="0"/>
        <w:ind w:left="0" w:firstLine="0"/>
      </w:pPr>
      <w:r w:rsidRPr="008F0B76">
        <w:rPr>
          <w:iCs/>
          <w:sz w:val="22"/>
          <w:szCs w:val="22"/>
        </w:rPr>
        <w:t>Pozem</w:t>
      </w:r>
      <w:r w:rsidR="00243A81">
        <w:rPr>
          <w:iCs/>
          <w:sz w:val="22"/>
          <w:szCs w:val="22"/>
        </w:rPr>
        <w:t>ky</w:t>
      </w:r>
      <w:r w:rsidRPr="008F0B76">
        <w:rPr>
          <w:iCs/>
          <w:sz w:val="22"/>
          <w:szCs w:val="22"/>
        </w:rPr>
        <w:t xml:space="preserve"> </w:t>
      </w:r>
      <w:proofErr w:type="spellStart"/>
      <w:r w:rsidRPr="008F0B76">
        <w:rPr>
          <w:iCs/>
          <w:sz w:val="22"/>
          <w:szCs w:val="22"/>
        </w:rPr>
        <w:t>p.č</w:t>
      </w:r>
      <w:proofErr w:type="spellEnd"/>
      <w:r w:rsidR="008C44AA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14</w:t>
      </w:r>
      <w:r w:rsidR="00243A81">
        <w:rPr>
          <w:iCs/>
          <w:sz w:val="22"/>
          <w:szCs w:val="22"/>
        </w:rPr>
        <w:t>26</w:t>
      </w:r>
      <w:r w:rsidR="00D03ADA">
        <w:rPr>
          <w:iCs/>
          <w:sz w:val="22"/>
          <w:szCs w:val="22"/>
        </w:rPr>
        <w:t xml:space="preserve">, 1563, 1977 </w:t>
      </w:r>
      <w:r w:rsidR="00243A81">
        <w:rPr>
          <w:iCs/>
          <w:sz w:val="22"/>
          <w:szCs w:val="22"/>
        </w:rPr>
        <w:t>a 2187</w:t>
      </w:r>
      <w:r w:rsidRPr="008F0B76">
        <w:rPr>
          <w:iCs/>
          <w:sz w:val="22"/>
          <w:szCs w:val="22"/>
        </w:rPr>
        <w:t xml:space="preserve"> s druhem pozemku ostatní plocha/ostatní komunikace j</w:t>
      </w:r>
      <w:r w:rsidR="00243A81">
        <w:rPr>
          <w:iCs/>
          <w:sz w:val="22"/>
          <w:szCs w:val="22"/>
        </w:rPr>
        <w:t>sou</w:t>
      </w:r>
      <w:r w:rsidRPr="008F0B76">
        <w:rPr>
          <w:iCs/>
          <w:sz w:val="22"/>
          <w:szCs w:val="22"/>
        </w:rPr>
        <w:t xml:space="preserve"> i před vlastní technickou realizací účelovou komunikací ve smyslu § 7 zákona č. 13/1997 Sb., o pozemních komunikacích, ve znění pozdějších předpisů, která</w:t>
      </w:r>
      <w:r w:rsidRPr="008F0B76">
        <w:rPr>
          <w:i/>
          <w:iCs/>
          <w:sz w:val="22"/>
          <w:szCs w:val="22"/>
        </w:rPr>
        <w:t xml:space="preserve"> </w:t>
      </w:r>
      <w:r w:rsidRPr="008F0B76">
        <w:rPr>
          <w:iCs/>
          <w:sz w:val="22"/>
          <w:szCs w:val="22"/>
        </w:rPr>
        <w:t xml:space="preserve">má sloužit ke spojení jednotlivých nemovitostí pro potřeby vlastníků těchto nemovitostí nebo ke spojení těchto nemovitostí s ostatními pozemními komunikacemi nebo k obhospodařování zemědělských a lesních pozemků. Pachtýř bere na vědomí, že v souladu s § 19 odst. 1) zákona o pozemních komunikacích </w:t>
      </w:r>
      <w:r w:rsidR="00243A81">
        <w:rPr>
          <w:iCs/>
          <w:sz w:val="22"/>
          <w:szCs w:val="22"/>
        </w:rPr>
        <w:t>je</w:t>
      </w:r>
      <w:r w:rsidRPr="008F0B76">
        <w:rPr>
          <w:iCs/>
          <w:sz w:val="22"/>
          <w:szCs w:val="22"/>
        </w:rPr>
        <w:t xml:space="preserve"> smí užívat každý bezplatně a k účelům, ke kterým j</w:t>
      </w:r>
      <w:r w:rsidR="00243A81">
        <w:rPr>
          <w:iCs/>
          <w:sz w:val="22"/>
          <w:szCs w:val="22"/>
        </w:rPr>
        <w:t>sou</w:t>
      </w:r>
      <w:r w:rsidRPr="008F0B76">
        <w:rPr>
          <w:iCs/>
          <w:sz w:val="22"/>
          <w:szCs w:val="22"/>
        </w:rPr>
        <w:t xml:space="preserve"> určen</w:t>
      </w:r>
      <w:r w:rsidR="00243A81">
        <w:rPr>
          <w:iCs/>
          <w:sz w:val="22"/>
          <w:szCs w:val="22"/>
        </w:rPr>
        <w:t>y</w:t>
      </w:r>
      <w:r w:rsidRPr="008F0B76">
        <w:rPr>
          <w:i/>
          <w:iCs/>
          <w:sz w:val="22"/>
          <w:szCs w:val="22"/>
        </w:rPr>
        <w:t>.</w:t>
      </w:r>
      <w:r w:rsidRPr="008F0B76">
        <w:rPr>
          <w:iCs/>
          <w:sz w:val="22"/>
          <w:szCs w:val="22"/>
        </w:rPr>
        <w:t xml:space="preserve"> </w:t>
      </w:r>
    </w:p>
    <w:p w14:paraId="1330BFBE" w14:textId="77777777" w:rsidR="005D4F22" w:rsidRPr="00385777" w:rsidRDefault="005D4F22" w:rsidP="005D4F22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50389C04" w14:textId="622BC4EA" w:rsidR="005D4F22" w:rsidRPr="00385777" w:rsidRDefault="005D4F22" w:rsidP="005D4F22">
      <w:pPr>
        <w:pStyle w:val="NormlnS"/>
        <w:keepNext w:val="0"/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after="0"/>
        <w:ind w:left="0" w:firstLine="0"/>
      </w:pPr>
      <w:r w:rsidRPr="00385777">
        <w:rPr>
          <w:iCs/>
          <w:sz w:val="22"/>
          <w:szCs w:val="22"/>
        </w:rPr>
        <w:t>Pachtýř, i za výše uvedených skutečností, chce pozem</w:t>
      </w:r>
      <w:r w:rsidR="00243A81">
        <w:rPr>
          <w:iCs/>
          <w:sz w:val="22"/>
          <w:szCs w:val="22"/>
        </w:rPr>
        <w:t>ky</w:t>
      </w:r>
      <w:r w:rsidRPr="00385777">
        <w:rPr>
          <w:iCs/>
          <w:sz w:val="22"/>
          <w:szCs w:val="22"/>
        </w:rPr>
        <w:t xml:space="preserve"> do doby potřeby technické realizace účelové cesty dle rozhodnutí o pozemkových úpravách používat k účelu uvedeném v čl. II a je si vědom rizik a možných škod způsobených užíváním pozemk</w:t>
      </w:r>
      <w:r w:rsidR="00243A81">
        <w:rPr>
          <w:iCs/>
          <w:sz w:val="22"/>
          <w:szCs w:val="22"/>
        </w:rPr>
        <w:t>ů</w:t>
      </w:r>
      <w:r w:rsidRPr="00385777">
        <w:rPr>
          <w:iCs/>
          <w:sz w:val="22"/>
          <w:szCs w:val="22"/>
        </w:rPr>
        <w:t xml:space="preserve"> třetími osobami v souladu s je</w:t>
      </w:r>
      <w:r w:rsidR="00243A81">
        <w:rPr>
          <w:iCs/>
          <w:sz w:val="22"/>
          <w:szCs w:val="22"/>
        </w:rPr>
        <w:t>jich</w:t>
      </w:r>
      <w:r w:rsidRPr="00385777">
        <w:rPr>
          <w:iCs/>
          <w:sz w:val="22"/>
          <w:szCs w:val="22"/>
        </w:rPr>
        <w:t xml:space="preserve"> účelovým určením zapsaným v katastru nemovitostí. Pachtýř je srozuměn, že </w:t>
      </w:r>
      <w:proofErr w:type="gramStart"/>
      <w:r w:rsidRPr="00385777">
        <w:rPr>
          <w:iCs/>
          <w:sz w:val="22"/>
          <w:szCs w:val="22"/>
        </w:rPr>
        <w:t>hospodaří</w:t>
      </w:r>
      <w:proofErr w:type="gramEnd"/>
      <w:r w:rsidRPr="00385777">
        <w:rPr>
          <w:iCs/>
          <w:sz w:val="22"/>
          <w:szCs w:val="22"/>
        </w:rPr>
        <w:t xml:space="preserve"> na těchto pozemcích na vlastní nebezpečí a nemůže v takovém případě požadovat náhradu způsobené škody. </w:t>
      </w:r>
    </w:p>
    <w:p w14:paraId="26C61494" w14:textId="77777777" w:rsidR="005D4F22" w:rsidRPr="00385777" w:rsidRDefault="005D4F22" w:rsidP="005D4F2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810446A" w14:textId="5F1D2F2E" w:rsidR="005D4F22" w:rsidRPr="00385777" w:rsidRDefault="005D4F22" w:rsidP="005D4F22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85777">
        <w:rPr>
          <w:rFonts w:ascii="Arial" w:hAnsi="Arial" w:cs="Arial"/>
          <w:sz w:val="22"/>
          <w:szCs w:val="22"/>
        </w:rPr>
        <w:t>V případě potřeby užívání či zjištění užívání t</w:t>
      </w:r>
      <w:r w:rsidR="001636C5">
        <w:rPr>
          <w:rFonts w:ascii="Arial" w:hAnsi="Arial" w:cs="Arial"/>
          <w:sz w:val="22"/>
          <w:szCs w:val="22"/>
        </w:rPr>
        <w:t>ěchto</w:t>
      </w:r>
      <w:r w:rsidRPr="00385777">
        <w:rPr>
          <w:rFonts w:ascii="Arial" w:hAnsi="Arial" w:cs="Arial"/>
          <w:sz w:val="22"/>
          <w:szCs w:val="22"/>
        </w:rPr>
        <w:t xml:space="preserve"> pozemk</w:t>
      </w:r>
      <w:r w:rsidR="001636C5">
        <w:rPr>
          <w:rFonts w:ascii="Arial" w:hAnsi="Arial" w:cs="Arial"/>
          <w:sz w:val="22"/>
          <w:szCs w:val="22"/>
        </w:rPr>
        <w:t>ů</w:t>
      </w:r>
      <w:r w:rsidRPr="00385777">
        <w:rPr>
          <w:rFonts w:ascii="Arial" w:hAnsi="Arial" w:cs="Arial"/>
          <w:sz w:val="22"/>
          <w:szCs w:val="22"/>
        </w:rPr>
        <w:t xml:space="preserve"> třetími osobami </w:t>
      </w:r>
      <w:r w:rsidRPr="00385777">
        <w:rPr>
          <w:rFonts w:ascii="Arial" w:hAnsi="Arial" w:cs="Arial"/>
          <w:sz w:val="22"/>
          <w:szCs w:val="22"/>
        </w:rPr>
        <w:br/>
        <w:t>v souladu s jeho účelovým určením zapsaným v katastru nemovitostí může pachtýř propachtovateli písemně oznámit vznik této skutečnosti u t</w:t>
      </w:r>
      <w:r w:rsidR="001636C5">
        <w:rPr>
          <w:rFonts w:ascii="Arial" w:hAnsi="Arial" w:cs="Arial"/>
          <w:sz w:val="22"/>
          <w:szCs w:val="22"/>
        </w:rPr>
        <w:t>ěchto</w:t>
      </w:r>
      <w:r w:rsidR="00693274">
        <w:rPr>
          <w:rFonts w:ascii="Arial" w:hAnsi="Arial" w:cs="Arial"/>
          <w:sz w:val="22"/>
          <w:szCs w:val="22"/>
        </w:rPr>
        <w:t xml:space="preserve"> </w:t>
      </w:r>
      <w:r w:rsidRPr="00385777">
        <w:rPr>
          <w:rFonts w:ascii="Arial" w:hAnsi="Arial" w:cs="Arial"/>
          <w:sz w:val="22"/>
          <w:szCs w:val="22"/>
        </w:rPr>
        <w:t>pozemk</w:t>
      </w:r>
      <w:r w:rsidR="001636C5">
        <w:rPr>
          <w:rFonts w:ascii="Arial" w:hAnsi="Arial" w:cs="Arial"/>
          <w:sz w:val="22"/>
          <w:szCs w:val="22"/>
        </w:rPr>
        <w:t>ů</w:t>
      </w:r>
      <w:r w:rsidRPr="00385777">
        <w:rPr>
          <w:rFonts w:ascii="Arial" w:hAnsi="Arial" w:cs="Arial"/>
          <w:i/>
          <w:sz w:val="22"/>
          <w:szCs w:val="22"/>
        </w:rPr>
        <w:t>.</w:t>
      </w:r>
    </w:p>
    <w:p w14:paraId="431D5765" w14:textId="77777777" w:rsidR="005D4F22" w:rsidRDefault="005D4F22" w:rsidP="005D4F22">
      <w:pPr>
        <w:tabs>
          <w:tab w:val="left" w:pos="284"/>
          <w:tab w:val="left" w:pos="568"/>
        </w:tabs>
        <w:jc w:val="center"/>
      </w:pPr>
    </w:p>
    <w:p w14:paraId="3B9E9D61" w14:textId="77777777" w:rsidR="001C2A60" w:rsidRDefault="001C2A60" w:rsidP="005D4F22">
      <w:pPr>
        <w:pStyle w:val="Nadpis4"/>
        <w:rPr>
          <w:rFonts w:ascii="Arial" w:hAnsi="Arial" w:cs="Arial"/>
          <w:sz w:val="22"/>
          <w:szCs w:val="22"/>
        </w:rPr>
      </w:pPr>
    </w:p>
    <w:p w14:paraId="57AEA311" w14:textId="1091921A" w:rsidR="005D4F22" w:rsidRPr="0008253F" w:rsidRDefault="005D4F22" w:rsidP="005D4F22">
      <w:pPr>
        <w:pStyle w:val="Nadpis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V</w:t>
      </w:r>
    </w:p>
    <w:p w14:paraId="61B2BA29" w14:textId="77777777" w:rsidR="005D4F22" w:rsidRDefault="005D4F22" w:rsidP="005D4F2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9CA1D2" w14:textId="4D75A429" w:rsidR="005D4F22" w:rsidRPr="00385777" w:rsidRDefault="005D4F22" w:rsidP="005D4F22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sz w:val="22"/>
          <w:szCs w:val="22"/>
          <w:lang w:eastAsia="cs-CZ"/>
        </w:rPr>
      </w:pPr>
      <w:r w:rsidRPr="00385777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na dobu určitou </w:t>
      </w:r>
      <w:r w:rsidRPr="0025793B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25793B" w:rsidRPr="0025793B">
        <w:rPr>
          <w:rFonts w:ascii="Arial" w:hAnsi="Arial" w:cs="Arial"/>
          <w:b/>
          <w:bCs/>
          <w:iCs/>
          <w:sz w:val="22"/>
          <w:szCs w:val="22"/>
          <w:lang w:eastAsia="cs-CZ"/>
        </w:rPr>
        <w:t>22. 5. 2024</w:t>
      </w:r>
      <w:r w:rsidRPr="00385777">
        <w:rPr>
          <w:rFonts w:ascii="Arial" w:hAnsi="Arial" w:cs="Arial"/>
          <w:iCs/>
          <w:sz w:val="22"/>
          <w:szCs w:val="22"/>
          <w:lang w:eastAsia="cs-CZ"/>
        </w:rPr>
        <w:t xml:space="preserve"> do</w:t>
      </w:r>
      <w:r w:rsidRPr="00385777">
        <w:rPr>
          <w:rFonts w:ascii="Arial" w:hAnsi="Arial" w:cs="Arial"/>
          <w:sz w:val="22"/>
          <w:szCs w:val="22"/>
        </w:rPr>
        <w:t xml:space="preserve"> </w:t>
      </w:r>
      <w:r w:rsidRPr="00385777">
        <w:rPr>
          <w:rFonts w:ascii="Arial" w:hAnsi="Arial" w:cs="Arial"/>
          <w:iCs/>
          <w:sz w:val="22"/>
          <w:szCs w:val="22"/>
          <w:lang w:eastAsia="cs-CZ"/>
        </w:rPr>
        <w:t xml:space="preserve">doby potřeby zahájení realizace prvku plánu společných zařízení nebo do doby do doby oznámení pachtýře o užívání nebo o potřebě užívání pozemku, </w:t>
      </w:r>
      <w:r w:rsidRPr="00385777">
        <w:rPr>
          <w:rFonts w:ascii="Arial" w:hAnsi="Arial" w:cs="Arial"/>
          <w:sz w:val="22"/>
          <w:szCs w:val="22"/>
        </w:rPr>
        <w:t>který je evidován s druhem pozemku ostat</w:t>
      </w:r>
      <w:r w:rsidR="001C2A60">
        <w:rPr>
          <w:rFonts w:ascii="Arial" w:hAnsi="Arial" w:cs="Arial"/>
          <w:sz w:val="22"/>
          <w:szCs w:val="22"/>
        </w:rPr>
        <w:t>ní</w:t>
      </w:r>
      <w:r w:rsidRPr="00385777">
        <w:rPr>
          <w:rFonts w:ascii="Arial" w:hAnsi="Arial" w:cs="Arial"/>
          <w:sz w:val="22"/>
          <w:szCs w:val="22"/>
        </w:rPr>
        <w:br/>
        <w:t>plocha a způsobem využití ostatní komunikace</w:t>
      </w:r>
      <w:r w:rsidRPr="00385777">
        <w:rPr>
          <w:rFonts w:ascii="Arial" w:hAnsi="Arial" w:cs="Arial"/>
          <w:iCs/>
          <w:sz w:val="22"/>
          <w:szCs w:val="22"/>
          <w:lang w:eastAsia="cs-CZ"/>
        </w:rPr>
        <w:t>, v souladu s jeho účelovým určením, na posledním pozemku, který je předmětem této smlouvy dle čl. II.</w:t>
      </w:r>
    </w:p>
    <w:p w14:paraId="33F8B07C" w14:textId="77777777" w:rsidR="005D4F22" w:rsidRPr="00E05754" w:rsidRDefault="005D4F22" w:rsidP="005D4F22">
      <w:pPr>
        <w:rPr>
          <w:rFonts w:ascii="Arial" w:hAnsi="Arial" w:cs="Arial"/>
          <w:iCs/>
          <w:color w:val="767171"/>
          <w:sz w:val="22"/>
          <w:szCs w:val="22"/>
          <w:lang w:eastAsia="cs-CZ"/>
        </w:rPr>
      </w:pPr>
    </w:p>
    <w:p w14:paraId="66974B8D" w14:textId="77777777" w:rsidR="005D4F22" w:rsidRDefault="005D4F22" w:rsidP="005D4F22">
      <w:pPr>
        <w:pStyle w:val="Zkladntext22"/>
        <w:numPr>
          <w:ilvl w:val="0"/>
          <w:numId w:val="27"/>
        </w:numPr>
        <w:tabs>
          <w:tab w:val="clear" w:pos="284"/>
          <w:tab w:val="clear" w:pos="568"/>
          <w:tab w:val="left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pacht lze i před uplynutím doby, na kterou byl sjednán, ukončit dohodou nebo písemnou výpovědí. Pacht lze vypovědět bez udání důvodu ve dvanáctiměsíční výpovědní době, a to vždy jen k 1. říjnu běžného roku.</w:t>
      </w:r>
    </w:p>
    <w:p w14:paraId="553A5D80" w14:textId="77777777" w:rsidR="005D4F22" w:rsidRDefault="005D4F22" w:rsidP="005D4F22">
      <w:pPr>
        <w:pStyle w:val="Odstavecseseznamem"/>
        <w:rPr>
          <w:rFonts w:ascii="Arial" w:hAnsi="Arial" w:cs="Arial"/>
          <w:sz w:val="22"/>
          <w:szCs w:val="22"/>
        </w:rPr>
      </w:pPr>
    </w:p>
    <w:p w14:paraId="3B21EC50" w14:textId="77777777" w:rsidR="005D4F22" w:rsidRPr="002D6957" w:rsidRDefault="005D4F22" w:rsidP="005D4F22">
      <w:pPr>
        <w:numPr>
          <w:ilvl w:val="0"/>
          <w:numId w:val="24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potřeba zahájení realizace prvku plánu společných zařízení dle čl. II </w:t>
      </w:r>
      <w:r>
        <w:rPr>
          <w:rFonts w:ascii="Arial" w:hAnsi="Arial" w:cs="Arial"/>
          <w:sz w:val="22"/>
          <w:szCs w:val="22"/>
        </w:rPr>
        <w:br/>
        <w:t xml:space="preserve">na předmětu pachtu </w:t>
      </w:r>
      <w:r w:rsidRPr="00E62CCA">
        <w:rPr>
          <w:rFonts w:ascii="Arial" w:hAnsi="Arial" w:cs="Arial"/>
          <w:sz w:val="22"/>
          <w:szCs w:val="22"/>
        </w:rPr>
        <w:t>nebo jeho části, ukončuje se k dotčené</w:t>
      </w:r>
      <w:r>
        <w:rPr>
          <w:rFonts w:ascii="Arial" w:hAnsi="Arial" w:cs="Arial"/>
          <w:sz w:val="22"/>
          <w:szCs w:val="22"/>
        </w:rPr>
        <w:t xml:space="preserve"> části předmětu smlouvy pacht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 xml:space="preserve">k 1. říjnu běžného roku, a to na základě písemného oznámení propachtovatele, které bude doručeno pachtýři minimálně šest měsíců před tímto dnem. </w:t>
      </w:r>
    </w:p>
    <w:p w14:paraId="1F7399B9" w14:textId="77777777" w:rsidR="005D4F22" w:rsidRPr="00E05754" w:rsidRDefault="005D4F22" w:rsidP="005D4F22">
      <w:pPr>
        <w:pStyle w:val="Zkladntext22"/>
        <w:tabs>
          <w:tab w:val="clear" w:pos="284"/>
          <w:tab w:val="left" w:pos="0"/>
        </w:tabs>
        <w:rPr>
          <w:rFonts w:ascii="Arial" w:hAnsi="Arial" w:cs="Arial"/>
          <w:color w:val="767171"/>
          <w:sz w:val="22"/>
          <w:szCs w:val="22"/>
        </w:rPr>
      </w:pPr>
    </w:p>
    <w:p w14:paraId="30DD0DD3" w14:textId="77777777" w:rsidR="005D4F22" w:rsidRPr="00385777" w:rsidRDefault="005D4F22" w:rsidP="005D4F22">
      <w:pPr>
        <w:pStyle w:val="adresa"/>
        <w:numPr>
          <w:ilvl w:val="0"/>
          <w:numId w:val="28"/>
        </w:numPr>
        <w:tabs>
          <w:tab w:val="clear" w:pos="3402"/>
          <w:tab w:val="clear" w:pos="6237"/>
          <w:tab w:val="left" w:pos="284"/>
        </w:tabs>
        <w:ind w:left="0" w:firstLine="0"/>
      </w:pPr>
      <w:r w:rsidRPr="00385777">
        <w:rPr>
          <w:rFonts w:ascii="Arial" w:hAnsi="Arial" w:cs="Arial"/>
          <w:sz w:val="22"/>
          <w:szCs w:val="22"/>
        </w:rPr>
        <w:t>V případě oznámení pachtýře podle čl. IV odst. 4 se za termín ukončení smlouvy nebo změnu rozsahu předmětu smlouvy z důvodu potřeby užívání nebo užívání pozemku, který je evidován s druhem pozemku ostatní plocha a způsobem využití ostatní komunikace, v souladu s jeho účelovým určením, považuje den doručení oznámení propachtovateli.</w:t>
      </w:r>
    </w:p>
    <w:p w14:paraId="2B68134C" w14:textId="77777777" w:rsidR="005D4F22" w:rsidRDefault="005D4F22" w:rsidP="005D4F22">
      <w:pPr>
        <w:pStyle w:val="Zkladntext22"/>
        <w:tabs>
          <w:tab w:val="clear" w:pos="284"/>
          <w:tab w:val="clear" w:pos="568"/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52B91490" w14:textId="77777777" w:rsidR="005D4F22" w:rsidRDefault="005D4F22" w:rsidP="005D4F22">
      <w:pPr>
        <w:pStyle w:val="Zkladntext22"/>
        <w:tabs>
          <w:tab w:val="clear" w:pos="284"/>
          <w:tab w:val="clear" w:pos="568"/>
          <w:tab w:val="left" w:pos="0"/>
          <w:tab w:val="left" w:pos="426"/>
        </w:tabs>
      </w:pPr>
      <w:r>
        <w:rPr>
          <w:rFonts w:ascii="Arial" w:hAnsi="Arial" w:cs="Arial"/>
          <w:sz w:val="22"/>
          <w:szCs w:val="22"/>
        </w:rPr>
        <w:t>5) Stane-li se pachtýř ze zdravotních důvodů nezpůsobilý na pozemku hospodařit, má dle ustanovení § 2348 OZ právo vypovědět pacht v tříměsíční výpovědní době.</w:t>
      </w:r>
    </w:p>
    <w:p w14:paraId="2156BCDE" w14:textId="77777777" w:rsidR="005D4F22" w:rsidRDefault="005D4F22" w:rsidP="005D4F22">
      <w:pPr>
        <w:pStyle w:val="Zkladntext22"/>
        <w:tabs>
          <w:tab w:val="clear" w:pos="284"/>
          <w:tab w:val="clear" w:pos="568"/>
          <w:tab w:val="left" w:pos="0"/>
          <w:tab w:val="left" w:pos="426"/>
        </w:tabs>
      </w:pPr>
    </w:p>
    <w:p w14:paraId="17986159" w14:textId="4CEF70F7" w:rsidR="005D4F22" w:rsidRDefault="00513EB1" w:rsidP="00513EB1">
      <w:pPr>
        <w:pStyle w:val="Zkladntext22"/>
        <w:tabs>
          <w:tab w:val="clear" w:pos="284"/>
          <w:tab w:val="clear" w:pos="568"/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513EB1">
        <w:rPr>
          <w:rFonts w:ascii="Arial" w:hAnsi="Arial" w:cs="Arial"/>
        </w:rPr>
        <w:t>6)</w:t>
      </w:r>
      <w:r>
        <w:rPr>
          <w:rFonts w:ascii="Arial" w:hAnsi="Arial" w:cs="Arial"/>
          <w:sz w:val="22"/>
          <w:szCs w:val="22"/>
        </w:rPr>
        <w:t xml:space="preserve"> </w:t>
      </w:r>
      <w:r w:rsidR="005D4F22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propachtované pozemky jinému, přenechá-li je k užívání, změní-li hospodářské určení pozemků nebo užívá-li propachtované</w:t>
      </w:r>
      <w:r w:rsidR="005D4F22">
        <w:rPr>
          <w:rFonts w:ascii="Arial" w:hAnsi="Arial" w:cs="Arial"/>
          <w:i/>
          <w:sz w:val="22"/>
          <w:szCs w:val="22"/>
        </w:rPr>
        <w:t xml:space="preserve"> </w:t>
      </w:r>
      <w:r w:rsidR="005D4F22">
        <w:rPr>
          <w:rFonts w:ascii="Arial" w:hAnsi="Arial" w:cs="Arial"/>
          <w:sz w:val="22"/>
          <w:szCs w:val="22"/>
        </w:rPr>
        <w:t>pozemky v rozporu s touto smlouvou bez propachtovatelova předchozího souhlasu.</w:t>
      </w:r>
    </w:p>
    <w:p w14:paraId="4653B0A3" w14:textId="48D23CEA" w:rsidR="00513EB1" w:rsidRDefault="00513EB1" w:rsidP="00513EB1">
      <w:pPr>
        <w:pStyle w:val="Zkladntext22"/>
        <w:tabs>
          <w:tab w:val="clear" w:pos="284"/>
          <w:tab w:val="clear" w:pos="568"/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14:paraId="651760DC" w14:textId="77777777" w:rsidR="004C0CFE" w:rsidRPr="00E33439" w:rsidRDefault="00513EB1" w:rsidP="004C0CFE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="004C0CFE" w:rsidRPr="001323FA">
        <w:rPr>
          <w:rFonts w:ascii="Arial" w:hAnsi="Arial" w:cs="Arial"/>
          <w:sz w:val="22"/>
          <w:szCs w:val="22"/>
        </w:rPr>
        <w:t>Vznikne-li k </w:t>
      </w:r>
      <w:r w:rsidR="004C0CFE" w:rsidRPr="005642AC">
        <w:rPr>
          <w:rFonts w:ascii="Arial" w:hAnsi="Arial" w:cs="Arial"/>
          <w:sz w:val="22"/>
          <w:szCs w:val="22"/>
        </w:rPr>
        <w:t xml:space="preserve">realizaci společného zařízení, </w:t>
      </w:r>
      <w:r w:rsidR="004C0CFE" w:rsidRPr="00E33439">
        <w:rPr>
          <w:rFonts w:ascii="Arial" w:hAnsi="Arial" w:cs="Arial"/>
          <w:sz w:val="22"/>
          <w:szCs w:val="22"/>
        </w:rPr>
        <w:t xml:space="preserve">z důvodu jiného veřejného zájmu nebo z důvodů k plnění funkcí státu či jiných úkolů v rámci působnosti nebo stanoveného předmětu činnosti propachtovatele </w:t>
      </w:r>
      <w:r w:rsidR="004C0CFE" w:rsidRPr="002F32D1">
        <w:rPr>
          <w:rFonts w:ascii="Arial" w:hAnsi="Arial" w:cs="Arial"/>
          <w:sz w:val="22"/>
          <w:szCs w:val="22"/>
        </w:rPr>
        <w:t>potřeba okamž</w:t>
      </w:r>
      <w:r w:rsidR="004C0CFE" w:rsidRPr="00D918AA">
        <w:rPr>
          <w:rFonts w:ascii="Arial" w:hAnsi="Arial" w:cs="Arial"/>
          <w:sz w:val="22"/>
          <w:szCs w:val="22"/>
        </w:rPr>
        <w:t xml:space="preserve">itě </w:t>
      </w:r>
      <w:r w:rsidR="004C0CFE" w:rsidRPr="0063051D">
        <w:rPr>
          <w:rFonts w:ascii="Arial" w:hAnsi="Arial" w:cs="Arial"/>
          <w:sz w:val="22"/>
          <w:szCs w:val="22"/>
        </w:rPr>
        <w:t xml:space="preserve">uvolnit předmět pachtu nebo jeho část, tj.  jednotlivý pozemek nebo jeho část tj.  jednotlivý pozemek nebo jeho část, má propachtovatel právo jednostranně zúžit předmět této smlouvy a ukončit pacht pozemku či jeho části k datu doručení oznámení </w:t>
      </w:r>
      <w:r w:rsidR="004C0CFE" w:rsidRPr="001323FA">
        <w:rPr>
          <w:rFonts w:ascii="Arial" w:hAnsi="Arial" w:cs="Arial"/>
          <w:sz w:val="22"/>
          <w:szCs w:val="22"/>
        </w:rPr>
        <w:t xml:space="preserve">pachtýři o zúžení předmětu </w:t>
      </w:r>
      <w:r w:rsidR="004C0CFE" w:rsidRPr="005642AC">
        <w:rPr>
          <w:rFonts w:ascii="Arial" w:hAnsi="Arial" w:cs="Arial"/>
          <w:sz w:val="22"/>
          <w:szCs w:val="22"/>
        </w:rPr>
        <w:t xml:space="preserve">této smlouvy. Ostatní propachtované pozemky či části pozemků nedotčené </w:t>
      </w:r>
      <w:r w:rsidR="004C0CFE" w:rsidRPr="00E33439">
        <w:rPr>
          <w:rFonts w:ascii="Arial" w:hAnsi="Arial" w:cs="Arial"/>
          <w:sz w:val="22"/>
          <w:szCs w:val="22"/>
        </w:rPr>
        <w:t>touto potřebou zůstávají nadále předmětem této smlouvy.</w:t>
      </w:r>
    </w:p>
    <w:p w14:paraId="4BDB5EDC" w14:textId="77777777" w:rsidR="005D4F22" w:rsidRDefault="005D4F22" w:rsidP="005D4F22">
      <w:pPr>
        <w:tabs>
          <w:tab w:val="left" w:pos="851"/>
        </w:tabs>
        <w:jc w:val="both"/>
      </w:pPr>
    </w:p>
    <w:p w14:paraId="0143C3D2" w14:textId="61256D72" w:rsidR="004C0CFE" w:rsidRPr="0063051D" w:rsidRDefault="004C0CFE" w:rsidP="004C0CFE">
      <w:pPr>
        <w:tabs>
          <w:tab w:val="left" w:pos="426"/>
        </w:tabs>
        <w:jc w:val="both"/>
      </w:pPr>
      <w:r>
        <w:rPr>
          <w:rFonts w:ascii="Arial" w:hAnsi="Arial" w:cs="Arial"/>
          <w:sz w:val="22"/>
          <w:szCs w:val="22"/>
        </w:rPr>
        <w:t>8</w:t>
      </w:r>
      <w:r w:rsidR="005D4F2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Pachtýř s ujednanými možnostmi ukončení smlouvy podle </w:t>
      </w:r>
      <w:r w:rsidRPr="00B450CC">
        <w:rPr>
          <w:rFonts w:ascii="Arial" w:hAnsi="Arial" w:cs="Arial"/>
          <w:sz w:val="22"/>
          <w:szCs w:val="22"/>
        </w:rPr>
        <w:t xml:space="preserve">odst. </w:t>
      </w:r>
      <w:r>
        <w:rPr>
          <w:rFonts w:ascii="Arial" w:hAnsi="Arial" w:cs="Arial"/>
          <w:sz w:val="22"/>
          <w:szCs w:val="22"/>
        </w:rPr>
        <w:t>3</w:t>
      </w:r>
      <w:r w:rsidRPr="00B450C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B450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4) a 7</w:t>
      </w:r>
      <w:r w:rsidR="003D58A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výslovně souhlasí a stvrzuje, že nebude z titulu takového ukončení smlouvy uplatňovat žádné náhrady ani majetkové nároky a sankce, a to i v případě, že by jako příjemce dotace musel vracet poskytnuté dotace nebo byl dotčen jinou sankcí ve vazbě na nedodržení doby pachtu. </w:t>
      </w:r>
      <w:r w:rsidRPr="00E33439">
        <w:rPr>
          <w:rFonts w:ascii="Arial" w:hAnsi="Arial" w:cs="Arial"/>
          <w:sz w:val="22"/>
          <w:szCs w:val="22"/>
        </w:rPr>
        <w:t xml:space="preserve">V </w:t>
      </w:r>
      <w:r w:rsidRPr="001323FA">
        <w:rPr>
          <w:rFonts w:ascii="Arial" w:hAnsi="Arial" w:cs="Arial"/>
          <w:sz w:val="22"/>
          <w:szCs w:val="22"/>
        </w:rPr>
        <w:t xml:space="preserve">případech ukončení </w:t>
      </w:r>
      <w:r w:rsidRPr="005642AC">
        <w:rPr>
          <w:rFonts w:ascii="Arial" w:hAnsi="Arial" w:cs="Arial"/>
          <w:sz w:val="22"/>
          <w:szCs w:val="22"/>
        </w:rPr>
        <w:t>podle odst. 3 a 4 se pachtýř vzdává nároku na škodu vz</w:t>
      </w:r>
      <w:r w:rsidRPr="00E33439">
        <w:rPr>
          <w:rFonts w:ascii="Arial" w:hAnsi="Arial" w:cs="Arial"/>
          <w:sz w:val="22"/>
          <w:szCs w:val="22"/>
        </w:rPr>
        <w:t xml:space="preserve">niklou na rozpracované výrobě. Bude-li se v případě ukončení pachtu podle </w:t>
      </w:r>
      <w:r w:rsidRPr="002F32D1">
        <w:rPr>
          <w:rFonts w:ascii="Arial" w:hAnsi="Arial" w:cs="Arial"/>
          <w:sz w:val="22"/>
          <w:szCs w:val="22"/>
        </w:rPr>
        <w:t>odst. 7 na pozemku nachá</w:t>
      </w:r>
      <w:r w:rsidRPr="00D918AA">
        <w:rPr>
          <w:rFonts w:ascii="Arial" w:hAnsi="Arial" w:cs="Arial"/>
          <w:sz w:val="22"/>
          <w:szCs w:val="22"/>
        </w:rPr>
        <w:t xml:space="preserve">zet rozpracovaná výroba a </w:t>
      </w:r>
      <w:r w:rsidRPr="0063051D">
        <w:rPr>
          <w:rFonts w:ascii="Arial" w:hAnsi="Arial" w:cs="Arial"/>
          <w:sz w:val="22"/>
          <w:szCs w:val="22"/>
        </w:rPr>
        <w:t>požádá-li pachtýř o kompenzaci, náleží mu náhrada ve výši prokázaných nákladových položek na ni vynaložených, v daném místě a čase obvyklých za obvyklé ceny.</w:t>
      </w:r>
    </w:p>
    <w:p w14:paraId="2581E6CA" w14:textId="77777777" w:rsidR="003D58AB" w:rsidRDefault="003D58AB" w:rsidP="005D4F22">
      <w:pPr>
        <w:tabs>
          <w:tab w:val="left" w:pos="426"/>
        </w:tabs>
        <w:jc w:val="both"/>
      </w:pPr>
    </w:p>
    <w:p w14:paraId="5414E6BB" w14:textId="77777777" w:rsidR="005D4F22" w:rsidRPr="00522DEE" w:rsidRDefault="005D4F22" w:rsidP="005D4F22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VI</w:t>
      </w:r>
    </w:p>
    <w:p w14:paraId="40E47437" w14:textId="77777777" w:rsidR="005D4F22" w:rsidRPr="00522DEE" w:rsidRDefault="005D4F22" w:rsidP="005D4F2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74B4B7B" w14:textId="77777777" w:rsidR="005D4F22" w:rsidRPr="00522DEE" w:rsidRDefault="005D4F22" w:rsidP="005D4F22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3E9B7DEF" w14:textId="77777777" w:rsidR="005D4F22" w:rsidRPr="00522DEE" w:rsidRDefault="005D4F22" w:rsidP="005D4F22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6E3B01E7" w14:textId="77777777" w:rsidR="005D4F22" w:rsidRPr="00522DEE" w:rsidRDefault="005D4F22" w:rsidP="005D4F22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68C4F114" w14:textId="77777777" w:rsidR="005D4F22" w:rsidRPr="00522DEE" w:rsidRDefault="005D4F22" w:rsidP="005D4F2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617756" w14:textId="6EE8A4E6" w:rsidR="005D4F22" w:rsidRDefault="005D4F22" w:rsidP="005D4F22">
      <w:p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 xml:space="preserve">3) Roční pachtovné se stanovuje dohodou </w:t>
      </w:r>
      <w:r w:rsidRPr="003D58AB">
        <w:rPr>
          <w:rFonts w:ascii="Arial" w:hAnsi="Arial" w:cs="Arial"/>
          <w:b/>
          <w:bCs/>
          <w:sz w:val="22"/>
          <w:szCs w:val="22"/>
        </w:rPr>
        <w:t xml:space="preserve">ve výši </w:t>
      </w:r>
      <w:r w:rsidR="00D25764" w:rsidRPr="00D25764">
        <w:rPr>
          <w:rFonts w:ascii="Arial" w:hAnsi="Arial" w:cs="Arial"/>
          <w:b/>
          <w:bCs/>
          <w:sz w:val="22"/>
          <w:szCs w:val="22"/>
        </w:rPr>
        <w:t>1</w:t>
      </w:r>
      <w:r w:rsidR="00F5472B">
        <w:rPr>
          <w:rFonts w:ascii="Arial" w:hAnsi="Arial" w:cs="Arial"/>
          <w:b/>
          <w:bCs/>
          <w:sz w:val="22"/>
          <w:szCs w:val="22"/>
        </w:rPr>
        <w:t>8</w:t>
      </w:r>
      <w:r w:rsidR="00D25764" w:rsidRPr="00D25764">
        <w:rPr>
          <w:rFonts w:ascii="Arial" w:hAnsi="Arial" w:cs="Arial"/>
          <w:b/>
          <w:bCs/>
          <w:sz w:val="22"/>
          <w:szCs w:val="22"/>
        </w:rPr>
        <w:t>.</w:t>
      </w:r>
      <w:r w:rsidR="00F5472B">
        <w:rPr>
          <w:rFonts w:ascii="Arial" w:hAnsi="Arial" w:cs="Arial"/>
          <w:b/>
          <w:bCs/>
          <w:sz w:val="22"/>
          <w:szCs w:val="22"/>
        </w:rPr>
        <w:t>0</w:t>
      </w:r>
      <w:r w:rsidR="00D03ADA">
        <w:rPr>
          <w:rFonts w:ascii="Arial" w:hAnsi="Arial" w:cs="Arial"/>
          <w:b/>
          <w:bCs/>
          <w:sz w:val="22"/>
          <w:szCs w:val="22"/>
        </w:rPr>
        <w:t>49</w:t>
      </w:r>
      <w:r w:rsidR="00D25764" w:rsidRPr="00D25764">
        <w:rPr>
          <w:rFonts w:ascii="Arial" w:hAnsi="Arial" w:cs="Arial"/>
          <w:b/>
          <w:bCs/>
          <w:sz w:val="22"/>
          <w:szCs w:val="22"/>
        </w:rPr>
        <w:t>, -</w:t>
      </w:r>
      <w:r w:rsidRPr="00D25764">
        <w:rPr>
          <w:rFonts w:ascii="Arial" w:hAnsi="Arial" w:cs="Arial"/>
          <w:b/>
          <w:bCs/>
          <w:sz w:val="22"/>
          <w:szCs w:val="22"/>
        </w:rPr>
        <w:t xml:space="preserve"> Kč (</w:t>
      </w:r>
      <w:r w:rsidRPr="00D25764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F5472B">
        <w:rPr>
          <w:rFonts w:ascii="Arial" w:hAnsi="Arial" w:cs="Arial"/>
          <w:sz w:val="22"/>
          <w:szCs w:val="22"/>
        </w:rPr>
        <w:t>osmnácttisíc</w:t>
      </w:r>
      <w:r w:rsidR="00D03ADA">
        <w:rPr>
          <w:rFonts w:ascii="Arial" w:hAnsi="Arial" w:cs="Arial"/>
          <w:sz w:val="22"/>
          <w:szCs w:val="22"/>
        </w:rPr>
        <w:t>čtyřicetdevět</w:t>
      </w:r>
      <w:proofErr w:type="spellEnd"/>
      <w:r w:rsidR="004C0CFE" w:rsidRPr="00D25764">
        <w:rPr>
          <w:rFonts w:ascii="Arial" w:hAnsi="Arial" w:cs="Arial"/>
          <w:sz w:val="22"/>
          <w:szCs w:val="22"/>
        </w:rPr>
        <w:t xml:space="preserve"> korun</w:t>
      </w:r>
      <w:r w:rsidRPr="00D25764">
        <w:rPr>
          <w:rFonts w:ascii="Arial" w:hAnsi="Arial" w:cs="Arial"/>
          <w:sz w:val="22"/>
          <w:szCs w:val="22"/>
        </w:rPr>
        <w:t xml:space="preserve"> českých). Pokud dojde ke zúžení předmětu pachtu</w:t>
      </w:r>
      <w:r>
        <w:rPr>
          <w:rFonts w:ascii="Arial" w:hAnsi="Arial" w:cs="Arial"/>
          <w:sz w:val="22"/>
          <w:szCs w:val="22"/>
        </w:rPr>
        <w:t xml:space="preserve">, </w:t>
      </w:r>
      <w:r w:rsidRPr="00E62CCA">
        <w:rPr>
          <w:rFonts w:ascii="Arial" w:hAnsi="Arial" w:cs="Arial"/>
          <w:sz w:val="22"/>
          <w:szCs w:val="22"/>
        </w:rPr>
        <w:t xml:space="preserve">pachtovné bude stanoveno tak, že se dosavadní pachtovné </w:t>
      </w:r>
      <w:proofErr w:type="gramStart"/>
      <w:r w:rsidRPr="00E62CCA">
        <w:rPr>
          <w:rFonts w:ascii="Arial" w:hAnsi="Arial" w:cs="Arial"/>
          <w:sz w:val="22"/>
          <w:szCs w:val="22"/>
        </w:rPr>
        <w:t>sníží</w:t>
      </w:r>
      <w:proofErr w:type="gramEnd"/>
      <w:r w:rsidRPr="00E62CCA">
        <w:rPr>
          <w:rFonts w:ascii="Arial" w:hAnsi="Arial" w:cs="Arial"/>
          <w:sz w:val="22"/>
          <w:szCs w:val="22"/>
        </w:rPr>
        <w:t xml:space="preserve"> o pachtovné stanovené</w:t>
      </w:r>
      <w:r>
        <w:rPr>
          <w:rFonts w:ascii="Arial" w:hAnsi="Arial" w:cs="Arial"/>
          <w:sz w:val="22"/>
          <w:szCs w:val="22"/>
        </w:rPr>
        <w:t xml:space="preserve"> podle této smlouvy</w:t>
      </w:r>
      <w:r w:rsidRPr="00E62CCA">
        <w:rPr>
          <w:rFonts w:ascii="Arial" w:hAnsi="Arial" w:cs="Arial"/>
          <w:sz w:val="22"/>
          <w:szCs w:val="22"/>
        </w:rPr>
        <w:t xml:space="preserve"> pro pozem</w:t>
      </w:r>
      <w:r>
        <w:rPr>
          <w:rFonts w:ascii="Arial" w:hAnsi="Arial" w:cs="Arial"/>
          <w:sz w:val="22"/>
          <w:szCs w:val="22"/>
        </w:rPr>
        <w:t>ky</w:t>
      </w:r>
      <w:r w:rsidRPr="00CD76A4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které</w:t>
      </w:r>
      <w:r w:rsidRPr="00CD76A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již nejsou předmětem pachtu</w:t>
      </w:r>
      <w:r w:rsidRPr="00E62CCA">
        <w:rPr>
          <w:rFonts w:ascii="Arial" w:hAnsi="Arial" w:cs="Arial"/>
          <w:sz w:val="22"/>
          <w:szCs w:val="22"/>
        </w:rPr>
        <w:t>. Jestliže by se zúžení týkalo pouze části pozemku provede se matematický přepočet</w:t>
      </w:r>
      <w:r>
        <w:rPr>
          <w:rFonts w:ascii="Arial" w:hAnsi="Arial" w:cs="Arial"/>
          <w:sz w:val="22"/>
          <w:szCs w:val="22"/>
        </w:rPr>
        <w:t>,</w:t>
      </w:r>
      <w:r w:rsidRPr="00E62CCA">
        <w:rPr>
          <w:rFonts w:ascii="Arial" w:hAnsi="Arial" w:cs="Arial"/>
          <w:sz w:val="22"/>
          <w:szCs w:val="22"/>
        </w:rPr>
        <w:t xml:space="preserve"> při kterém se bude vycházet z pachtu za celý pozemek.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42C0DBC" w14:textId="77777777" w:rsidR="005D4F22" w:rsidRDefault="005D4F22" w:rsidP="005D4F22">
      <w:pPr>
        <w:pStyle w:val="Zkladntext210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6917C9EC" w14:textId="607BBC23" w:rsidR="005D4F22" w:rsidRDefault="005D4F22" w:rsidP="005D4F22">
      <w:pPr>
        <w:pStyle w:val="Zkladntext22"/>
        <w:tabs>
          <w:tab w:val="clear" w:pos="284"/>
          <w:tab w:val="clear" w:pos="568"/>
          <w:tab w:val="left" w:pos="567"/>
        </w:tabs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Pachtovné za období od účinnosti smlouvy do 30. 9. 202</w:t>
      </w:r>
      <w:r w:rsidR="00E02120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včetně </w:t>
      </w:r>
      <w:r w:rsidRPr="00D25764">
        <w:rPr>
          <w:rFonts w:ascii="Arial" w:hAnsi="Arial" w:cs="Arial"/>
          <w:bCs/>
          <w:sz w:val="22"/>
          <w:szCs w:val="22"/>
          <w:u w:val="single"/>
        </w:rPr>
        <w:t>činí</w:t>
      </w:r>
      <w:r w:rsidR="00F5472B">
        <w:rPr>
          <w:rFonts w:ascii="Arial" w:hAnsi="Arial" w:cs="Arial"/>
          <w:bCs/>
          <w:sz w:val="22"/>
          <w:szCs w:val="22"/>
          <w:u w:val="single"/>
        </w:rPr>
        <w:t xml:space="preserve"> 6.</w:t>
      </w:r>
      <w:r w:rsidR="00D03ADA">
        <w:rPr>
          <w:rFonts w:ascii="Arial" w:hAnsi="Arial" w:cs="Arial"/>
          <w:bCs/>
          <w:sz w:val="22"/>
          <w:szCs w:val="22"/>
          <w:u w:val="single"/>
        </w:rPr>
        <w:t>509</w:t>
      </w:r>
      <w:r w:rsidR="006C61DE" w:rsidRPr="00D25764">
        <w:rPr>
          <w:rFonts w:ascii="Arial" w:hAnsi="Arial" w:cs="Arial"/>
          <w:bCs/>
          <w:sz w:val="22"/>
          <w:szCs w:val="22"/>
          <w:u w:val="single"/>
        </w:rPr>
        <w:t>, -</w:t>
      </w:r>
      <w:r w:rsidRPr="00D25764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D25764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F5472B">
        <w:rPr>
          <w:rFonts w:ascii="Arial" w:hAnsi="Arial" w:cs="Arial"/>
          <w:bCs/>
          <w:sz w:val="22"/>
          <w:szCs w:val="22"/>
        </w:rPr>
        <w:t>šesttisíc</w:t>
      </w:r>
      <w:r w:rsidR="00D03ADA">
        <w:rPr>
          <w:rFonts w:ascii="Arial" w:hAnsi="Arial" w:cs="Arial"/>
          <w:bCs/>
          <w:sz w:val="22"/>
          <w:szCs w:val="22"/>
        </w:rPr>
        <w:t>pětsetdevět</w:t>
      </w:r>
      <w:proofErr w:type="spellEnd"/>
      <w:r w:rsidRPr="00D25764">
        <w:rPr>
          <w:rFonts w:ascii="Arial" w:hAnsi="Arial" w:cs="Arial"/>
          <w:bCs/>
          <w:sz w:val="22"/>
          <w:szCs w:val="22"/>
        </w:rPr>
        <w:t xml:space="preserve"> korun česk</w:t>
      </w:r>
      <w:r w:rsidR="004C0CFE" w:rsidRPr="00D25764">
        <w:rPr>
          <w:rFonts w:ascii="Arial" w:hAnsi="Arial" w:cs="Arial"/>
          <w:bCs/>
          <w:sz w:val="22"/>
          <w:szCs w:val="22"/>
        </w:rPr>
        <w:t>ých</w:t>
      </w:r>
      <w:r w:rsidRPr="00D25764">
        <w:rPr>
          <w:rFonts w:ascii="Arial" w:hAnsi="Arial" w:cs="Arial"/>
          <w:bCs/>
          <w:sz w:val="22"/>
          <w:szCs w:val="22"/>
        </w:rPr>
        <w:t>) a bude uhrazeno k 1. 10. 202</w:t>
      </w:r>
      <w:r w:rsidR="00E02120" w:rsidRPr="00D25764">
        <w:rPr>
          <w:rFonts w:ascii="Arial" w:hAnsi="Arial" w:cs="Arial"/>
          <w:bCs/>
          <w:sz w:val="22"/>
          <w:szCs w:val="22"/>
        </w:rPr>
        <w:t>4</w:t>
      </w:r>
      <w:r w:rsidRPr="00D25764">
        <w:rPr>
          <w:rFonts w:ascii="Arial" w:hAnsi="Arial" w:cs="Arial"/>
          <w:bCs/>
          <w:sz w:val="22"/>
          <w:szCs w:val="22"/>
        </w:rPr>
        <w:t>.</w:t>
      </w:r>
    </w:p>
    <w:p w14:paraId="50AA60C3" w14:textId="77777777" w:rsidR="005D4F22" w:rsidRDefault="005D4F22" w:rsidP="005D4F22">
      <w:pPr>
        <w:pStyle w:val="Zkladntext210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334F069C" w14:textId="2DF7377E" w:rsidR="005D4F22" w:rsidRPr="00F2015E" w:rsidRDefault="005D4F22" w:rsidP="005D4F22">
      <w:pPr>
        <w:pStyle w:val="Zkladntext210"/>
        <w:rPr>
          <w:b w:val="0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Pr="006146B2">
        <w:rPr>
          <w:rFonts w:ascii="Arial" w:hAnsi="Arial" w:cs="Arial"/>
          <w:b w:val="0"/>
          <w:sz w:val="22"/>
          <w:szCs w:val="22"/>
        </w:rPr>
        <w:t>110015-3723001/0710</w:t>
      </w:r>
      <w:r w:rsidRPr="00F2015E">
        <w:rPr>
          <w:rFonts w:ascii="Arial" w:hAnsi="Arial" w:cs="Arial"/>
          <w:b w:val="0"/>
          <w:iCs/>
          <w:sz w:val="22"/>
          <w:szCs w:val="22"/>
        </w:rPr>
        <w:t xml:space="preserve">, </w:t>
      </w:r>
      <w:r w:rsidRPr="00F2015E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6C61DE">
        <w:rPr>
          <w:rFonts w:ascii="Arial" w:hAnsi="Arial" w:cs="Arial"/>
          <w:b w:val="0"/>
          <w:sz w:val="22"/>
          <w:szCs w:val="22"/>
        </w:rPr>
        <w:t>21</w:t>
      </w:r>
      <w:r w:rsidR="00E02120">
        <w:rPr>
          <w:rFonts w:ascii="Arial" w:hAnsi="Arial" w:cs="Arial"/>
          <w:b w:val="0"/>
          <w:sz w:val="22"/>
          <w:szCs w:val="22"/>
        </w:rPr>
        <w:t>12423</w:t>
      </w:r>
      <w:r w:rsidRPr="00F2015E">
        <w:rPr>
          <w:rFonts w:ascii="Arial" w:hAnsi="Arial" w:cs="Arial"/>
          <w:b w:val="0"/>
          <w:sz w:val="20"/>
        </w:rPr>
        <w:t>.</w:t>
      </w:r>
    </w:p>
    <w:p w14:paraId="79BD6C7B" w14:textId="77777777" w:rsidR="005D4F22" w:rsidRPr="00F2015E" w:rsidRDefault="005D4F22" w:rsidP="005D4F22">
      <w:pPr>
        <w:pStyle w:val="Zkladntext210"/>
        <w:tabs>
          <w:tab w:val="left" w:pos="851"/>
        </w:tabs>
        <w:rPr>
          <w:b w:val="0"/>
        </w:rPr>
      </w:pPr>
      <w:r w:rsidRPr="00F2015E">
        <w:rPr>
          <w:rFonts w:ascii="Arial" w:hAnsi="Arial" w:cs="Arial"/>
          <w:b w:val="0"/>
          <w:sz w:val="22"/>
          <w:szCs w:val="22"/>
        </w:rPr>
        <w:t>Zaplacením se rozumí připsání placené částky na účet propachtovatele.</w:t>
      </w:r>
    </w:p>
    <w:p w14:paraId="72F79468" w14:textId="77777777" w:rsidR="005D4F22" w:rsidRPr="00F2015E" w:rsidRDefault="005D4F22" w:rsidP="005D4F22">
      <w:pPr>
        <w:pStyle w:val="Zkladntext210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207936F8" w14:textId="6AAE7201" w:rsidR="005D4F22" w:rsidRDefault="005D4F22" w:rsidP="005D4F22">
      <w:pPr>
        <w:pStyle w:val="Zkladntext22"/>
        <w:tabs>
          <w:tab w:val="clear" w:pos="284"/>
          <w:tab w:val="clear" w:pos="568"/>
          <w:tab w:val="left" w:pos="0"/>
        </w:tabs>
      </w:pPr>
      <w:r w:rsidRPr="00F2015E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F2015E">
        <w:rPr>
          <w:rFonts w:ascii="Arial" w:hAnsi="Arial" w:cs="Arial"/>
          <w:sz w:val="22"/>
          <w:szCs w:val="22"/>
        </w:rPr>
        <w:t>Nedodrží</w:t>
      </w:r>
      <w:proofErr w:type="gramEnd"/>
      <w:r w:rsidRPr="00F2015E">
        <w:rPr>
          <w:rFonts w:ascii="Arial" w:hAnsi="Arial" w:cs="Arial"/>
          <w:sz w:val="22"/>
          <w:szCs w:val="22"/>
        </w:rPr>
        <w:t>-li pachtýř lhůtu pro úhradu pachtovného, je povinen podle ustanovení § 1970 OZ zaplatit propachtovateli úrok z prodlení, a to na účet propachtovatele vedený u České národní banky, číslo účtu 180013-3723001/0710, variabilní symbol</w:t>
      </w:r>
      <w:r w:rsidR="009E3913">
        <w:rPr>
          <w:rFonts w:ascii="Arial" w:hAnsi="Arial" w:cs="Arial"/>
          <w:sz w:val="22"/>
          <w:szCs w:val="22"/>
        </w:rPr>
        <w:t xml:space="preserve"> </w:t>
      </w:r>
      <w:r w:rsidR="006C61DE">
        <w:rPr>
          <w:rFonts w:ascii="Arial" w:hAnsi="Arial" w:cs="Arial"/>
          <w:sz w:val="22"/>
          <w:szCs w:val="22"/>
        </w:rPr>
        <w:t>21</w:t>
      </w:r>
      <w:r w:rsidR="00E02120">
        <w:rPr>
          <w:rFonts w:ascii="Arial" w:hAnsi="Arial" w:cs="Arial"/>
          <w:sz w:val="22"/>
          <w:szCs w:val="22"/>
        </w:rPr>
        <w:t>12423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53E7E6A" w14:textId="77777777" w:rsidR="005D4F22" w:rsidRDefault="005D4F22" w:rsidP="005D4F2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9849CCC" w14:textId="77777777" w:rsidR="005D4F22" w:rsidRDefault="005D4F22" w:rsidP="005D4F22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lastRenderedPageBreak/>
        <w:t>7) Prodlení pachtýře s úhradou pachtovného delší než 60 dnů se považuje za porušení smlouvy, které zakládá právo propachtovatele smlouvu vypovědět bez výpovědní doby (ustanovení § 2232 OZ).</w:t>
      </w:r>
    </w:p>
    <w:p w14:paraId="5F80145A" w14:textId="77777777" w:rsidR="005D4F22" w:rsidRDefault="005D4F22" w:rsidP="005D4F2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999D28" w14:textId="77777777" w:rsidR="005D4F22" w:rsidRDefault="005D4F22" w:rsidP="005D4F22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532EE6EA" w14:textId="77777777" w:rsidR="005D4F22" w:rsidRDefault="005D4F22" w:rsidP="005D4F22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495D819D" w14:textId="77777777" w:rsidR="005D4F22" w:rsidRDefault="005D4F22" w:rsidP="005D4F22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23423F60" w14:textId="77777777" w:rsidR="005D4F22" w:rsidRDefault="005D4F22" w:rsidP="005D4F22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F860976" w14:textId="77777777" w:rsidR="005D4F22" w:rsidRDefault="005D4F22" w:rsidP="005D4F22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1425C791" w14:textId="037FA1FD" w:rsidR="005D4F22" w:rsidRDefault="005D4F22" w:rsidP="005D4F22">
      <w:pPr>
        <w:pStyle w:val="Zkladntext21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9) Smluvní strany sjednávají odlišně od § 2337 OZ, že pachtýř nemá právo na slevu z pachtovného nebo prominutí pachtovného ve vazbě na skutečnost, že k pozemkům, které jsou předmětem pachtu dle této smlouvy, není zajištěn přístup z v terénu existující komunikace.</w:t>
      </w:r>
    </w:p>
    <w:p w14:paraId="3DE99DC3" w14:textId="77777777" w:rsidR="009E3913" w:rsidRDefault="009E3913" w:rsidP="005D4F22">
      <w:pPr>
        <w:pStyle w:val="Zkladntext210"/>
      </w:pPr>
    </w:p>
    <w:p w14:paraId="0865B509" w14:textId="77777777" w:rsidR="005D4F22" w:rsidRPr="0008253F" w:rsidRDefault="005D4F22" w:rsidP="005D4F22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</w:t>
      </w:r>
    </w:p>
    <w:p w14:paraId="40DEC5F4" w14:textId="77777777" w:rsidR="005D4F22" w:rsidRDefault="005D4F22" w:rsidP="005D4F22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3D5CF782" w14:textId="77777777" w:rsidR="005D4F22" w:rsidRDefault="005D4F22" w:rsidP="005D4F22">
      <w:pPr>
        <w:pStyle w:val="Zkladntext2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>Pokud jsou na propachtovaných pozemcích zřízena meliorační zařízení, pachtýř se zavazuje:</w:t>
      </w:r>
    </w:p>
    <w:p w14:paraId="32901636" w14:textId="77777777" w:rsidR="005D4F22" w:rsidRDefault="005D4F22" w:rsidP="005D4F22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CB0E33E" w14:textId="77777777" w:rsidR="005D4F22" w:rsidRDefault="005D4F22" w:rsidP="005D4F22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90AA242" w14:textId="77777777" w:rsidR="005D4F22" w:rsidRDefault="005D4F22" w:rsidP="005D4F22">
      <w:pPr>
        <w:pStyle w:val="Zkladntext2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2A44274D" w14:textId="77777777" w:rsidR="003D58AB" w:rsidRPr="003D58AB" w:rsidRDefault="003D58AB" w:rsidP="003D58AB"/>
    <w:p w14:paraId="77FF848E" w14:textId="46561636" w:rsidR="005D4F22" w:rsidRDefault="005D4F22" w:rsidP="005D4F22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VIII</w:t>
      </w:r>
    </w:p>
    <w:p w14:paraId="208D3FD6" w14:textId="77777777" w:rsidR="005D4F22" w:rsidRPr="00F2015E" w:rsidRDefault="005D4F22" w:rsidP="005D4F22"/>
    <w:p w14:paraId="65D6BF25" w14:textId="77777777" w:rsidR="005D4F22" w:rsidRDefault="005D4F22" w:rsidP="005D4F22">
      <w:pPr>
        <w:jc w:val="both"/>
      </w:pPr>
      <w:r>
        <w:rPr>
          <w:rFonts w:ascii="Arial" w:hAnsi="Arial" w:cs="Arial"/>
          <w:sz w:val="22"/>
          <w:szCs w:val="22"/>
        </w:rPr>
        <w:t>1) Pachtýř bere na vědomí a je srozuměn s tím, že pozemky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které jsou předmětem pachtu dle této smlouvy, mohou být propachtovatelem převedeny na třetí osoby v souladu s jeho dispozičním oprávněním. V případě změny vlastnictví platí ustanovení § 2221 a § 2222 OZ.</w:t>
      </w:r>
    </w:p>
    <w:p w14:paraId="7A6FD670" w14:textId="77777777" w:rsidR="005D4F22" w:rsidRDefault="005D4F22" w:rsidP="005D4F2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828B63" w14:textId="39216A01" w:rsidR="005D4F22" w:rsidRPr="00E40134" w:rsidRDefault="00E40134" w:rsidP="00E40134">
      <w:pPr>
        <w:jc w:val="both"/>
        <w:rPr>
          <w:rFonts w:ascii="Arial" w:hAnsi="Arial" w:cs="Arial"/>
          <w:sz w:val="22"/>
          <w:szCs w:val="22"/>
        </w:rPr>
      </w:pPr>
      <w:r w:rsidRPr="00E40134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="005D4F22" w:rsidRPr="00E40134">
        <w:rPr>
          <w:rFonts w:ascii="Arial" w:hAnsi="Arial" w:cs="Arial"/>
          <w:sz w:val="22"/>
          <w:szCs w:val="22"/>
        </w:rPr>
        <w:t>Pachtýř bere na vědomí a je srozuměn s tím, že k pozemkům</w:t>
      </w:r>
      <w:r w:rsidR="005D4F22" w:rsidRPr="00E40134">
        <w:rPr>
          <w:rFonts w:ascii="Arial" w:hAnsi="Arial" w:cs="Arial"/>
          <w:i/>
          <w:sz w:val="22"/>
          <w:szCs w:val="22"/>
        </w:rPr>
        <w:t>,</w:t>
      </w:r>
      <w:r w:rsidR="005D4F22" w:rsidRPr="00E40134">
        <w:rPr>
          <w:rFonts w:ascii="Arial" w:hAnsi="Arial" w:cs="Arial"/>
          <w:sz w:val="22"/>
          <w:szCs w:val="22"/>
        </w:rPr>
        <w:t xml:space="preserve"> které jsou předmětem pachtu dle této smlouvy, nemá zajištěn přístup z v terénu existující komunikace a tuto smlouvu uzavírá s tím, že si přístup zajistí bez toho, aby mohl požadovat po propachtovateli jakékoli plnění.</w:t>
      </w:r>
    </w:p>
    <w:p w14:paraId="2797FACF" w14:textId="77777777" w:rsidR="003D58AB" w:rsidRPr="00E40134" w:rsidRDefault="003D58AB" w:rsidP="00E40134"/>
    <w:p w14:paraId="3E2A22D1" w14:textId="77777777" w:rsidR="005D4F22" w:rsidRPr="0008253F" w:rsidRDefault="005D4F22" w:rsidP="005D4F22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IX</w:t>
      </w:r>
    </w:p>
    <w:p w14:paraId="71867B32" w14:textId="77777777" w:rsidR="005D4F22" w:rsidRDefault="005D4F22" w:rsidP="005D4F2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F31341C" w14:textId="77777777" w:rsidR="005D4F22" w:rsidRDefault="005D4F22" w:rsidP="005D4F22">
      <w:pPr>
        <w:pStyle w:val="Zkladntext22"/>
      </w:pPr>
      <w:r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4DCA253E" w14:textId="0C7DABA6" w:rsidR="00E40134" w:rsidRDefault="00E40134" w:rsidP="005D4F22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F3018B5" w14:textId="77777777" w:rsidR="00E02120" w:rsidRDefault="00E02120" w:rsidP="005D4F22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45D5ABB5" w14:textId="260319AE" w:rsidR="005D4F22" w:rsidRDefault="005D4F22" w:rsidP="005D4F22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</w:t>
      </w:r>
    </w:p>
    <w:p w14:paraId="39426887" w14:textId="43B0D7F0" w:rsidR="00E02120" w:rsidRDefault="00E02120" w:rsidP="00E02120"/>
    <w:p w14:paraId="31D3944C" w14:textId="77777777" w:rsidR="00E02120" w:rsidRPr="00247701" w:rsidRDefault="00E02120" w:rsidP="00E02120">
      <w:pPr>
        <w:pStyle w:val="adresa"/>
        <w:tabs>
          <w:tab w:val="clear" w:pos="3402"/>
          <w:tab w:val="clear" w:pos="6237"/>
          <w:tab w:val="left" w:pos="284"/>
        </w:tabs>
        <w:rPr>
          <w:rFonts w:ascii="Arial" w:hAnsi="Arial" w:cs="Arial"/>
          <w:bCs/>
          <w:sz w:val="22"/>
          <w:szCs w:val="22"/>
          <w:lang w:eastAsia="cs-CZ"/>
        </w:rPr>
      </w:pPr>
      <w:r w:rsidRPr="00215BC9">
        <w:rPr>
          <w:rFonts w:ascii="Arial" w:hAnsi="Arial" w:cs="Arial"/>
          <w:iCs/>
          <w:sz w:val="22"/>
          <w:szCs w:val="22"/>
        </w:rPr>
        <w:t xml:space="preserve">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</w:t>
      </w:r>
      <w:r w:rsidRPr="00215BC9">
        <w:rPr>
          <w:rFonts w:ascii="Arial" w:hAnsi="Arial" w:cs="Arial"/>
          <w:iCs/>
          <w:sz w:val="22"/>
          <w:szCs w:val="22"/>
        </w:rPr>
        <w:br/>
        <w:t xml:space="preserve">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</w:t>
      </w:r>
      <w:r w:rsidRPr="00215BC9">
        <w:rPr>
          <w:rFonts w:ascii="Arial" w:hAnsi="Arial" w:cs="Arial"/>
          <w:iCs/>
          <w:sz w:val="22"/>
          <w:szCs w:val="22"/>
        </w:rPr>
        <w:lastRenderedPageBreak/>
        <w:t>skartační lhůty ve smyslu § 2 písm. s) zákona č. 499/2004 Sb. o archivnictví a spisové službě a o změně některých zákonů, ve znění pozdějších předpisů.</w:t>
      </w:r>
    </w:p>
    <w:p w14:paraId="2728307B" w14:textId="77777777" w:rsidR="00F5472B" w:rsidRDefault="00F5472B" w:rsidP="00E02120"/>
    <w:p w14:paraId="53BE8344" w14:textId="77777777" w:rsidR="00F5472B" w:rsidRPr="00E02120" w:rsidRDefault="00F5472B" w:rsidP="00E02120"/>
    <w:p w14:paraId="0D7B3010" w14:textId="77777777" w:rsidR="00E02120" w:rsidRDefault="00E02120" w:rsidP="00E02120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XI</w:t>
      </w:r>
    </w:p>
    <w:p w14:paraId="31292A94" w14:textId="77777777" w:rsidR="005D4F22" w:rsidRDefault="005D4F22" w:rsidP="005D4F2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35331DB" w14:textId="77777777" w:rsidR="005D4F22" w:rsidRDefault="005D4F22" w:rsidP="005D4F22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9AC59F9" w14:textId="77777777" w:rsidR="005D4F22" w:rsidRDefault="005D4F22" w:rsidP="005D4F2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04A73B" w14:textId="77777777" w:rsidR="005D4F22" w:rsidRDefault="005D4F22" w:rsidP="005D4F22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732AC22F" w14:textId="77777777" w:rsidR="00E02120" w:rsidRDefault="00E02120" w:rsidP="005D4F2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57D75BF" w14:textId="77777777" w:rsidR="00E02120" w:rsidRDefault="00E02120" w:rsidP="005D4F2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DA61345" w14:textId="4A687C82" w:rsidR="005D4F22" w:rsidRDefault="005D4F22" w:rsidP="005D4F22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XI</w:t>
      </w:r>
      <w:r w:rsidR="00E02120">
        <w:rPr>
          <w:rFonts w:ascii="Arial" w:hAnsi="Arial" w:cs="Arial"/>
          <w:b/>
          <w:sz w:val="22"/>
          <w:szCs w:val="22"/>
        </w:rPr>
        <w:t>I</w:t>
      </w:r>
    </w:p>
    <w:p w14:paraId="273E1429" w14:textId="77777777" w:rsidR="005D4F22" w:rsidRDefault="005D4F22" w:rsidP="005D4F2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398376C" w14:textId="77777777" w:rsidR="005D4F22" w:rsidRDefault="005D4F22" w:rsidP="005D4F22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pachtýř a jeden je určen pro propachtovatele.</w:t>
      </w:r>
    </w:p>
    <w:p w14:paraId="5192EB7F" w14:textId="77777777" w:rsidR="005D4F22" w:rsidRDefault="005D4F22" w:rsidP="005D4F2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C7926C4" w14:textId="77777777" w:rsidR="003D58AB" w:rsidRDefault="003D58AB" w:rsidP="005D4F22">
      <w:pPr>
        <w:pStyle w:val="Nadpis4"/>
        <w:rPr>
          <w:rFonts w:ascii="Arial" w:hAnsi="Arial" w:cs="Arial"/>
          <w:sz w:val="22"/>
          <w:szCs w:val="22"/>
        </w:rPr>
      </w:pPr>
    </w:p>
    <w:p w14:paraId="6FB83454" w14:textId="77777777" w:rsidR="003D58AB" w:rsidRDefault="003D58AB" w:rsidP="005D4F22">
      <w:pPr>
        <w:pStyle w:val="Nadpis4"/>
        <w:rPr>
          <w:rFonts w:ascii="Arial" w:hAnsi="Arial" w:cs="Arial"/>
          <w:sz w:val="22"/>
          <w:szCs w:val="22"/>
        </w:rPr>
      </w:pPr>
    </w:p>
    <w:p w14:paraId="0C6148FF" w14:textId="2E259DA6" w:rsidR="005D4F22" w:rsidRPr="0008253F" w:rsidRDefault="005D4F22" w:rsidP="005D4F22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XII</w:t>
      </w:r>
      <w:r w:rsidR="00E02120">
        <w:rPr>
          <w:rFonts w:ascii="Arial" w:hAnsi="Arial" w:cs="Arial"/>
          <w:sz w:val="22"/>
          <w:szCs w:val="22"/>
        </w:rPr>
        <w:t>I</w:t>
      </w:r>
    </w:p>
    <w:p w14:paraId="0B3A1AA8" w14:textId="77777777" w:rsidR="005D4F22" w:rsidRDefault="005D4F22" w:rsidP="005D4F22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044D8D1E" w14:textId="056ADC1C" w:rsidR="004D3EDB" w:rsidRDefault="004D3EDB" w:rsidP="004D3ED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>uvedeným v Čl. V této smlouvy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2E2B5E6A" w14:textId="77777777" w:rsidR="004D3EDB" w:rsidRDefault="004D3EDB" w:rsidP="004D3EDB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677FFAE1" w14:textId="33C86EAB" w:rsidR="00E02120" w:rsidRDefault="00E02120" w:rsidP="005D4F22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B4A634C" w14:textId="77777777" w:rsidR="00E02120" w:rsidRDefault="00E02120" w:rsidP="005D4F22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0BB1B41B" w14:textId="787AA922" w:rsidR="00905D22" w:rsidRPr="0008253F" w:rsidRDefault="00905D22" w:rsidP="00905D22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</w:t>
      </w:r>
      <w:r w:rsidR="00E02120">
        <w:rPr>
          <w:rFonts w:ascii="Arial" w:hAnsi="Arial" w:cs="Arial"/>
          <w:sz w:val="22"/>
          <w:szCs w:val="22"/>
        </w:rPr>
        <w:t>V</w:t>
      </w:r>
    </w:p>
    <w:p w14:paraId="3B573558" w14:textId="77777777" w:rsidR="00905D22" w:rsidRDefault="00905D22" w:rsidP="00905D2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BA63A07" w14:textId="77777777" w:rsidR="00905D22" w:rsidRDefault="00905D22" w:rsidP="00905D22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1ABD130" w14:textId="368B3055" w:rsidR="005D4F22" w:rsidRDefault="005D4F22" w:rsidP="005D4F22">
      <w:pPr>
        <w:jc w:val="both"/>
        <w:rPr>
          <w:rFonts w:ascii="Arial" w:hAnsi="Arial" w:cs="Arial"/>
          <w:sz w:val="22"/>
          <w:szCs w:val="22"/>
        </w:rPr>
      </w:pPr>
    </w:p>
    <w:p w14:paraId="33BD220F" w14:textId="77777777" w:rsidR="00905D22" w:rsidRDefault="00905D22" w:rsidP="005D4F22">
      <w:pPr>
        <w:jc w:val="both"/>
        <w:rPr>
          <w:rFonts w:ascii="Arial" w:hAnsi="Arial" w:cs="Arial"/>
          <w:sz w:val="22"/>
          <w:szCs w:val="22"/>
        </w:rPr>
      </w:pPr>
    </w:p>
    <w:p w14:paraId="4784EEB0" w14:textId="2D49F940" w:rsidR="005D4F22" w:rsidRPr="00BF3132" w:rsidRDefault="005D4F22" w:rsidP="005D4F2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4D3EDB">
        <w:rPr>
          <w:rFonts w:ascii="Arial" w:hAnsi="Arial" w:cs="Arial"/>
          <w:bCs/>
          <w:sz w:val="22"/>
          <w:szCs w:val="22"/>
        </w:rPr>
        <w:t>22. 5. 2024</w:t>
      </w:r>
    </w:p>
    <w:p w14:paraId="51C59E05" w14:textId="77777777" w:rsidR="005D4F22" w:rsidRDefault="005D4F22" w:rsidP="005D4F22">
      <w:pPr>
        <w:jc w:val="both"/>
        <w:rPr>
          <w:rFonts w:ascii="Arial" w:hAnsi="Arial" w:cs="Arial"/>
          <w:sz w:val="22"/>
          <w:szCs w:val="22"/>
        </w:rPr>
      </w:pPr>
    </w:p>
    <w:p w14:paraId="254BF59E" w14:textId="77777777" w:rsidR="005D4F22" w:rsidRPr="005F2C48" w:rsidRDefault="005D4F22" w:rsidP="005D4F22">
      <w:pPr>
        <w:jc w:val="both"/>
        <w:rPr>
          <w:rFonts w:ascii="Arial" w:hAnsi="Arial" w:cs="Arial"/>
          <w:sz w:val="22"/>
          <w:szCs w:val="22"/>
        </w:rPr>
      </w:pPr>
    </w:p>
    <w:p w14:paraId="6E1A7308" w14:textId="1CBF2FDF" w:rsidR="005D4F22" w:rsidRDefault="005D4F22" w:rsidP="005D4F22">
      <w:pPr>
        <w:jc w:val="both"/>
        <w:rPr>
          <w:rFonts w:ascii="Arial" w:hAnsi="Arial" w:cs="Arial"/>
          <w:sz w:val="22"/>
          <w:szCs w:val="22"/>
        </w:rPr>
      </w:pPr>
    </w:p>
    <w:p w14:paraId="6D9C2C8A" w14:textId="77777777" w:rsidR="00905D22" w:rsidRDefault="00905D22" w:rsidP="005D4F22">
      <w:pPr>
        <w:jc w:val="both"/>
        <w:rPr>
          <w:rFonts w:ascii="Arial" w:hAnsi="Arial" w:cs="Arial"/>
          <w:sz w:val="22"/>
          <w:szCs w:val="22"/>
        </w:rPr>
      </w:pPr>
    </w:p>
    <w:p w14:paraId="07BBE26F" w14:textId="77777777" w:rsidR="005D4F22" w:rsidRDefault="005D4F22" w:rsidP="005D4F22">
      <w:pPr>
        <w:jc w:val="both"/>
        <w:rPr>
          <w:rFonts w:ascii="Arial" w:hAnsi="Arial" w:cs="Arial"/>
          <w:sz w:val="22"/>
          <w:szCs w:val="22"/>
        </w:rPr>
      </w:pPr>
    </w:p>
    <w:p w14:paraId="4DEA7EC9" w14:textId="77777777" w:rsidR="005D4F22" w:rsidRPr="005F2C48" w:rsidRDefault="005D4F22" w:rsidP="005D4F2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5D4F22" w:rsidRPr="00D53A64" w14:paraId="58AF3B28" w14:textId="77777777" w:rsidTr="00D75612">
        <w:tc>
          <w:tcPr>
            <w:tcW w:w="5843" w:type="dxa"/>
            <w:shd w:val="clear" w:color="000000" w:fill="auto"/>
          </w:tcPr>
          <w:p w14:paraId="380EC348" w14:textId="77777777" w:rsidR="005D4F22" w:rsidRPr="00D53A64" w:rsidRDefault="005D4F22" w:rsidP="00D75612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296667F7" w14:textId="77777777" w:rsidR="005D4F22" w:rsidRPr="00D53A64" w:rsidRDefault="005D4F22" w:rsidP="00D7561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5D4F22" w:rsidRPr="00D53A64" w14:paraId="5C45A228" w14:textId="77777777" w:rsidTr="00D75612">
        <w:tc>
          <w:tcPr>
            <w:tcW w:w="5843" w:type="dxa"/>
            <w:shd w:val="clear" w:color="000000" w:fill="auto"/>
          </w:tcPr>
          <w:p w14:paraId="557D51DC" w14:textId="77777777" w:rsidR="005D4F22" w:rsidRPr="00D53A64" w:rsidRDefault="005D4F22" w:rsidP="00D75612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43BA4714" w14:textId="7A4E5885" w:rsidR="005D4F22" w:rsidRPr="00026DFB" w:rsidRDefault="008C44AA" w:rsidP="00D75612">
            <w:pPr>
              <w:pStyle w:val="Zkladntext"/>
              <w:rPr>
                <w:rFonts w:ascii="Arial" w:hAnsi="Arial" w:cs="Arial"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sz w:val="22"/>
                <w:szCs w:val="22"/>
              </w:rPr>
              <w:t>Slavomír Chrást</w:t>
            </w:r>
          </w:p>
        </w:tc>
      </w:tr>
      <w:tr w:rsidR="005D4F22" w:rsidRPr="00D53A64" w14:paraId="3C3F62EE" w14:textId="77777777" w:rsidTr="00D75612">
        <w:tc>
          <w:tcPr>
            <w:tcW w:w="5843" w:type="dxa"/>
            <w:shd w:val="clear" w:color="000000" w:fill="auto"/>
          </w:tcPr>
          <w:p w14:paraId="766AB4D7" w14:textId="77777777" w:rsidR="005D4F22" w:rsidRPr="00D53A64" w:rsidRDefault="005D4F22" w:rsidP="00D75612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4789" w:type="dxa"/>
            <w:shd w:val="clear" w:color="000000" w:fill="auto"/>
          </w:tcPr>
          <w:p w14:paraId="76A893EA" w14:textId="586192B3" w:rsidR="005D4F22" w:rsidRPr="00D53A64" w:rsidRDefault="005D4F22" w:rsidP="00D7561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22" w:rsidRPr="00D53A64" w14:paraId="7B7434F5" w14:textId="77777777" w:rsidTr="00D75612">
        <w:tc>
          <w:tcPr>
            <w:tcW w:w="5843" w:type="dxa"/>
            <w:shd w:val="clear" w:color="000000" w:fill="auto"/>
          </w:tcPr>
          <w:p w14:paraId="4C9401A6" w14:textId="77777777" w:rsidR="005D4F22" w:rsidRDefault="005D4F22" w:rsidP="00D75612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66C32617" w14:textId="38AC7F14" w:rsidR="00E40134" w:rsidRPr="00D53A64" w:rsidRDefault="00E40134" w:rsidP="00D75612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9" w:type="dxa"/>
            <w:shd w:val="clear" w:color="000000" w:fill="auto"/>
          </w:tcPr>
          <w:p w14:paraId="36A508FC" w14:textId="77777777" w:rsidR="005D4F22" w:rsidRDefault="005D4F22" w:rsidP="00D7561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2F23F0C" w14:textId="77777777" w:rsidR="00E40134" w:rsidRDefault="00E40134" w:rsidP="00D7561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7993431" w14:textId="74566F21" w:rsidR="00E40134" w:rsidRPr="00D53A64" w:rsidRDefault="00E40134" w:rsidP="00D7561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F22" w:rsidRPr="00D53A64" w14:paraId="5920BC8F" w14:textId="77777777" w:rsidTr="00D75612">
        <w:tc>
          <w:tcPr>
            <w:tcW w:w="5843" w:type="dxa"/>
            <w:shd w:val="clear" w:color="000000" w:fill="auto"/>
          </w:tcPr>
          <w:p w14:paraId="34209031" w14:textId="77777777" w:rsidR="005D4F22" w:rsidRPr="00D53A64" w:rsidRDefault="005D4F22" w:rsidP="00D75612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iCs/>
                <w:sz w:val="22"/>
                <w:szCs w:val="22"/>
              </w:rPr>
              <w:t>propachtovatel</w:t>
            </w:r>
          </w:p>
        </w:tc>
        <w:tc>
          <w:tcPr>
            <w:tcW w:w="4789" w:type="dxa"/>
            <w:shd w:val="clear" w:color="000000" w:fill="auto"/>
          </w:tcPr>
          <w:p w14:paraId="604884EF" w14:textId="300B65D5" w:rsidR="005D4F22" w:rsidRPr="00D53A64" w:rsidRDefault="00E40134" w:rsidP="00D75612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57EE9DD4" w14:textId="77777777" w:rsidR="005D4F22" w:rsidRPr="005F2C48" w:rsidRDefault="005D4F22" w:rsidP="005D4F22">
      <w:pPr>
        <w:jc w:val="both"/>
        <w:rPr>
          <w:rFonts w:ascii="Arial" w:hAnsi="Arial" w:cs="Arial"/>
          <w:sz w:val="22"/>
          <w:szCs w:val="22"/>
        </w:rPr>
      </w:pPr>
    </w:p>
    <w:p w14:paraId="19776629" w14:textId="1496FFD9" w:rsidR="00E40134" w:rsidRDefault="00E40134" w:rsidP="005D4F22">
      <w:pPr>
        <w:jc w:val="both"/>
        <w:rPr>
          <w:rFonts w:ascii="Arial" w:hAnsi="Arial" w:cs="Arial"/>
        </w:rPr>
      </w:pPr>
    </w:p>
    <w:p w14:paraId="7FE1F036" w14:textId="19C9334B" w:rsidR="00E40134" w:rsidRDefault="00E40134" w:rsidP="005D4F22">
      <w:pPr>
        <w:jc w:val="both"/>
        <w:rPr>
          <w:rFonts w:ascii="Arial" w:hAnsi="Arial" w:cs="Arial"/>
        </w:rPr>
      </w:pPr>
    </w:p>
    <w:p w14:paraId="56C17878" w14:textId="77777777" w:rsidR="00E40134" w:rsidRPr="005F2C48" w:rsidRDefault="00E40134" w:rsidP="005D4F22">
      <w:pPr>
        <w:jc w:val="both"/>
        <w:rPr>
          <w:rFonts w:ascii="Arial" w:hAnsi="Arial" w:cs="Arial"/>
        </w:rPr>
      </w:pPr>
    </w:p>
    <w:p w14:paraId="71D425D2" w14:textId="1F504BDD" w:rsidR="005D4F22" w:rsidRDefault="005D4F22" w:rsidP="005D4F22">
      <w:pPr>
        <w:jc w:val="both"/>
        <w:rPr>
          <w:rFonts w:ascii="Arial" w:hAnsi="Arial" w:cs="Arial"/>
          <w:iCs/>
        </w:rPr>
      </w:pPr>
      <w:r w:rsidRPr="00DE2628">
        <w:rPr>
          <w:rFonts w:ascii="Arial" w:hAnsi="Arial" w:cs="Arial"/>
        </w:rPr>
        <w:t xml:space="preserve">Za správnost: </w:t>
      </w:r>
      <w:r w:rsidRPr="00DE2628">
        <w:rPr>
          <w:rFonts w:ascii="Arial" w:hAnsi="Arial" w:cs="Arial"/>
          <w:iCs/>
        </w:rPr>
        <w:t xml:space="preserve">Ing. </w:t>
      </w:r>
      <w:r w:rsidR="00E40134">
        <w:rPr>
          <w:rFonts w:ascii="Arial" w:hAnsi="Arial" w:cs="Arial"/>
          <w:iCs/>
        </w:rPr>
        <w:t>Dagmar Malá</w:t>
      </w:r>
      <w:r w:rsidRPr="00DE2628">
        <w:rPr>
          <w:rFonts w:ascii="Arial" w:hAnsi="Arial" w:cs="Arial"/>
          <w:iCs/>
        </w:rPr>
        <w:t xml:space="preserve"> </w:t>
      </w:r>
    </w:p>
    <w:p w14:paraId="72BBE9CA" w14:textId="77777777" w:rsidR="005D4F22" w:rsidRPr="00DE2628" w:rsidRDefault="005D4F22" w:rsidP="005D4F22">
      <w:pPr>
        <w:jc w:val="both"/>
        <w:rPr>
          <w:rFonts w:ascii="Arial" w:hAnsi="Arial" w:cs="Arial"/>
          <w:iCs/>
        </w:rPr>
      </w:pPr>
    </w:p>
    <w:p w14:paraId="2E04D801" w14:textId="30EDD5A5" w:rsidR="005D4F22" w:rsidRPr="002C6433" w:rsidRDefault="005D4F22" w:rsidP="005D4F22">
      <w:pPr>
        <w:jc w:val="both"/>
        <w:rPr>
          <w:rFonts w:ascii="Arial" w:hAnsi="Arial" w:cs="Arial"/>
        </w:rPr>
      </w:pPr>
      <w:r w:rsidRPr="00DE2628">
        <w:rPr>
          <w:rFonts w:ascii="Arial" w:hAnsi="Arial" w:cs="Arial"/>
        </w:rPr>
        <w:t>.................................</w:t>
      </w:r>
      <w:r w:rsidR="00E40134">
        <w:rPr>
          <w:rFonts w:ascii="Arial" w:hAnsi="Arial" w:cs="Arial"/>
        </w:rPr>
        <w:t>...................</w:t>
      </w:r>
    </w:p>
    <w:p w14:paraId="3D3D90CB" w14:textId="77777777" w:rsidR="005D4F22" w:rsidRDefault="005D4F22" w:rsidP="00D0140B">
      <w:pPr>
        <w:jc w:val="both"/>
        <w:rPr>
          <w:rFonts w:ascii="Arial" w:hAnsi="Arial" w:cs="Arial"/>
          <w:sz w:val="22"/>
          <w:szCs w:val="22"/>
        </w:rPr>
      </w:pPr>
    </w:p>
    <w:p w14:paraId="289B85DC" w14:textId="77777777" w:rsidR="004D3EDB" w:rsidRPr="00012682" w:rsidRDefault="004D3EDB" w:rsidP="004D3EDB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012682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716B0144" w14:textId="77777777" w:rsidR="004D3EDB" w:rsidRPr="00012682" w:rsidRDefault="004D3EDB" w:rsidP="004D3EDB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311C7E52" w14:textId="77777777" w:rsidR="004D3EDB" w:rsidRPr="00012682" w:rsidRDefault="004D3EDB" w:rsidP="004D3EDB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2D26E9EE" w14:textId="77777777" w:rsidR="004D3EDB" w:rsidRPr="00012682" w:rsidRDefault="004D3EDB" w:rsidP="004D3EDB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8E916A5" w14:textId="77777777" w:rsidR="004D3EDB" w:rsidRPr="00012682" w:rsidRDefault="004D3EDB" w:rsidP="004D3EDB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11680D9" w14:textId="77777777" w:rsidR="004D3EDB" w:rsidRPr="00012682" w:rsidRDefault="004D3EDB" w:rsidP="004D3EDB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………………………</w:t>
      </w:r>
    </w:p>
    <w:p w14:paraId="4759D48E" w14:textId="77777777" w:rsidR="004D3EDB" w:rsidRPr="00012682" w:rsidRDefault="004D3EDB" w:rsidP="004D3EDB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C3C2F9D" w14:textId="77777777" w:rsidR="004D3EDB" w:rsidRPr="002C6433" w:rsidRDefault="004D3EDB" w:rsidP="004D3EDB">
      <w:pPr>
        <w:ind w:left="-284"/>
        <w:jc w:val="both"/>
        <w:rPr>
          <w:rFonts w:ascii="Arial" w:hAnsi="Arial" w:cs="Arial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CDC82E4" w14:textId="77777777" w:rsidR="005D4F22" w:rsidRDefault="005D4F22" w:rsidP="00D0140B">
      <w:pPr>
        <w:jc w:val="both"/>
        <w:rPr>
          <w:rFonts w:ascii="Arial" w:hAnsi="Arial" w:cs="Arial"/>
          <w:sz w:val="22"/>
          <w:szCs w:val="22"/>
        </w:rPr>
      </w:pPr>
    </w:p>
    <w:sectPr w:rsidR="005D4F22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85F0" w14:textId="77777777" w:rsidR="00AA7DE6" w:rsidRDefault="00AA7DE6">
      <w:r>
        <w:separator/>
      </w:r>
    </w:p>
  </w:endnote>
  <w:endnote w:type="continuationSeparator" w:id="0">
    <w:p w14:paraId="276865AF" w14:textId="77777777" w:rsidR="00AA7DE6" w:rsidRDefault="00A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3107" w14:textId="77777777" w:rsidR="00AA7DE6" w:rsidRDefault="00AA7DE6">
      <w:r>
        <w:separator/>
      </w:r>
    </w:p>
  </w:footnote>
  <w:footnote w:type="continuationSeparator" w:id="0">
    <w:p w14:paraId="58C31F7F" w14:textId="77777777" w:rsidR="00AA7DE6" w:rsidRDefault="00A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9427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4BD6C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2965">
    <w:abstractNumId w:val="0"/>
  </w:num>
  <w:num w:numId="2" w16cid:durableId="1202522150">
    <w:abstractNumId w:val="1"/>
  </w:num>
  <w:num w:numId="3" w16cid:durableId="1930262433">
    <w:abstractNumId w:val="2"/>
  </w:num>
  <w:num w:numId="4" w16cid:durableId="1347097318">
    <w:abstractNumId w:val="3"/>
  </w:num>
  <w:num w:numId="5" w16cid:durableId="630091523">
    <w:abstractNumId w:val="4"/>
  </w:num>
  <w:num w:numId="6" w16cid:durableId="1680693612">
    <w:abstractNumId w:val="5"/>
  </w:num>
  <w:num w:numId="7" w16cid:durableId="1565261896">
    <w:abstractNumId w:val="6"/>
  </w:num>
  <w:num w:numId="8" w16cid:durableId="1240407872">
    <w:abstractNumId w:val="7"/>
  </w:num>
  <w:num w:numId="9" w16cid:durableId="1724058530">
    <w:abstractNumId w:val="18"/>
  </w:num>
  <w:num w:numId="10" w16cid:durableId="2050884237">
    <w:abstractNumId w:val="20"/>
  </w:num>
  <w:num w:numId="11" w16cid:durableId="1476028770">
    <w:abstractNumId w:val="16"/>
  </w:num>
  <w:num w:numId="12" w16cid:durableId="504324972">
    <w:abstractNumId w:val="10"/>
  </w:num>
  <w:num w:numId="13" w16cid:durableId="1901087887">
    <w:abstractNumId w:val="15"/>
  </w:num>
  <w:num w:numId="14" w16cid:durableId="700933019">
    <w:abstractNumId w:val="23"/>
  </w:num>
  <w:num w:numId="15" w16cid:durableId="1866670261">
    <w:abstractNumId w:val="25"/>
  </w:num>
  <w:num w:numId="16" w16cid:durableId="947858721">
    <w:abstractNumId w:val="8"/>
  </w:num>
  <w:num w:numId="17" w16cid:durableId="648899557">
    <w:abstractNumId w:val="12"/>
  </w:num>
  <w:num w:numId="18" w16cid:durableId="1237351919">
    <w:abstractNumId w:val="22"/>
  </w:num>
  <w:num w:numId="19" w16cid:durableId="303967281">
    <w:abstractNumId w:val="13"/>
  </w:num>
  <w:num w:numId="20" w16cid:durableId="1921598403">
    <w:abstractNumId w:val="21"/>
  </w:num>
  <w:num w:numId="21" w16cid:durableId="1962955613">
    <w:abstractNumId w:val="24"/>
  </w:num>
  <w:num w:numId="22" w16cid:durableId="1686667013">
    <w:abstractNumId w:val="19"/>
  </w:num>
  <w:num w:numId="23" w16cid:durableId="1095323842">
    <w:abstractNumId w:val="17"/>
  </w:num>
  <w:num w:numId="24" w16cid:durableId="765686752">
    <w:abstractNumId w:val="14"/>
  </w:num>
  <w:num w:numId="25" w16cid:durableId="2044286479">
    <w:abstractNumId w:val="28"/>
  </w:num>
  <w:num w:numId="26" w16cid:durableId="1333484307">
    <w:abstractNumId w:val="27"/>
  </w:num>
  <w:num w:numId="27" w16cid:durableId="634871785">
    <w:abstractNumId w:val="9"/>
  </w:num>
  <w:num w:numId="28" w16cid:durableId="1446195752">
    <w:abstractNumId w:val="26"/>
  </w:num>
  <w:num w:numId="29" w16cid:durableId="2024932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4774D"/>
    <w:rsid w:val="000541F7"/>
    <w:rsid w:val="0008253F"/>
    <w:rsid w:val="0008375D"/>
    <w:rsid w:val="00093114"/>
    <w:rsid w:val="0009758D"/>
    <w:rsid w:val="000B1BB4"/>
    <w:rsid w:val="000C3079"/>
    <w:rsid w:val="000E254F"/>
    <w:rsid w:val="000E5184"/>
    <w:rsid w:val="00114A87"/>
    <w:rsid w:val="00123041"/>
    <w:rsid w:val="00136BC5"/>
    <w:rsid w:val="00142236"/>
    <w:rsid w:val="001636C5"/>
    <w:rsid w:val="001776AA"/>
    <w:rsid w:val="001A2161"/>
    <w:rsid w:val="001C2A60"/>
    <w:rsid w:val="001D5DD5"/>
    <w:rsid w:val="001E4059"/>
    <w:rsid w:val="001F20A1"/>
    <w:rsid w:val="001F2397"/>
    <w:rsid w:val="00201F8B"/>
    <w:rsid w:val="00202BB2"/>
    <w:rsid w:val="00226211"/>
    <w:rsid w:val="00243A81"/>
    <w:rsid w:val="00252EFC"/>
    <w:rsid w:val="0025793B"/>
    <w:rsid w:val="0029514F"/>
    <w:rsid w:val="002C6433"/>
    <w:rsid w:val="002D2AD5"/>
    <w:rsid w:val="002D6957"/>
    <w:rsid w:val="002F1E2D"/>
    <w:rsid w:val="00304827"/>
    <w:rsid w:val="0033787B"/>
    <w:rsid w:val="00385777"/>
    <w:rsid w:val="003942C3"/>
    <w:rsid w:val="003A187D"/>
    <w:rsid w:val="003B09D6"/>
    <w:rsid w:val="003B607D"/>
    <w:rsid w:val="003D58AB"/>
    <w:rsid w:val="004040EA"/>
    <w:rsid w:val="004636AF"/>
    <w:rsid w:val="004B4A35"/>
    <w:rsid w:val="004C0CFE"/>
    <w:rsid w:val="004D3EDB"/>
    <w:rsid w:val="004F028D"/>
    <w:rsid w:val="00513EB1"/>
    <w:rsid w:val="00516367"/>
    <w:rsid w:val="00522DEE"/>
    <w:rsid w:val="00544774"/>
    <w:rsid w:val="005509A0"/>
    <w:rsid w:val="0055149A"/>
    <w:rsid w:val="005968A5"/>
    <w:rsid w:val="005A7FD6"/>
    <w:rsid w:val="005B6236"/>
    <w:rsid w:val="005D4F22"/>
    <w:rsid w:val="005F0F2C"/>
    <w:rsid w:val="005F7867"/>
    <w:rsid w:val="00600676"/>
    <w:rsid w:val="0060159E"/>
    <w:rsid w:val="00601886"/>
    <w:rsid w:val="00606E66"/>
    <w:rsid w:val="006247B3"/>
    <w:rsid w:val="00661100"/>
    <w:rsid w:val="00662C86"/>
    <w:rsid w:val="00693274"/>
    <w:rsid w:val="006954CA"/>
    <w:rsid w:val="006A02C2"/>
    <w:rsid w:val="006A3C3B"/>
    <w:rsid w:val="006C61DE"/>
    <w:rsid w:val="006F6B14"/>
    <w:rsid w:val="007101F4"/>
    <w:rsid w:val="00790264"/>
    <w:rsid w:val="007B48BD"/>
    <w:rsid w:val="008076AB"/>
    <w:rsid w:val="008436C6"/>
    <w:rsid w:val="00846925"/>
    <w:rsid w:val="00854379"/>
    <w:rsid w:val="008563C7"/>
    <w:rsid w:val="008A6A0F"/>
    <w:rsid w:val="008C44AA"/>
    <w:rsid w:val="008D5426"/>
    <w:rsid w:val="008E1147"/>
    <w:rsid w:val="008E23C9"/>
    <w:rsid w:val="008E34EF"/>
    <w:rsid w:val="008F0B76"/>
    <w:rsid w:val="00905D22"/>
    <w:rsid w:val="009131DA"/>
    <w:rsid w:val="00982A7E"/>
    <w:rsid w:val="00993CD8"/>
    <w:rsid w:val="009A1AF4"/>
    <w:rsid w:val="009B2628"/>
    <w:rsid w:val="009C3BE9"/>
    <w:rsid w:val="009C5CF1"/>
    <w:rsid w:val="009D5166"/>
    <w:rsid w:val="009D7CCF"/>
    <w:rsid w:val="009E3913"/>
    <w:rsid w:val="009F1FD3"/>
    <w:rsid w:val="00A71611"/>
    <w:rsid w:val="00A717E3"/>
    <w:rsid w:val="00A77FA8"/>
    <w:rsid w:val="00AA7DE6"/>
    <w:rsid w:val="00AC38CC"/>
    <w:rsid w:val="00AC7F5F"/>
    <w:rsid w:val="00AE3284"/>
    <w:rsid w:val="00AF441F"/>
    <w:rsid w:val="00AF5363"/>
    <w:rsid w:val="00AF5649"/>
    <w:rsid w:val="00B206A3"/>
    <w:rsid w:val="00B316B8"/>
    <w:rsid w:val="00B319DF"/>
    <w:rsid w:val="00B322AC"/>
    <w:rsid w:val="00B370F9"/>
    <w:rsid w:val="00B450CC"/>
    <w:rsid w:val="00B467CA"/>
    <w:rsid w:val="00B54062"/>
    <w:rsid w:val="00B60170"/>
    <w:rsid w:val="00B64924"/>
    <w:rsid w:val="00B848F3"/>
    <w:rsid w:val="00B9539A"/>
    <w:rsid w:val="00BA5DB5"/>
    <w:rsid w:val="00BB3212"/>
    <w:rsid w:val="00BD0B1A"/>
    <w:rsid w:val="00BE2E2E"/>
    <w:rsid w:val="00BF5327"/>
    <w:rsid w:val="00BF730B"/>
    <w:rsid w:val="00C33E72"/>
    <w:rsid w:val="00C674D9"/>
    <w:rsid w:val="00C85C23"/>
    <w:rsid w:val="00C96AB9"/>
    <w:rsid w:val="00CC22EA"/>
    <w:rsid w:val="00CD713B"/>
    <w:rsid w:val="00CD76A4"/>
    <w:rsid w:val="00CE339C"/>
    <w:rsid w:val="00D00F69"/>
    <w:rsid w:val="00D0140B"/>
    <w:rsid w:val="00D03ADA"/>
    <w:rsid w:val="00D23893"/>
    <w:rsid w:val="00D25764"/>
    <w:rsid w:val="00D411FA"/>
    <w:rsid w:val="00D46D7F"/>
    <w:rsid w:val="00D70301"/>
    <w:rsid w:val="00D77CDF"/>
    <w:rsid w:val="00D84FD7"/>
    <w:rsid w:val="00D86637"/>
    <w:rsid w:val="00DC58DE"/>
    <w:rsid w:val="00DD1396"/>
    <w:rsid w:val="00DD5B73"/>
    <w:rsid w:val="00DF73BA"/>
    <w:rsid w:val="00E02120"/>
    <w:rsid w:val="00E02757"/>
    <w:rsid w:val="00E05754"/>
    <w:rsid w:val="00E07738"/>
    <w:rsid w:val="00E2175F"/>
    <w:rsid w:val="00E40134"/>
    <w:rsid w:val="00E5414A"/>
    <w:rsid w:val="00E54424"/>
    <w:rsid w:val="00E62CCA"/>
    <w:rsid w:val="00E9216F"/>
    <w:rsid w:val="00ED0C59"/>
    <w:rsid w:val="00EF49C4"/>
    <w:rsid w:val="00F03578"/>
    <w:rsid w:val="00F142FD"/>
    <w:rsid w:val="00F2015E"/>
    <w:rsid w:val="00F34344"/>
    <w:rsid w:val="00F5472B"/>
    <w:rsid w:val="00F95FB8"/>
    <w:rsid w:val="00FA2989"/>
    <w:rsid w:val="00FB3F7C"/>
    <w:rsid w:val="00FC35C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2CFCD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120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5D4F22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2327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2024-05-22T07:11:00Z</dcterms:created>
  <dcterms:modified xsi:type="dcterms:W3CDTF">2024-05-22T07:17:00Z</dcterms:modified>
</cp:coreProperties>
</file>