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5874385</wp:posOffset>
                </wp:positionH>
                <wp:positionV relativeFrom="paragraph">
                  <wp:posOffset>12700</wp:posOffset>
                </wp:positionV>
                <wp:extent cx="591185" cy="1282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2024003933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2.55000000000001pt;margin-top:1.pt;width:46.550000000000004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2024003933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3023870</wp:posOffset>
                </wp:positionV>
                <wp:extent cx="1618615" cy="128016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1280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IČO: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1.900000000000006pt;margin-top:238.09999999999999pt;width:127.45pt;height:100.8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Jméno: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Sídlo: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Jednající: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Kontaktní osoba: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Zápis v OR: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6"/>
          <w:b/>
          <w:bCs/>
          <w:sz w:val="20"/>
          <w:szCs w:val="20"/>
        </w:rPr>
        <w:t>SMLOUVA O DÍLO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Style w:val="CharStyle6"/>
        </w:rPr>
        <w:t>podle ust. § 2586 a násl. občanského zákoníku, uzavřená mezi</w:t>
      </w:r>
    </w:p>
    <w:tbl>
      <w:tblPr>
        <w:tblOverlap w:val="never"/>
        <w:jc w:val="center"/>
        <w:tblLayout w:type="fixed"/>
      </w:tblPr>
      <w:tblGrid>
        <w:gridCol w:w="2621"/>
        <w:gridCol w:w="5952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hd w:val="clear" w:color="auto" w:fill="000000"/>
              </w:rPr>
              <w:t>.......​</w:t>
            </w:r>
            <w:r>
              <w:rPr>
                <w:rStyle w:val="CharStyle15"/>
                <w:spacing w:val="5"/>
                <w:shd w:val="clear" w:color="auto" w:fill="000000"/>
              </w:rPr>
              <w:t>.........</w:t>
            </w:r>
            <w:r>
              <w:rPr>
                <w:rStyle w:val="CharStyle15"/>
                <w:spacing w:val="6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​..</w:t>
            </w:r>
            <w:r>
              <w:rPr>
                <w:rStyle w:val="CharStyle15"/>
                <w:spacing w:val="1"/>
                <w:shd w:val="clear" w:color="auto" w:fill="000000"/>
              </w:rPr>
              <w:t>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​...</w:t>
            </w:r>
            <w:r>
              <w:rPr>
                <w:rStyle w:val="CharStyle1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7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​.......​</w:t>
            </w:r>
            <w:r>
              <w:rPr>
                <w:rStyle w:val="CharStyle15"/>
                <w:spacing w:val="6"/>
                <w:shd w:val="clear" w:color="auto" w:fill="000000"/>
              </w:rPr>
              <w:t>...</w:t>
            </w:r>
            <w:r>
              <w:rPr>
                <w:rStyle w:val="CharStyle15"/>
                <w:spacing w:val="7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​......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MONETA Money Bank, a.s„ č. ú. 117203514/0600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6"/>
        </w:rPr>
        <w:t xml:space="preserve">(dále jen </w:t>
      </w:r>
      <w:r>
        <w:rPr>
          <w:rStyle w:val="CharStyle6"/>
          <w:b/>
          <w:bCs/>
          <w:i/>
          <w:iCs/>
        </w:rPr>
        <w:t>„objednatel“)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6"/>
        </w:rPr>
        <w:t>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  <w:b/>
          <w:bCs/>
        </w:rPr>
        <w:t>PER4MANCE s.r.o.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Fišova 399/3, 602 00 Brno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Ing. Petr Maleňák, jednatel společnosti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  <w:shd w:val="clear" w:color="auto" w:fill="000000"/>
        </w:rPr>
        <w:t>.......​</w:t>
      </w:r>
      <w:r>
        <w:rPr>
          <w:rStyle w:val="CharStyle6"/>
          <w:spacing w:val="8"/>
          <w:shd w:val="clear" w:color="auto" w:fill="000000"/>
        </w:rPr>
        <w:t>....</w:t>
      </w:r>
      <w:r>
        <w:rPr>
          <w:rStyle w:val="CharStyle6"/>
          <w:spacing w:val="9"/>
          <w:shd w:val="clear" w:color="auto" w:fill="000000"/>
        </w:rPr>
        <w:t>.</w:t>
      </w:r>
      <w:r>
        <w:rPr>
          <w:rStyle w:val="CharStyle6"/>
          <w:shd w:val="clear" w:color="auto" w:fill="000000"/>
        </w:rPr>
        <w:t>​...</w:t>
      </w:r>
      <w:r>
        <w:rPr>
          <w:rStyle w:val="CharStyle6"/>
          <w:spacing w:val="1"/>
          <w:shd w:val="clear" w:color="auto" w:fill="000000"/>
        </w:rPr>
        <w:t>..........</w:t>
      </w:r>
      <w:r>
        <w:rPr>
          <w:rStyle w:val="CharStyle6"/>
          <w:shd w:val="clear" w:color="auto" w:fill="000000"/>
        </w:rPr>
        <w:t>​</w:t>
      </w:r>
      <w:r>
        <w:rPr>
          <w:rStyle w:val="CharStyle6"/>
          <w:spacing w:val="8"/>
          <w:shd w:val="clear" w:color="auto" w:fill="000000"/>
        </w:rPr>
        <w:t>...</w:t>
      </w:r>
      <w:r>
        <w:rPr>
          <w:rStyle w:val="CharStyle6"/>
          <w:spacing w:val="9"/>
          <w:shd w:val="clear" w:color="auto" w:fill="000000"/>
        </w:rPr>
        <w:t>..</w:t>
      </w:r>
      <w:r>
        <w:rPr>
          <w:rStyle w:val="CharStyle6"/>
          <w:shd w:val="clear" w:color="auto" w:fill="000000"/>
        </w:rPr>
        <w:t>​.......​.......​......</w:t>
      </w:r>
      <w:r>
        <w:rPr>
          <w:rStyle w:val="CharStyle6"/>
        </w:rPr>
        <w:t xml:space="preserve"> 60749024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CZ60749024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Krajský soud c Brně, spis, zn C19044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6"/>
        </w:rPr>
        <w:t xml:space="preserve">Komerční banka, č. ú. 7217750277/0100 </w:t>
      </w:r>
      <w:r>
        <w:rPr>
          <w:rStyle w:val="CharStyle6"/>
        </w:rPr>
        <w:t xml:space="preserve">(dále jen </w:t>
      </w:r>
      <w:r>
        <w:rPr>
          <w:rStyle w:val="CharStyle6"/>
          <w:b/>
          <w:bCs/>
          <w:i/>
          <w:iCs/>
        </w:rPr>
        <w:t>„zhotovitel )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0"/>
        <w:ind w:left="380" w:right="0" w:hanging="380"/>
        <w:jc w:val="both"/>
      </w:pPr>
      <w:r>
        <w:rPr>
          <w:rStyle w:val="CharStyle6"/>
        </w:rPr>
        <w:t>Zhotovitel je oprávněn zajišťovat technickou podporu k počítačovým programům NetFIow, a to v rozsahu: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0" w:val="left"/>
        </w:tabs>
        <w:bidi w:val="0"/>
        <w:spacing w:before="0" w:after="0"/>
        <w:ind w:left="0" w:right="0" w:firstLine="960"/>
        <w:jc w:val="both"/>
      </w:pPr>
      <w:r>
        <w:rPr>
          <w:rStyle w:val="CharStyle6"/>
          <w:b/>
          <w:bCs/>
        </w:rPr>
        <w:t>1Y Prgoress Flowmon ADS Standard Standard Support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0" w:val="left"/>
        </w:tabs>
        <w:bidi w:val="0"/>
        <w:spacing w:before="0" w:after="0"/>
        <w:ind w:left="0" w:right="0" w:firstLine="960"/>
        <w:jc w:val="both"/>
      </w:pPr>
      <w:r>
        <w:rPr>
          <w:rStyle w:val="CharStyle6"/>
          <w:b/>
          <w:bCs/>
        </w:rPr>
        <w:t>Flowmon Collector R1-1000 Replacement 1Y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0" w:val="left"/>
        </w:tabs>
        <w:bidi w:val="0"/>
        <w:spacing w:before="0" w:after="220"/>
        <w:ind w:left="0" w:right="0" w:firstLine="960"/>
        <w:jc w:val="both"/>
      </w:pPr>
      <w:r>
        <w:rPr>
          <w:rStyle w:val="CharStyle6"/>
          <w:b/>
          <w:bCs/>
        </w:rPr>
        <w:t>Flowmon R1-1000 Gold Support 1Y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220"/>
        <w:ind w:left="380" w:right="0" w:hanging="380"/>
        <w:jc w:val="both"/>
      </w:pPr>
      <w:r>
        <w:rPr>
          <w:rStyle w:val="CharStyle6"/>
        </w:rPr>
        <w:t>Objednatel je oprávněn užívat pro svoje potřeby počítačové programy podle čl. 1 této smlouvy. Děje se tak na základě příslušných licenčních smluv, uzavřených mezi objednatelem a oprávněným poskytovatelem příslušných licencí.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220"/>
        <w:ind w:left="380" w:right="0" w:hanging="380"/>
        <w:jc w:val="both"/>
      </w:pPr>
      <w:r>
        <w:rPr>
          <w:rStyle w:val="CharStyle6"/>
        </w:rPr>
        <w:t>Zhotovitel se zavazuje zajistit pro objednatele dílo ve formě technické podpory počítačových programů podle čl. 1 této smlouvy, čímž se rozumí umožnění přístupu k novým verzím těchto programů a k portálu výrobce pro řešení případných chyb těchto programů, a to nepřetržitě do 10. 3. 2025 ode dne splnění závazku zhotovitele k provedení díla podle čl. 5 této smlouvy. Zhotovitel se zavazuje tak učinit v rozsahu dle podmínek podpory příslušných programů ze strany jejich výrobce.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220" w:line="283" w:lineRule="auto"/>
        <w:ind w:left="380" w:right="0" w:hanging="380"/>
        <w:jc w:val="both"/>
      </w:pPr>
      <w:r>
        <w:rPr>
          <w:rStyle w:val="CharStyle6"/>
        </w:rPr>
        <w:t>Závazek zhotovitele k provedení díla podle čl. 3 této smlouvy se považuje za splněný po faktickém poskytnutí příslušných přístupových práv objednateli dnem předání a převzetí díla formou písemného předávacího protokolu, podepsaného oběma smluvními stranami.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Zhotovitel se zavazuje splnit svůj závazek k provedení díla podle čl. 3 této smlouvy ve lhůtě do 3 pracovních dní od účinnosti smlouvy. Místem splnění tohoto závazku zhotovitele je sídlo objednatele dle záhlaví k této smlouvě.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prodlení zhotovitele se splněním jeho závazku podle této smlouvy ve lhůtě podle čl. 5 této smlouvy se zhotovitel zavazuje zaplatit objednateli smluvní pokutu ve výši 0,1 % z ceny díla podle čl. 7 této smlouvy za každý započatý den prodlení. Pro případ tohoto prodlení zhotovitele o víc, než 10 dnů, je objednatel oprávněn od této smlouvy odstoupit.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after="0"/>
        <w:ind w:left="400" w:right="0" w:hanging="400"/>
        <w:jc w:val="both"/>
      </w:pPr>
      <w:r>
        <w:rPr>
          <w:rStyle w:val="CharStyle6"/>
        </w:rPr>
        <w:t>Objednatel se zavazuje zaplatit zhotoviteli za dílo podle čl. 3 této smlouvy paušální cenu díla ve výši: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6"/>
          <w:b/>
          <w:bCs/>
        </w:rPr>
        <w:t xml:space="preserve">205 980 </w:t>
      </w:r>
      <w:r>
        <w:rPr>
          <w:rStyle w:val="CharStyle6"/>
        </w:rPr>
        <w:t xml:space="preserve">Kč bez DPH, tj. </w:t>
      </w:r>
      <w:r>
        <w:rPr>
          <w:rStyle w:val="CharStyle6"/>
          <w:b/>
          <w:bCs/>
        </w:rPr>
        <w:t xml:space="preserve">249 236 </w:t>
      </w:r>
      <w:r>
        <w:rPr>
          <w:rStyle w:val="CharStyle6"/>
        </w:rPr>
        <w:t>Kč včetně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Součástí ceny díla podle čl. 7 této smlouvy bude i příslušná daň z přidané hodnoty a veškeré ostatní náklady, vynaložené zhotovitelem na splnění jeho závazku podle čl. 3 této smlouvy v místě podle čl. 5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 xml:space="preserve">Cena díla podle čl. 7 této smlouvy je splatná jednorázově předem ve lhůtě do 30 dnů ode dne doručení jejího písemného vyúčtování (daňového dokladu/faktury). Faktura bude doručena elektronicky na email: </w:t>
      </w:r>
      <w:r>
        <w:rPr>
          <w:rStyle w:val="CharStyle6"/>
          <w:spacing w:val="1"/>
          <w:u w:val="single"/>
          <w:shd w:val="clear" w:color="auto" w:fill="000000"/>
        </w:rPr>
        <w:t>....</w:t>
      </w:r>
      <w:r>
        <w:rPr>
          <w:rStyle w:val="CharStyle6"/>
          <w:spacing w:val="2"/>
          <w:u w:val="single"/>
          <w:shd w:val="clear" w:color="auto" w:fill="000000"/>
        </w:rPr>
        <w:t>.......</w:t>
      </w:r>
      <w:r>
        <w:rPr>
          <w:rStyle w:val="CharStyle6"/>
          <w:u w:val="single"/>
          <w:shd w:val="clear" w:color="auto" w:fill="000000"/>
        </w:rPr>
        <w:t>​</w:t>
      </w:r>
      <w:r>
        <w:rPr>
          <w:rStyle w:val="CharStyle6"/>
          <w:spacing w:val="5"/>
          <w:u w:val="single"/>
          <w:shd w:val="clear" w:color="auto" w:fill="000000"/>
        </w:rPr>
        <w:t>....</w:t>
      </w:r>
      <w:r>
        <w:rPr>
          <w:rStyle w:val="CharStyle6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6"/>
          <w:spacing w:val="2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6"/>
          <w:shd w:val="clear" w:color="auto" w:fill="000000"/>
          <w:lang w:val="en-US" w:eastAsia="en-US" w:bidi="en-US"/>
        </w:rPr>
        <w:t>.</w:t>
      </w:r>
      <w:r>
        <w:rPr>
          <w:rStyle w:val="CharStyle6"/>
          <w:shd w:val="clear" w:color="auto" w:fill="000000"/>
        </w:rPr>
        <w:t>​...</w:t>
      </w:r>
      <w:r>
        <w:rPr>
          <w:rStyle w:val="CharStyle6"/>
          <w:u w:val="single"/>
          <w:shd w:val="clear" w:color="auto" w:fill="000000"/>
        </w:rPr>
        <w:t>​</w:t>
      </w:r>
      <w:r>
        <w:rPr>
          <w:rStyle w:val="CharStyle6"/>
          <w:spacing w:val="2"/>
          <w:u w:val="single"/>
          <w:shd w:val="clear" w:color="auto" w:fill="000000"/>
        </w:rPr>
        <w:t>...</w:t>
      </w:r>
      <w:r>
        <w:rPr>
          <w:rStyle w:val="CharStyle6"/>
          <w:spacing w:val="3"/>
          <w:u w:val="single"/>
          <w:shd w:val="clear" w:color="auto" w:fill="000000"/>
        </w:rPr>
        <w:t>............</w:t>
      </w:r>
      <w:r>
        <w:rPr>
          <w:rStyle w:val="CharStyle6"/>
          <w:u w:val="single"/>
          <w:shd w:val="clear" w:color="auto" w:fill="000000"/>
        </w:rPr>
        <w:t>​</w:t>
      </w:r>
      <w:r>
        <w:rPr>
          <w:rStyle w:val="CharStyle6"/>
          <w:spacing w:val="5"/>
          <w:u w:val="single"/>
          <w:shd w:val="clear" w:color="auto" w:fill="000000"/>
        </w:rPr>
        <w:t>....</w:t>
      </w:r>
      <w:r>
        <w:rPr>
          <w:rStyle w:val="CharStyle6"/>
          <w:spacing w:val="1"/>
          <w:u w:val="single"/>
          <w:shd w:val="clear" w:color="auto" w:fill="000000"/>
        </w:rPr>
        <w:t>..</w:t>
      </w:r>
      <w:r>
        <w:rPr>
          <w:rStyle w:val="CharStyle6"/>
          <w:spacing w:val="2"/>
          <w:u w:val="single"/>
          <w:shd w:val="clear" w:color="auto" w:fill="000000"/>
        </w:rPr>
        <w:t>.............</w:t>
      </w:r>
      <w:r>
        <w:rPr>
          <w:rStyle w:val="CharStyle6"/>
          <w:color w:val="2A6099"/>
        </w:rPr>
        <w:t xml:space="preserve">. </w:t>
      </w:r>
      <w:r>
        <w:rPr>
          <w:rStyle w:val="CharStyle6"/>
        </w:rPr>
        <w:t xml:space="preserve">Na faktuře musí být mimo jiné vždy uvedeno toto číslo veřejné zakázky, ke které se faktura vztahuje: </w:t>
      </w:r>
      <w:r>
        <w:rPr>
          <w:rStyle w:val="CharStyle6"/>
          <w:b/>
          <w:bCs/>
        </w:rPr>
        <w:t xml:space="preserve">P24V00001423. </w:t>
      </w:r>
      <w:r>
        <w:rPr>
          <w:rStyle w:val="CharStyle6"/>
        </w:rPr>
        <w:t>Přílohou faktury bude kopie oboustranně podepsaného předávacího protokolu. 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prodlení s úhradou ceny díla ve lhůtě podle čl. 9 této smlouvy se objednatel zavazuje zaplatit zhotoviteli úrok z prodlení ve výši dle zákona.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závady na díle podle čl. 3 této smlouvy, čímž se rozumí jakákoliv závada v přístupu k novým verzím počítačových programů podle čl. 1 této smlouvy a k portálu výrobce pro řešení případných chyb těchto programů, je objednatel oprávněn od této smlouvy odstoupit.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sporu o oprávněnost odstoupení od smlouvy podle čl. 11 této smlouvy se objednateli vyhrazuje právo nechat vyhotovit k prověření této oprávněnosti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Není-li touto smlouvou ujednáno jinak, řídí se vzájemný právní vztah mezi zhotovitelem a objednatelem tuzemským právním řádem, konkrétně ust. § 2586 až 2622 občanského zákoníku, přičemž citovaná ustanovení zákona mají přednost před nepsanými obchodními zvyklostmi. Tímto ujednáním se přitom vylučuje aplikace ust. § 558 občanského zákoníku na vztah mezi oběma stranami podle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0" w:right="0" w:firstLine="0"/>
        <w:jc w:val="both"/>
      </w:pPr>
      <w:r>
        <w:rPr>
          <w:rStyle w:val="CharStyle6"/>
        </w:rPr>
        <w:t>Tuto smlouvu lze změnit nebo zrušit pouze jinou písemnou dohodou obou smluvních stran.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Tato smlouva se sjednává na základě návrhu na její uzavření ze strany zhotovitele. Předpokladem uzavření této smlouvy je její písemná forma a dohoda o jejích podstatných náležitostech, čímž se rozumí celý obsah této smlouvy, jak je uveden v čl. 1 až 18 této smlouvy. Objednatel přitom předem vylučuje přijetí tohoto návrhu s dodatkem nebo odchylkou ve smyslu ust. § 1740 odst. 3 občanského zákoníku.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0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Obě strany se dohodly, že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5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Tato smlouva nabývá platnosti dnem jejího uzavření a účinnosti dnem jejího uveřejnění registru podle zákona č. 340/2015 Sb. o registru smluv. Smluvní strany se dohodly, že uveřejnění v registru smluv (ISRS) včetně uvedení metadat provede objednatel.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5" w:val="left"/>
        </w:tabs>
        <w:bidi w:val="0"/>
        <w:spacing w:before="0" w:after="760"/>
        <w:ind w:left="400" w:right="0" w:hanging="400"/>
        <w:jc w:val="both"/>
      </w:pPr>
      <w:r>
        <w:rPr>
          <w:rStyle w:val="CharStyle6"/>
        </w:rPr>
        <w:t>Dáno ve dvou originálních písemných vyhotoveních, z nichž každá ze smluvních stran obdrží po jednom.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520" w:right="0" w:firstLine="0"/>
        <w:jc w:val="left"/>
      </w:pPr>
      <w:r>
        <mc:AlternateContent>
          <mc:Choice Requires="wps">
            <w:drawing>
              <wp:anchor distT="0" distB="612775" distL="114300" distR="1491615" simplePos="0" relativeHeight="125829382" behindDoc="0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12700</wp:posOffset>
                </wp:positionV>
                <wp:extent cx="631190" cy="14922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2.400000000000006pt;margin-top:1.pt;width:49.700000000000003pt;height:11.75pt;z-index:-125829371;mso-wrap-distance-left:9.pt;mso-wrap-distance-right:117.45pt;mso-wrap-distance-bottom:48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11150" distB="0" distL="476885" distR="114300" simplePos="0" relativeHeight="125829384" behindDoc="0" locked="0" layoutInCell="1" allowOverlap="1">
                <wp:simplePos x="0" y="0"/>
                <wp:positionH relativeFrom="page">
                  <wp:posOffset>1409065</wp:posOffset>
                </wp:positionH>
                <wp:positionV relativeFrom="paragraph">
                  <wp:posOffset>323850</wp:posOffset>
                </wp:positionV>
                <wp:extent cx="1645920" cy="45085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450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6"/>
                                <w:color w:val="6592D9"/>
                                <w:sz w:val="18"/>
                                <w:szCs w:val="18"/>
                              </w:rPr>
                              <w:t>Zdravotnická záchranná služba</w:t>
                              <w:br/>
                              <w:t>Jihomoravského kraje, p.o.</w:t>
                              <w:br/>
                            </w:r>
                            <w:r>
                              <w:rPr>
                                <w:rStyle w:val="CharStyle6"/>
                                <w:color w:val="386CD5"/>
                                <w:sz w:val="18"/>
                                <w:szCs w:val="18"/>
                              </w:rPr>
                              <w:t xml:space="preserve">Kamenice.7////Z^ó&amp;oo </w:t>
                            </w:r>
                            <w:r>
                              <w:rPr>
                                <w:rStyle w:val="CharStyle6"/>
                                <w:color w:val="6592D9"/>
                                <w:sz w:val="18"/>
                                <w:szCs w:val="18"/>
                              </w:rPr>
                              <w:t>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0.95pt;margin-top:25.5pt;width:129.59999999999999pt;height:35.5pt;z-index:-125829369;mso-wrap-distance-left:37.550000000000004pt;mso-wrap-distance-top:24.5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6"/>
                          <w:color w:val="6592D9"/>
                          <w:sz w:val="18"/>
                          <w:szCs w:val="18"/>
                        </w:rPr>
                        <w:t>Zdravotnická záchranná služba</w:t>
                        <w:br/>
                        <w:t>Jihomoravského kraje, p.o.</w:t>
                        <w:br/>
                      </w:r>
                      <w:r>
                        <w:rPr>
                          <w:rStyle w:val="CharStyle6"/>
                          <w:color w:val="386CD5"/>
                          <w:sz w:val="18"/>
                          <w:szCs w:val="18"/>
                        </w:rPr>
                        <w:t xml:space="preserve">Kamenice.7////Z^ó&amp;oo </w:t>
                      </w:r>
                      <w:r>
                        <w:rPr>
                          <w:rStyle w:val="CharStyle6"/>
                          <w:color w:val="6592D9"/>
                          <w:sz w:val="18"/>
                          <w:szCs w:val="18"/>
                        </w:rPr>
                        <w:t>Brno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</w:rPr>
        <w:t>V Brně dne 13.5.2024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2" w:val="left"/>
        </w:tabs>
        <w:bidi w:val="0"/>
        <w:spacing w:before="0" w:after="0" w:line="240" w:lineRule="auto"/>
        <w:ind w:right="0" w:firstLine="0"/>
        <w:jc w:val="left"/>
      </w:pPr>
      <w:r>
        <w:rPr>
          <w:rStyle w:val="CharStyle3"/>
          <w:b/>
          <w:bCs/>
          <w:sz w:val="20"/>
          <w:szCs w:val="20"/>
        </w:rPr>
        <w:t>Inn Pptr</w:t>
        <w:tab/>
      </w:r>
      <w:r>
        <w:rPr>
          <w:rStyle w:val="CharStyle3"/>
        </w:rPr>
        <w:t>Digitálně podepsal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22" w:val="left"/>
          <w:tab w:pos="3292" w:val="left"/>
        </w:tabs>
        <w:bidi w:val="0"/>
        <w:spacing w:before="0" w:after="40" w:line="221" w:lineRule="auto"/>
        <w:ind w:right="0" w:firstLine="0"/>
        <w:jc w:val="left"/>
      </w:pPr>
      <w:r>
        <w:rPr>
          <w:rStyle w:val="CharStyle3"/>
          <w:sz w:val="18"/>
          <w:szCs w:val="18"/>
        </w:rPr>
        <w:t>'</w:t>
        <w:tab/>
        <w:t>rdi</w:t>
        <w:tab/>
      </w:r>
      <w:r>
        <w:rPr>
          <w:rStyle w:val="CharStyle3"/>
        </w:rPr>
        <w:t>Ing. Petr Maleňák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Style w:val="CharStyle3"/>
          <w:b/>
          <w:bCs/>
          <w:sz w:val="20"/>
          <w:szCs w:val="20"/>
        </w:rPr>
        <w:t xml:space="preserve">Mídpňálč </w:t>
      </w:r>
      <w:r>
        <w:rPr>
          <w:rStyle w:val="CharStyle3"/>
        </w:rPr>
        <w:t>Datum: 2024.05.13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180" w:lineRule="auto"/>
        <w:ind w:right="0" w:firstLine="0"/>
        <w:jc w:val="left"/>
      </w:pPr>
      <w:r>
        <w:rPr>
          <w:rStyle w:val="CharStyle3"/>
          <w:b/>
          <w:bCs/>
          <w:sz w:val="20"/>
          <w:szCs w:val="20"/>
        </w:rPr>
        <w:t xml:space="preserve">IVIdldldK </w:t>
      </w:r>
      <w:r>
        <w:rPr>
          <w:rStyle w:val="CharStyle3"/>
        </w:rPr>
        <w:t>08:27:02+02'00'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12700</wp:posOffset>
                </wp:positionV>
                <wp:extent cx="1103630" cy="50292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363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Ing. Petr Maleňák jednatel společnosti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4.30000000000001pt;margin-top:1.pt;width:86.900000000000006pt;height:39.6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Ing. Petr Maleňák jednatel společnosti </w:t>
                      </w:r>
                      <w:r>
                        <w:rPr>
                          <w:rStyle w:val="CharStyle6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6"/>
        </w:rPr>
        <w:t>MUDr. Hana Albrechtová ředitelka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rStyle w:val="CharStyle6"/>
          <w:b/>
          <w:bCs/>
        </w:rPr>
        <w:t>Objednatel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640" w:right="1512" w:bottom="2020" w:left="1638" w:header="121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9871710</wp:posOffset>
              </wp:positionV>
              <wp:extent cx="3559810" cy="11874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598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18_2024: Prodloužení záruky a podpory NetFIow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3.799999999999997pt;margin-top:777.30000000000007pt;width:280.3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18_2024: Prodloužení záruky a podpory NetFIow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0"/>
      <w:ind w:left="16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